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000000" w:themeColor="text1"/>
          <w14:textFill>
            <w14:solidFill>
              <w14:schemeClr w14:val="tx1"/>
            </w14:solidFill>
          </w14:textFill>
        </w:rPr>
      </w:pPr>
    </w:p>
    <w:tbl>
      <w:tblPr>
        <w:tblStyle w:val="2"/>
        <w:tblW w:w="8010" w:type="dxa"/>
        <w:tblInd w:w="170" w:type="dxa"/>
        <w:tblLayout w:type="fixed"/>
        <w:tblCellMar>
          <w:top w:w="0" w:type="dxa"/>
          <w:left w:w="0" w:type="dxa"/>
          <w:bottom w:w="0" w:type="dxa"/>
          <w:right w:w="0" w:type="dxa"/>
        </w:tblCellMar>
      </w:tblPr>
      <w:tblGrid>
        <w:gridCol w:w="1275"/>
        <w:gridCol w:w="1815"/>
        <w:gridCol w:w="1080"/>
        <w:gridCol w:w="1921"/>
        <w:gridCol w:w="1919"/>
      </w:tblGrid>
      <w:tr>
        <w:tblPrEx>
          <w:tblCellMar>
            <w:top w:w="0" w:type="dxa"/>
            <w:left w:w="0" w:type="dxa"/>
            <w:bottom w:w="0" w:type="dxa"/>
            <w:right w:w="0" w:type="dxa"/>
          </w:tblCellMar>
        </w:tblPrEx>
        <w:trPr>
          <w:trHeight w:val="312" w:hRule="atLeast"/>
        </w:trPr>
        <w:tc>
          <w:tcPr>
            <w:tcW w:w="8010" w:type="dxa"/>
            <w:gridSpan w:val="5"/>
            <w:vMerge w:val="restart"/>
            <w:tcBorders>
              <w:top w:val="nil"/>
              <w:left w:val="nil"/>
              <w:bottom w:val="nil"/>
              <w:right w:val="nil"/>
            </w:tcBorders>
            <w:shd w:val="clear" w:color="auto" w:fill="auto"/>
            <w:tcMar>
              <w:top w:w="0"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color w:val="000000" w:themeColor="text1"/>
                <w:sz w:val="24"/>
                <w14:textFill>
                  <w14:solidFill>
                    <w14:schemeClr w14:val="tx1"/>
                  </w14:solidFill>
                </w14:textFill>
              </w:rPr>
            </w:pPr>
            <w:r>
              <w:rPr>
                <w:rFonts w:hint="default" w:ascii="Times New Roman" w:hAnsi="Times New Roman" w:eastAsia="宋体" w:cs="Times New Roman"/>
                <w:b/>
                <w:color w:val="000000" w:themeColor="text1"/>
                <w:kern w:val="0"/>
                <w:szCs w:val="21"/>
                <w:lang w:bidi="ar"/>
                <w14:textFill>
                  <w14:solidFill>
                    <w14:schemeClr w14:val="tx1"/>
                  </w14:solidFill>
                </w14:textFill>
              </w:rPr>
              <w:t>S</w:t>
            </w:r>
            <w:r>
              <w:rPr>
                <w:rFonts w:hint="eastAsia" w:ascii="Times New Roman" w:hAnsi="Times New Roman" w:eastAsia="宋体" w:cs="Times New Roman"/>
                <w:b/>
                <w:color w:val="000000" w:themeColor="text1"/>
                <w:kern w:val="0"/>
                <w:szCs w:val="21"/>
                <w:lang w:bidi="ar"/>
                <w14:textFill>
                  <w14:solidFill>
                    <w14:schemeClr w14:val="tx1"/>
                  </w14:solidFill>
                </w14:textFill>
              </w:rPr>
              <w:t>UPPLEMENTARY</w:t>
            </w:r>
            <w:r>
              <w:rPr>
                <w:rFonts w:hint="eastAsia"/>
                <w:b/>
                <w:bCs/>
                <w:color w:val="000000" w:themeColor="text1"/>
                <w14:textFill>
                  <w14:solidFill>
                    <w14:schemeClr w14:val="tx1"/>
                  </w14:solidFill>
                </w14:textFill>
              </w:rPr>
              <w:t xml:space="preserve"> </w:t>
            </w:r>
            <w:r>
              <w:rPr>
                <w:rFonts w:hint="default" w:ascii="Times New Roman" w:hAnsi="Times New Roman" w:eastAsia="宋体" w:cs="Times New Roman"/>
                <w:b/>
                <w:color w:val="000000" w:themeColor="text1"/>
                <w:kern w:val="0"/>
                <w:szCs w:val="21"/>
                <w:lang w:bidi="ar"/>
                <w14:textFill>
                  <w14:solidFill>
                    <w14:schemeClr w14:val="tx1"/>
                  </w14:solidFill>
                </w14:textFill>
              </w:rPr>
              <w:t>T</w:t>
            </w:r>
            <w:r>
              <w:rPr>
                <w:rFonts w:hint="eastAsia" w:ascii="Times New Roman" w:hAnsi="Times New Roman" w:eastAsia="宋体" w:cs="Times New Roman"/>
                <w:b/>
                <w:color w:val="000000" w:themeColor="text1"/>
                <w:kern w:val="0"/>
                <w:szCs w:val="21"/>
                <w:lang w:bidi="ar"/>
                <w14:textFill>
                  <w14:solidFill>
                    <w14:schemeClr w14:val="tx1"/>
                  </w14:solidFill>
                </w14:textFill>
              </w:rPr>
              <w:t>ABLE</w:t>
            </w:r>
            <w:r>
              <w:rPr>
                <w:rFonts w:hint="default" w:ascii="Times New Roman" w:hAnsi="Times New Roman" w:eastAsia="宋体" w:cs="Times New Roman"/>
                <w:b/>
                <w:color w:val="000000" w:themeColor="text1"/>
                <w:kern w:val="0"/>
                <w:szCs w:val="21"/>
                <w:lang w:bidi="ar"/>
                <w14:textFill>
                  <w14:solidFill>
                    <w14:schemeClr w14:val="tx1"/>
                  </w14:solidFill>
                </w14:textFill>
              </w:rPr>
              <w:t xml:space="preserve"> </w:t>
            </w:r>
            <w:r>
              <w:rPr>
                <w:rFonts w:hint="eastAsia" w:ascii="Times New Roman" w:hAnsi="Times New Roman" w:eastAsia="宋体" w:cs="Times New Roman"/>
                <w:b/>
                <w:color w:val="000000" w:themeColor="text1"/>
                <w:kern w:val="0"/>
                <w:szCs w:val="21"/>
                <w:lang w:bidi="ar"/>
                <w14:textFill>
                  <w14:solidFill>
                    <w14:schemeClr w14:val="tx1"/>
                  </w14:solidFill>
                </w14:textFill>
              </w:rPr>
              <w:t xml:space="preserve">3  </w:t>
            </w:r>
            <w:r>
              <w:rPr>
                <w:rFonts w:hint="default" w:ascii="Times New Roman" w:hAnsi="Times New Roman" w:eastAsia="宋体" w:cs="Times New Roman"/>
                <w:b/>
                <w:color w:val="000000" w:themeColor="text1"/>
                <w:kern w:val="0"/>
                <w:szCs w:val="21"/>
                <w:lang w:bidi="ar"/>
                <w14:textFill>
                  <w14:solidFill>
                    <w14:schemeClr w14:val="tx1"/>
                  </w14:solidFill>
                </w14:textFill>
              </w:rPr>
              <w:t xml:space="preserve">Four cutoff </w:t>
            </w:r>
            <w:r>
              <w:rPr>
                <w:rFonts w:hint="eastAsia" w:ascii="Times New Roman" w:hAnsi="Times New Roman" w:eastAsia="宋体" w:cs="Times New Roman"/>
                <w:b/>
                <w:color w:val="000000" w:themeColor="text1"/>
                <w:kern w:val="0"/>
                <w:szCs w:val="21"/>
                <w:lang w:bidi="ar"/>
                <w14:textFill>
                  <w14:solidFill>
                    <w14:schemeClr w14:val="tx1"/>
                  </w14:solidFill>
                </w14:textFill>
              </w:rPr>
              <w:t>points</w:t>
            </w:r>
            <w:r>
              <w:rPr>
                <w:rFonts w:hint="default" w:ascii="Times New Roman" w:hAnsi="Times New Roman" w:eastAsia="宋体" w:cs="Times New Roman"/>
                <w:b/>
                <w:color w:val="000000" w:themeColor="text1"/>
                <w:kern w:val="0"/>
                <w:szCs w:val="21"/>
                <w:lang w:bidi="ar"/>
                <w14:textFill>
                  <w14:solidFill>
                    <w14:schemeClr w14:val="tx1"/>
                  </w14:solidFill>
                </w14:textFill>
              </w:rPr>
              <w:t xml:space="preserve"> tested as a threshold to define sarcopenia and the prevalence of</w:t>
            </w:r>
            <w:r>
              <w:rPr>
                <w:rFonts w:hint="eastAsia" w:ascii="Times New Roman" w:hAnsi="Times New Roman" w:eastAsia="宋体" w:cs="Times New Roman"/>
                <w:b/>
                <w:color w:val="000000" w:themeColor="text1"/>
                <w:kern w:val="0"/>
                <w:szCs w:val="21"/>
                <w:lang w:bidi="ar"/>
                <w14:textFill>
                  <w14:solidFill>
                    <w14:schemeClr w14:val="tx1"/>
                  </w14:solidFill>
                </w14:textFill>
              </w:rPr>
              <w:t xml:space="preserve"> s</w:t>
            </w:r>
            <w:r>
              <w:rPr>
                <w:rFonts w:hint="default" w:ascii="Times New Roman" w:hAnsi="Times New Roman" w:eastAsia="宋体" w:cs="Times New Roman"/>
                <w:b/>
                <w:color w:val="000000" w:themeColor="text1"/>
                <w:kern w:val="0"/>
                <w:szCs w:val="21"/>
                <w:lang w:bidi="ar"/>
                <w14:textFill>
                  <w14:solidFill>
                    <w14:schemeClr w14:val="tx1"/>
                  </w14:solidFill>
                </w14:textFill>
              </w:rPr>
              <w:t>arcopenia.</w:t>
            </w:r>
          </w:p>
        </w:tc>
      </w:tr>
      <w:tr>
        <w:tblPrEx>
          <w:tblCellMar>
            <w:top w:w="0" w:type="dxa"/>
            <w:left w:w="0" w:type="dxa"/>
            <w:bottom w:w="0" w:type="dxa"/>
            <w:right w:w="0" w:type="dxa"/>
          </w:tblCellMar>
        </w:tblPrEx>
        <w:trPr>
          <w:trHeight w:val="330" w:hRule="atLeast"/>
        </w:trPr>
        <w:tc>
          <w:tcPr>
            <w:tcW w:w="8010" w:type="dxa"/>
            <w:gridSpan w:val="5"/>
            <w:vMerge w:val="continue"/>
            <w:tcBorders>
              <w:top w:val="nil"/>
              <w:left w:val="nil"/>
              <w:bottom w:val="single" w:color="auto" w:sz="18" w:space="0"/>
              <w:right w:val="nil"/>
            </w:tcBorders>
            <w:shd w:val="clear" w:color="auto" w:fill="auto"/>
            <w:tcMar>
              <w:top w:w="0" w:type="dxa"/>
              <w:left w:w="15"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color w:val="000000" w:themeColor="text1"/>
                <w:sz w:val="24"/>
                <w14:textFill>
                  <w14:solidFill>
                    <w14:schemeClr w14:val="tx1"/>
                  </w14:solidFill>
                </w14:textFill>
              </w:rPr>
            </w:pPr>
          </w:p>
        </w:tc>
      </w:tr>
      <w:tr>
        <w:tblPrEx>
          <w:tblCellMar>
            <w:top w:w="0" w:type="dxa"/>
            <w:left w:w="0" w:type="dxa"/>
            <w:bottom w:w="0" w:type="dxa"/>
            <w:right w:w="0" w:type="dxa"/>
          </w:tblCellMar>
        </w:tblPrEx>
        <w:trPr>
          <w:trHeight w:val="57" w:hRule="atLeast"/>
        </w:trPr>
        <w:tc>
          <w:tcPr>
            <w:tcW w:w="1275" w:type="dxa"/>
            <w:tcBorders>
              <w:top w:val="single" w:color="auto" w:sz="18" w:space="0"/>
              <w:left w:val="nil"/>
              <w:bottom w:val="single" w:color="auto" w:sz="18" w:space="0"/>
              <w:right w:val="nil"/>
            </w:tcBorders>
            <w:shd w:val="clear" w:color="auto" w:fill="auto"/>
            <w:tcMar>
              <w:top w:w="0" w:type="dxa"/>
              <w:left w:w="15" w:type="dxa"/>
              <w:right w:w="15" w:type="dxa"/>
            </w:tcMar>
          </w:tcPr>
          <w:p>
            <w:pPr>
              <w:keepNext w:val="0"/>
              <w:keepLines w:val="0"/>
              <w:widowControl/>
              <w:suppressLineNumbers w:val="0"/>
              <w:spacing w:before="0" w:beforeAutospacing="0" w:after="0" w:afterAutospacing="0"/>
              <w:ind w:left="0" w:right="0"/>
              <w:jc w:val="left"/>
              <w:textAlignment w:val="top"/>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0"/>
                <w:szCs w:val="21"/>
                <w:lang w:bidi="ar"/>
                <w14:textFill>
                  <w14:solidFill>
                    <w14:schemeClr w14:val="tx1"/>
                  </w14:solidFill>
                </w14:textFill>
              </w:rPr>
              <w:t>Study</w:t>
            </w:r>
          </w:p>
        </w:tc>
        <w:tc>
          <w:tcPr>
            <w:tcW w:w="2895" w:type="dxa"/>
            <w:gridSpan w:val="2"/>
            <w:tcBorders>
              <w:top w:val="single" w:color="auto" w:sz="18" w:space="0"/>
              <w:left w:val="nil"/>
              <w:bottom w:val="single" w:color="auto" w:sz="18" w:space="0"/>
              <w:right w:val="nil"/>
            </w:tcBorders>
            <w:shd w:val="clear" w:color="auto" w:fill="auto"/>
            <w:tcMar>
              <w:top w:w="0"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0"/>
                <w:szCs w:val="21"/>
                <w:lang w:bidi="ar"/>
                <w14:textFill>
                  <w14:solidFill>
                    <w14:schemeClr w14:val="tx1"/>
                  </w14:solidFill>
                </w14:textFill>
              </w:rPr>
              <w:t>Cutoff</w:t>
            </w:r>
            <w:r>
              <w:rPr>
                <w:rFonts w:hint="eastAsia" w:ascii="Times New Roman" w:hAnsi="Times New Roman" w:eastAsia="宋体" w:cs="Times New Roman"/>
                <w:color w:val="000000" w:themeColor="text1"/>
                <w:kern w:val="0"/>
                <w:szCs w:val="21"/>
                <w:lang w:bidi="ar"/>
                <w14:textFill>
                  <w14:solidFill>
                    <w14:schemeClr w14:val="tx1"/>
                  </w14:solidFill>
                </w14:textFill>
              </w:rPr>
              <w:t xml:space="preserve"> points</w:t>
            </w:r>
            <w:r>
              <w:rPr>
                <w:rFonts w:hint="default" w:ascii="Times New Roman" w:hAnsi="Times New Roman" w:eastAsia="宋体" w:cs="Times New Roman"/>
                <w:color w:val="000000" w:themeColor="text1"/>
                <w:kern w:val="0"/>
                <w:szCs w:val="21"/>
                <w:lang w:bidi="ar"/>
                <w14:textFill>
                  <w14:solidFill>
                    <w14:schemeClr w14:val="tx1"/>
                  </w14:solidFill>
                </w14:textFill>
              </w:rPr>
              <w:t xml:space="preserve"> for SMI to define sarcopenia</w:t>
            </w:r>
          </w:p>
        </w:tc>
        <w:tc>
          <w:tcPr>
            <w:tcW w:w="3840" w:type="dxa"/>
            <w:gridSpan w:val="2"/>
            <w:tcBorders>
              <w:top w:val="single" w:color="auto" w:sz="18" w:space="0"/>
              <w:left w:val="nil"/>
              <w:bottom w:val="single" w:color="auto" w:sz="18" w:space="0"/>
              <w:right w:val="nil"/>
            </w:tcBorders>
            <w:shd w:val="clear" w:color="auto" w:fill="auto"/>
            <w:tcMar>
              <w:top w:w="0" w:type="dxa"/>
              <w:left w:w="15" w:type="dxa"/>
              <w:right w:w="15" w:type="dxa"/>
            </w:tcMar>
          </w:tcPr>
          <w:p>
            <w:pPr>
              <w:keepNext w:val="0"/>
              <w:keepLines w:val="0"/>
              <w:widowControl/>
              <w:suppressLineNumbers w:val="0"/>
              <w:spacing w:before="0" w:beforeAutospacing="0" w:after="0" w:afterAutospacing="0"/>
              <w:ind w:left="0" w:right="0"/>
              <w:jc w:val="left"/>
              <w:textAlignment w:val="top"/>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0"/>
                <w:szCs w:val="21"/>
                <w:lang w:bidi="ar"/>
                <w14:textFill>
                  <w14:solidFill>
                    <w14:schemeClr w14:val="tx1"/>
                  </w14:solidFill>
                </w14:textFill>
              </w:rPr>
              <w:t>SMI  (Total n=138)</w:t>
            </w:r>
          </w:p>
        </w:tc>
      </w:tr>
      <w:tr>
        <w:tblPrEx>
          <w:tblCellMar>
            <w:top w:w="0" w:type="dxa"/>
            <w:left w:w="0" w:type="dxa"/>
            <w:bottom w:w="0" w:type="dxa"/>
            <w:right w:w="0" w:type="dxa"/>
          </w:tblCellMar>
        </w:tblPrEx>
        <w:trPr>
          <w:trHeight w:val="28" w:hRule="atLeast"/>
        </w:trPr>
        <w:tc>
          <w:tcPr>
            <w:tcW w:w="1275" w:type="dxa"/>
            <w:tcBorders>
              <w:top w:val="single" w:color="auto" w:sz="18" w:space="0"/>
              <w:left w:val="nil"/>
              <w:bottom w:val="single" w:color="auto" w:sz="18" w:space="0"/>
              <w:right w:val="nil"/>
            </w:tcBorders>
            <w:shd w:val="clear" w:color="auto" w:fill="auto"/>
            <w:tcMar>
              <w:top w:w="0" w:type="dxa"/>
              <w:left w:w="15" w:type="dxa"/>
              <w:right w:w="15"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p>
        </w:tc>
        <w:tc>
          <w:tcPr>
            <w:tcW w:w="1815" w:type="dxa"/>
            <w:tcBorders>
              <w:top w:val="single" w:color="auto" w:sz="18" w:space="0"/>
              <w:left w:val="nil"/>
              <w:bottom w:val="single" w:color="auto" w:sz="18" w:space="0"/>
              <w:right w:val="nil"/>
            </w:tcBorders>
            <w:shd w:val="clear" w:color="auto" w:fill="auto"/>
            <w:tcMar>
              <w:top w:w="0"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0"/>
                <w:szCs w:val="21"/>
                <w:lang w:bidi="ar"/>
                <w14:textFill>
                  <w14:solidFill>
                    <w14:schemeClr w14:val="tx1"/>
                  </w14:solidFill>
                </w14:textFill>
              </w:rPr>
              <w:t>Male</w:t>
            </w:r>
          </w:p>
        </w:tc>
        <w:tc>
          <w:tcPr>
            <w:tcW w:w="1080" w:type="dxa"/>
            <w:tcBorders>
              <w:top w:val="single" w:color="auto" w:sz="18" w:space="0"/>
              <w:left w:val="nil"/>
              <w:bottom w:val="single" w:color="auto" w:sz="18" w:space="0"/>
              <w:right w:val="nil"/>
            </w:tcBorders>
            <w:shd w:val="clear" w:color="auto" w:fill="auto"/>
            <w:tcMar>
              <w:top w:w="0"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0"/>
                <w:szCs w:val="21"/>
                <w:lang w:bidi="ar"/>
                <w14:textFill>
                  <w14:solidFill>
                    <w14:schemeClr w14:val="tx1"/>
                  </w14:solidFill>
                </w14:textFill>
              </w:rPr>
              <w:t>Female</w:t>
            </w:r>
          </w:p>
        </w:tc>
        <w:tc>
          <w:tcPr>
            <w:tcW w:w="1921" w:type="dxa"/>
            <w:tcBorders>
              <w:top w:val="single" w:color="auto" w:sz="18" w:space="0"/>
              <w:left w:val="nil"/>
              <w:bottom w:val="single" w:color="auto" w:sz="18" w:space="0"/>
              <w:right w:val="nil"/>
            </w:tcBorders>
            <w:shd w:val="clear" w:color="auto" w:fill="auto"/>
            <w:tcMar>
              <w:top w:w="0"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0"/>
                <w:szCs w:val="21"/>
                <w:lang w:bidi="ar"/>
                <w14:textFill>
                  <w14:solidFill>
                    <w14:schemeClr w14:val="tx1"/>
                  </w14:solidFill>
                </w14:textFill>
              </w:rPr>
              <w:t>High</w:t>
            </w:r>
          </w:p>
        </w:tc>
        <w:tc>
          <w:tcPr>
            <w:tcW w:w="1919" w:type="dxa"/>
            <w:tcBorders>
              <w:top w:val="single" w:color="auto" w:sz="18" w:space="0"/>
              <w:left w:val="nil"/>
              <w:bottom w:val="single" w:color="auto" w:sz="18" w:space="0"/>
              <w:right w:val="nil"/>
            </w:tcBorders>
            <w:shd w:val="clear" w:color="auto" w:fill="auto"/>
            <w:tcMar>
              <w:top w:w="0"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0"/>
                <w:szCs w:val="21"/>
                <w:lang w:bidi="ar"/>
                <w14:textFill>
                  <w14:solidFill>
                    <w14:schemeClr w14:val="tx1"/>
                  </w14:solidFill>
                </w14:textFill>
              </w:rPr>
              <w:t>Low</w:t>
            </w:r>
          </w:p>
        </w:tc>
      </w:tr>
      <w:tr>
        <w:tblPrEx>
          <w:tblCellMar>
            <w:top w:w="0" w:type="dxa"/>
            <w:left w:w="0" w:type="dxa"/>
            <w:bottom w:w="0" w:type="dxa"/>
            <w:right w:w="0" w:type="dxa"/>
          </w:tblCellMar>
        </w:tblPrEx>
        <w:trPr>
          <w:trHeight w:val="45" w:hRule="atLeast"/>
        </w:trPr>
        <w:tc>
          <w:tcPr>
            <w:tcW w:w="1275" w:type="dxa"/>
            <w:tcBorders>
              <w:top w:val="single" w:color="auto" w:sz="18" w:space="0"/>
              <w:left w:val="nil"/>
              <w:bottom w:val="nil"/>
              <w:right w:val="nil"/>
            </w:tcBorders>
            <w:shd w:val="clear" w:color="auto" w:fill="auto"/>
            <w:tcMar>
              <w:top w:w="0"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kern w:val="0"/>
                <w:sz w:val="18"/>
                <w:szCs w:val="18"/>
                <w:lang w:bidi="ar"/>
                <w14:textFill>
                  <w14:solidFill>
                    <w14:schemeClr w14:val="tx1"/>
                  </w14:solidFill>
                </w14:textFill>
              </w:rPr>
              <w:t>Martin et al.</w:t>
            </w:r>
            <w:r>
              <w:rPr>
                <w:rFonts w:hint="default" w:ascii="Times New Roman" w:hAnsi="Times New Roman" w:eastAsia="宋体" w:cs="Times New Roman"/>
                <w:color w:val="000000" w:themeColor="text1"/>
                <w:kern w:val="0"/>
                <w:sz w:val="18"/>
                <w:szCs w:val="18"/>
                <w:lang w:bidi="ar"/>
                <w14:textFill>
                  <w14:solidFill>
                    <w14:schemeClr w14:val="tx1"/>
                  </w14:solidFill>
                </w14:textFill>
              </w:rPr>
              <w:fldChar w:fldCharType="begin"/>
            </w:r>
            <w:r>
              <w:rPr>
                <w:rFonts w:hint="default" w:ascii="Times New Roman" w:hAnsi="Times New Roman" w:eastAsia="宋体" w:cs="Times New Roman"/>
                <w:color w:val="000000" w:themeColor="text1"/>
                <w:kern w:val="0"/>
                <w:sz w:val="18"/>
                <w:szCs w:val="18"/>
                <w:lang w:bidi="ar"/>
                <w14:textFill>
                  <w14:solidFill>
                    <w14:schemeClr w14:val="tx1"/>
                  </w14:solidFill>
                </w14:textFill>
              </w:rPr>
              <w:instrText xml:space="preserve"> ADDIN EN.CITE &lt;EndNote&gt;&lt;Cite&gt;&lt;Author&gt;Martin&lt;/Author&gt;&lt;Year&gt;2013&lt;/Year&gt;&lt;RecNum&gt;34&lt;/RecNum&gt;&lt;DisplayText&gt;[29]&lt;/DisplayText&gt;&lt;record&gt;&lt;rec-number&gt;34&lt;/rec-number&gt;&lt;foreign-keys&gt;&lt;key app="EN" db-id="dpwsxtwp8z992nefe25xdexjsa20edreed2f" timestamp="1556678078"&gt;34&lt;/key&gt;&lt;/foreign-keys&gt;&lt;ref-type name="Journal Article"&gt;17&lt;/ref-type&gt;&lt;contributors&gt;&lt;authors&gt;&lt;author&gt;Martin, L.&lt;/author&gt;&lt;author&gt;Birdsell, L.&lt;/author&gt;&lt;author&gt;Macdonald, N.&lt;/author&gt;&lt;author&gt;Reiman, T.&lt;/author&gt;&lt;author&gt;Clandinin, M. T.&lt;/author&gt;&lt;author&gt;McCargar, L. J.&lt;/author&gt;&lt;author&gt;Murphy, R.&lt;/author&gt;&lt;author&gt;Ghosh, S.&lt;/author&gt;&lt;author&gt;Sawyer, M. B.&lt;/author&gt;&lt;author&gt;Baracos, V. E.&lt;/author&gt;&lt;/authors&gt;&lt;/contributors&gt;&lt;auth-address&gt;University of Alberta, Edmonton, Alberta, Canada. vickie.baracos@ualberta.ca&lt;/auth-address&gt;&lt;titles&gt;&lt;title&gt;Cancer cachexia in the age of obesity: skeletal muscle depletion is a powerful prognostic factor, independent of body mass index&lt;/title&gt;&lt;secondary-title&gt;J. Clin. Oncol.&lt;/secondary-title&gt;&lt;alt-title&gt;Journal of clinical oncology : official journal of the American Society of Clinical Oncology&lt;/alt-title&gt;&lt;/titles&gt;&lt;periodical&gt;&lt;full-title&gt;J. Clin. Oncol.&lt;/full-title&gt;&lt;abbr-1&gt;Journal of clinical oncology : official journal of the American Society of Clinical Oncology&lt;/abbr-1&gt;&lt;/periodical&gt;&lt;alt-periodical&gt;&lt;full-title&gt;J. Clin. Oncol.&lt;/full-title&gt;&lt;abbr-1&gt;Journal of clinical oncology : official journal of the American Society of Clinical Oncology&lt;/abbr-1&gt;&lt;/alt-periodical&gt;&lt;pages&gt;1539-47&lt;/pages&gt;&lt;volume&gt;31&lt;/volume&gt;&lt;number&gt;12&lt;/number&gt;&lt;dates&gt;&lt;year&gt;2013&lt;/year&gt;&lt;pub-dates&gt;&lt;date&gt;Apr 20&lt;/date&gt;&lt;/pub-dates&gt;&lt;/dates&gt;&lt;isbn&gt;1527-7755&lt;/isbn&gt;&lt;accession-num&gt;23530101&lt;/accession-num&gt;&lt;urls&gt;&lt;/urls&gt;&lt;electronic-resource-num&gt;10.1200/jco.2012.45.2722&lt;/electronic-resource-num&gt;&lt;language&gt;eng&lt;/language&gt;&lt;/record&gt;&lt;/Cite&gt;&lt;/EndNote&gt;</w:instrText>
            </w:r>
            <w:r>
              <w:rPr>
                <w:rFonts w:hint="default" w:ascii="Times New Roman" w:hAnsi="Times New Roman" w:eastAsia="宋体" w:cs="Times New Roman"/>
                <w:color w:val="000000" w:themeColor="text1"/>
                <w:kern w:val="0"/>
                <w:sz w:val="18"/>
                <w:szCs w:val="18"/>
                <w:lang w:bidi="ar"/>
                <w14:textFill>
                  <w14:solidFill>
                    <w14:schemeClr w14:val="tx1"/>
                  </w14:solidFill>
                </w14:textFill>
              </w:rPr>
              <w:fldChar w:fldCharType="separate"/>
            </w:r>
            <w:r>
              <w:rPr>
                <w:rFonts w:hint="default" w:ascii="Times New Roman" w:hAnsi="Times New Roman" w:eastAsia="宋体" w:cs="Times New Roman"/>
                <w:color w:val="000000" w:themeColor="text1"/>
                <w:kern w:val="0"/>
                <w:sz w:val="18"/>
                <w:szCs w:val="18"/>
                <w:lang w:bidi="ar"/>
                <w14:textFill>
                  <w14:solidFill>
                    <w14:schemeClr w14:val="tx1"/>
                  </w14:solidFill>
                </w14:textFill>
              </w:rPr>
              <w:t>[29]</w:t>
            </w:r>
            <w:r>
              <w:rPr>
                <w:rFonts w:hint="default" w:ascii="Times New Roman" w:hAnsi="Times New Roman" w:eastAsia="宋体" w:cs="Times New Roman"/>
                <w:color w:val="000000" w:themeColor="text1"/>
                <w:kern w:val="0"/>
                <w:sz w:val="18"/>
                <w:szCs w:val="18"/>
                <w:lang w:bidi="ar"/>
                <w14:textFill>
                  <w14:solidFill>
                    <w14:schemeClr w14:val="tx1"/>
                  </w14:solidFill>
                </w14:textFill>
              </w:rPr>
              <w:fldChar w:fldCharType="end"/>
            </w:r>
            <w:r>
              <w:rPr>
                <w:rFonts w:hint="default" w:ascii="Times New Roman" w:hAnsi="Times New Roman" w:eastAsia="宋体" w:cs="Times New Roman"/>
                <w:color w:val="000000" w:themeColor="text1"/>
                <w:kern w:val="0"/>
                <w:sz w:val="18"/>
                <w:szCs w:val="18"/>
                <w:lang w:bidi="ar"/>
                <w14:textFill>
                  <w14:solidFill>
                    <w14:schemeClr w14:val="tx1"/>
                  </w14:solidFill>
                </w14:textFill>
              </w:rPr>
              <w:t>(Canada)</w:t>
            </w:r>
          </w:p>
        </w:tc>
        <w:tc>
          <w:tcPr>
            <w:tcW w:w="1815" w:type="dxa"/>
            <w:tcBorders>
              <w:top w:val="single" w:color="auto" w:sz="18" w:space="0"/>
              <w:left w:val="nil"/>
              <w:bottom w:val="nil"/>
              <w:right w:val="nil"/>
            </w:tcBorders>
            <w:shd w:val="clear" w:color="auto" w:fill="auto"/>
            <w:tcMar>
              <w:top w:w="0"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kern w:val="0"/>
                <w:sz w:val="18"/>
                <w:szCs w:val="18"/>
                <w:lang w:bidi="ar"/>
                <w14:textFill>
                  <w14:solidFill>
                    <w14:schemeClr w14:val="tx1"/>
                  </w14:solidFill>
                </w14:textFill>
              </w:rPr>
              <w:t>53.0 for BMI</w:t>
            </w:r>
            <w:r>
              <w:rPr>
                <w:rFonts w:hint="eastAsia" w:ascii="Times New Roman" w:hAnsi="Times New Roman" w:eastAsia="宋体" w:cs="Times New Roman"/>
                <w:color w:val="000000" w:themeColor="text1"/>
                <w:kern w:val="0"/>
                <w:sz w:val="18"/>
                <w:szCs w:val="18"/>
                <w:lang w:bidi="ar"/>
                <w14:textFill>
                  <w14:solidFill>
                    <w14:schemeClr w14:val="tx1"/>
                  </w14:solidFill>
                </w14:textFill>
              </w:rPr>
              <w:t xml:space="preserve"> ≥</w:t>
            </w:r>
            <w:r>
              <w:rPr>
                <w:rFonts w:hint="default" w:ascii="Times New Roman" w:hAnsi="Times New Roman" w:eastAsia="宋体" w:cs="Times New Roman"/>
                <w:color w:val="000000" w:themeColor="text1"/>
                <w:kern w:val="0"/>
                <w:sz w:val="18"/>
                <w:szCs w:val="18"/>
                <w:lang w:bidi="ar"/>
                <w14:textFill>
                  <w14:solidFill>
                    <w14:schemeClr w14:val="tx1"/>
                  </w14:solidFill>
                </w14:textFill>
              </w:rPr>
              <w:t>25</w:t>
            </w:r>
          </w:p>
        </w:tc>
        <w:tc>
          <w:tcPr>
            <w:tcW w:w="1080" w:type="dxa"/>
            <w:tcBorders>
              <w:top w:val="single" w:color="auto" w:sz="18" w:space="0"/>
              <w:left w:val="nil"/>
              <w:bottom w:val="nil"/>
              <w:right w:val="nil"/>
            </w:tcBorders>
            <w:shd w:val="clear" w:color="auto" w:fill="auto"/>
            <w:tcMar>
              <w:top w:w="0"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kern w:val="0"/>
                <w:sz w:val="18"/>
                <w:szCs w:val="18"/>
                <w:lang w:bidi="ar"/>
                <w14:textFill>
                  <w14:solidFill>
                    <w14:schemeClr w14:val="tx1"/>
                  </w14:solidFill>
                </w14:textFill>
              </w:rPr>
              <w:t>41</w:t>
            </w:r>
          </w:p>
        </w:tc>
        <w:tc>
          <w:tcPr>
            <w:tcW w:w="1921" w:type="dxa"/>
            <w:tcBorders>
              <w:top w:val="single" w:color="auto" w:sz="18" w:space="0"/>
              <w:left w:val="nil"/>
              <w:bottom w:val="nil"/>
              <w:right w:val="nil"/>
            </w:tcBorders>
            <w:shd w:val="clear" w:color="auto" w:fill="auto"/>
            <w:tcMar>
              <w:top w:w="0"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kern w:val="0"/>
                <w:sz w:val="18"/>
                <w:szCs w:val="18"/>
                <w:lang w:bidi="ar"/>
                <w14:textFill>
                  <w14:solidFill>
                    <w14:schemeClr w14:val="tx1"/>
                  </w14:solidFill>
                </w14:textFill>
              </w:rPr>
              <w:t>60</w:t>
            </w:r>
            <w:r>
              <w:rPr>
                <w:rFonts w:hint="eastAsia" w:ascii="Times New Roman" w:hAnsi="Times New Roman" w:eastAsia="宋体" w:cs="Times New Roman"/>
                <w:color w:val="000000" w:themeColor="text1"/>
                <w:kern w:val="0"/>
                <w:sz w:val="18"/>
                <w:szCs w:val="18"/>
                <w:lang w:bidi="ar"/>
                <w14:textFill>
                  <w14:solidFill>
                    <w14:schemeClr w14:val="tx1"/>
                  </w14:solidFill>
                </w14:textFill>
              </w:rPr>
              <w:t xml:space="preserve"> (</w:t>
            </w:r>
            <w:r>
              <w:rPr>
                <w:rStyle w:val="5"/>
                <w:rFonts w:eastAsia="宋体"/>
                <w:color w:val="000000" w:themeColor="text1"/>
                <w:sz w:val="18"/>
                <w:szCs w:val="18"/>
                <w:lang w:bidi="ar"/>
                <w14:textFill>
                  <w14:solidFill>
                    <w14:schemeClr w14:val="tx1"/>
                  </w14:solidFill>
                </w14:textFill>
              </w:rPr>
              <w:t>43.5</w:t>
            </w:r>
            <w:r>
              <w:rPr>
                <w:rStyle w:val="5"/>
                <w:rFonts w:hint="eastAsia" w:eastAsia="宋体"/>
                <w:color w:val="000000" w:themeColor="text1"/>
                <w:sz w:val="18"/>
                <w:szCs w:val="18"/>
                <w:lang w:bidi="ar"/>
                <w14:textFill>
                  <w14:solidFill>
                    <w14:schemeClr w14:val="tx1"/>
                  </w14:solidFill>
                </w14:textFill>
              </w:rPr>
              <w:t>)</w:t>
            </w:r>
          </w:p>
        </w:tc>
        <w:tc>
          <w:tcPr>
            <w:tcW w:w="1919" w:type="dxa"/>
            <w:tcBorders>
              <w:top w:val="single" w:color="auto" w:sz="18" w:space="0"/>
              <w:left w:val="nil"/>
              <w:bottom w:val="nil"/>
              <w:right w:val="nil"/>
            </w:tcBorders>
            <w:shd w:val="clear" w:color="auto" w:fill="auto"/>
            <w:tcMar>
              <w:top w:w="0"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kern w:val="0"/>
                <w:sz w:val="18"/>
                <w:szCs w:val="18"/>
                <w:lang w:bidi="ar"/>
                <w14:textFill>
                  <w14:solidFill>
                    <w14:schemeClr w14:val="tx1"/>
                  </w14:solidFill>
                </w14:textFill>
              </w:rPr>
              <w:t xml:space="preserve">78 </w:t>
            </w:r>
            <w:r>
              <w:rPr>
                <w:rFonts w:hint="eastAsia" w:ascii="Times New Roman" w:hAnsi="Times New Roman" w:eastAsia="宋体" w:cs="Times New Roman"/>
                <w:color w:val="000000" w:themeColor="text1"/>
                <w:kern w:val="0"/>
                <w:sz w:val="18"/>
                <w:szCs w:val="18"/>
                <w:lang w:bidi="ar"/>
                <w14:textFill>
                  <w14:solidFill>
                    <w14:schemeClr w14:val="tx1"/>
                  </w14:solidFill>
                </w14:textFill>
              </w:rPr>
              <w:t>(</w:t>
            </w:r>
            <w:r>
              <w:rPr>
                <w:rStyle w:val="5"/>
                <w:rFonts w:eastAsia="宋体"/>
                <w:color w:val="000000" w:themeColor="text1"/>
                <w:sz w:val="18"/>
                <w:szCs w:val="18"/>
                <w:lang w:bidi="ar"/>
                <w14:textFill>
                  <w14:solidFill>
                    <w14:schemeClr w14:val="tx1"/>
                  </w14:solidFill>
                </w14:textFill>
              </w:rPr>
              <w:t>56.5</w:t>
            </w:r>
            <w:r>
              <w:rPr>
                <w:rStyle w:val="5"/>
                <w:rFonts w:hint="eastAsia" w:eastAsia="宋体"/>
                <w:color w:val="000000" w:themeColor="text1"/>
                <w:sz w:val="18"/>
                <w:szCs w:val="18"/>
                <w:lang w:bidi="ar"/>
                <w14:textFill>
                  <w14:solidFill>
                    <w14:schemeClr w14:val="tx1"/>
                  </w14:solidFill>
                </w14:textFill>
              </w:rPr>
              <w:t>)</w:t>
            </w:r>
          </w:p>
        </w:tc>
      </w:tr>
      <w:tr>
        <w:tblPrEx>
          <w:tblCellMar>
            <w:top w:w="0" w:type="dxa"/>
            <w:left w:w="0" w:type="dxa"/>
            <w:bottom w:w="0" w:type="dxa"/>
            <w:right w:w="0" w:type="dxa"/>
          </w:tblCellMar>
        </w:tblPrEx>
        <w:trPr>
          <w:trHeight w:val="23" w:hRule="atLeast"/>
        </w:trPr>
        <w:tc>
          <w:tcPr>
            <w:tcW w:w="1275" w:type="dxa"/>
            <w:tcBorders>
              <w:top w:val="nil"/>
              <w:left w:val="nil"/>
              <w:bottom w:val="nil"/>
              <w:right w:val="nil"/>
            </w:tcBorders>
            <w:shd w:val="clear" w:color="auto" w:fill="auto"/>
            <w:tcMar>
              <w:top w:w="0" w:type="dxa"/>
              <w:left w:w="15" w:type="dxa"/>
              <w:right w:w="15" w:type="dxa"/>
            </w:tcMar>
            <w:vAlign w:val="bottom"/>
          </w:tcPr>
          <w:p>
            <w:pPr>
              <w:keepNext w:val="0"/>
              <w:keepLines w:val="0"/>
              <w:suppressLineNumbers w:val="0"/>
              <w:spacing w:before="0" w:beforeAutospacing="0" w:after="0" w:afterAutospacing="0"/>
              <w:ind w:left="0" w:right="0"/>
              <w:jc w:val="left"/>
              <w:rPr>
                <w:rFonts w:hint="default" w:ascii="Times New Roman" w:hAnsi="Times New Roman" w:eastAsia="宋体" w:cs="Times New Roman"/>
                <w:color w:val="000000" w:themeColor="text1"/>
                <w:sz w:val="18"/>
                <w:szCs w:val="18"/>
                <w14:textFill>
                  <w14:solidFill>
                    <w14:schemeClr w14:val="tx1"/>
                  </w14:solidFill>
                </w14:textFill>
              </w:rPr>
            </w:pPr>
          </w:p>
        </w:tc>
        <w:tc>
          <w:tcPr>
            <w:tcW w:w="1815" w:type="dxa"/>
            <w:tcBorders>
              <w:top w:val="nil"/>
              <w:left w:val="nil"/>
              <w:bottom w:val="nil"/>
              <w:right w:val="nil"/>
            </w:tcBorders>
            <w:shd w:val="clear" w:color="auto" w:fill="auto"/>
            <w:tcMar>
              <w:top w:w="0"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kern w:val="0"/>
                <w:sz w:val="18"/>
                <w:szCs w:val="18"/>
                <w:lang w:bidi="ar"/>
                <w14:textFill>
                  <w14:solidFill>
                    <w14:schemeClr w14:val="tx1"/>
                  </w14:solidFill>
                </w14:textFill>
              </w:rPr>
              <w:t xml:space="preserve">43.0 for BMI </w:t>
            </w:r>
            <w:r>
              <w:rPr>
                <w:rFonts w:hint="eastAsia" w:ascii="Times New Roman" w:hAnsi="Times New Roman" w:eastAsia="宋体" w:cs="Times New Roman"/>
                <w:color w:val="000000" w:themeColor="text1"/>
                <w:kern w:val="0"/>
                <w:sz w:val="18"/>
                <w:szCs w:val="18"/>
                <w:lang w:bidi="ar"/>
                <w14:textFill>
                  <w14:solidFill>
                    <w14:schemeClr w14:val="tx1"/>
                  </w14:solidFill>
                </w14:textFill>
              </w:rPr>
              <w:t xml:space="preserve">&lt; </w:t>
            </w:r>
            <w:r>
              <w:rPr>
                <w:rFonts w:hint="default" w:ascii="Times New Roman" w:hAnsi="Times New Roman" w:eastAsia="宋体" w:cs="Times New Roman"/>
                <w:color w:val="000000" w:themeColor="text1"/>
                <w:kern w:val="0"/>
                <w:sz w:val="18"/>
                <w:szCs w:val="18"/>
                <w:lang w:bidi="ar"/>
                <w14:textFill>
                  <w14:solidFill>
                    <w14:schemeClr w14:val="tx1"/>
                  </w14:solidFill>
                </w14:textFill>
              </w:rPr>
              <w:t>25</w:t>
            </w:r>
          </w:p>
        </w:tc>
        <w:tc>
          <w:tcPr>
            <w:tcW w:w="1080" w:type="dxa"/>
            <w:tcBorders>
              <w:top w:val="nil"/>
              <w:left w:val="nil"/>
              <w:bottom w:val="nil"/>
              <w:right w:val="nil"/>
            </w:tcBorders>
            <w:shd w:val="clear" w:color="auto" w:fill="auto"/>
            <w:tcMar>
              <w:top w:w="0" w:type="dxa"/>
              <w:left w:w="15" w:type="dxa"/>
              <w:right w:w="15" w:type="dxa"/>
            </w:tcMar>
            <w:vAlign w:val="bottom"/>
          </w:tcPr>
          <w:p>
            <w:pPr>
              <w:keepNext w:val="0"/>
              <w:keepLines w:val="0"/>
              <w:suppressLineNumbers w:val="0"/>
              <w:spacing w:before="0" w:beforeAutospacing="0" w:after="0" w:afterAutospacing="0"/>
              <w:ind w:left="0" w:right="0"/>
              <w:jc w:val="left"/>
              <w:rPr>
                <w:rFonts w:hint="default" w:ascii="Times New Roman" w:hAnsi="Times New Roman" w:eastAsia="宋体" w:cs="Times New Roman"/>
                <w:color w:val="000000" w:themeColor="text1"/>
                <w:sz w:val="18"/>
                <w:szCs w:val="18"/>
                <w14:textFill>
                  <w14:solidFill>
                    <w14:schemeClr w14:val="tx1"/>
                  </w14:solidFill>
                </w14:textFill>
              </w:rPr>
            </w:pPr>
          </w:p>
        </w:tc>
        <w:tc>
          <w:tcPr>
            <w:tcW w:w="1921" w:type="dxa"/>
            <w:tcBorders>
              <w:top w:val="nil"/>
              <w:left w:val="nil"/>
              <w:bottom w:val="nil"/>
              <w:right w:val="nil"/>
            </w:tcBorders>
            <w:shd w:val="clear" w:color="auto" w:fill="auto"/>
            <w:tcMar>
              <w:top w:w="0" w:type="dxa"/>
              <w:left w:w="15" w:type="dxa"/>
              <w:right w:w="15" w:type="dxa"/>
            </w:tcMar>
            <w:vAlign w:val="bottom"/>
          </w:tcPr>
          <w:p>
            <w:pPr>
              <w:keepNext w:val="0"/>
              <w:keepLines w:val="0"/>
              <w:suppressLineNumbers w:val="0"/>
              <w:spacing w:before="0" w:beforeAutospacing="0" w:after="0" w:afterAutospacing="0"/>
              <w:ind w:left="0" w:right="0"/>
              <w:jc w:val="left"/>
              <w:rPr>
                <w:rFonts w:hint="default" w:ascii="Times New Roman" w:hAnsi="Times New Roman" w:eastAsia="宋体" w:cs="Times New Roman"/>
                <w:color w:val="000000" w:themeColor="text1"/>
                <w:sz w:val="18"/>
                <w:szCs w:val="18"/>
                <w14:textFill>
                  <w14:solidFill>
                    <w14:schemeClr w14:val="tx1"/>
                  </w14:solidFill>
                </w14:textFill>
              </w:rPr>
            </w:pPr>
          </w:p>
        </w:tc>
        <w:tc>
          <w:tcPr>
            <w:tcW w:w="1919" w:type="dxa"/>
            <w:tcBorders>
              <w:top w:val="nil"/>
              <w:left w:val="nil"/>
              <w:bottom w:val="nil"/>
              <w:right w:val="nil"/>
            </w:tcBorders>
            <w:shd w:val="clear" w:color="auto" w:fill="auto"/>
            <w:tcMar>
              <w:top w:w="0" w:type="dxa"/>
              <w:left w:w="15" w:type="dxa"/>
              <w:right w:w="15" w:type="dxa"/>
            </w:tcMar>
            <w:vAlign w:val="bottom"/>
          </w:tcPr>
          <w:p>
            <w:pPr>
              <w:keepNext w:val="0"/>
              <w:keepLines w:val="0"/>
              <w:suppressLineNumbers w:val="0"/>
              <w:spacing w:before="0" w:beforeAutospacing="0" w:after="0" w:afterAutospacing="0"/>
              <w:ind w:left="0" w:right="0"/>
              <w:jc w:val="left"/>
              <w:rPr>
                <w:rFonts w:hint="default" w:ascii="Times New Roman" w:hAnsi="Times New Roman" w:eastAsia="宋体" w:cs="Times New Roman"/>
                <w:color w:val="000000" w:themeColor="text1"/>
                <w:sz w:val="18"/>
                <w:szCs w:val="18"/>
                <w14:textFill>
                  <w14:solidFill>
                    <w14:schemeClr w14:val="tx1"/>
                  </w14:solidFill>
                </w14:textFill>
              </w:rPr>
            </w:pPr>
          </w:p>
        </w:tc>
      </w:tr>
      <w:tr>
        <w:tblPrEx>
          <w:tblCellMar>
            <w:top w:w="0" w:type="dxa"/>
            <w:left w:w="0" w:type="dxa"/>
            <w:bottom w:w="0" w:type="dxa"/>
            <w:right w:w="0" w:type="dxa"/>
          </w:tblCellMar>
        </w:tblPrEx>
        <w:trPr>
          <w:trHeight w:val="23" w:hRule="atLeast"/>
        </w:trPr>
        <w:tc>
          <w:tcPr>
            <w:tcW w:w="1275" w:type="dxa"/>
            <w:tcBorders>
              <w:top w:val="nil"/>
              <w:left w:val="nil"/>
              <w:bottom w:val="nil"/>
              <w:right w:val="nil"/>
            </w:tcBorders>
            <w:shd w:val="clear" w:color="auto" w:fill="auto"/>
            <w:tcMar>
              <w:top w:w="0"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kern w:val="0"/>
                <w:sz w:val="18"/>
                <w:szCs w:val="18"/>
                <w:lang w:bidi="ar"/>
                <w14:textFill>
                  <w14:solidFill>
                    <w14:schemeClr w14:val="tx1"/>
                  </w14:solidFill>
                </w14:textFill>
              </w:rPr>
              <w:t>Prado et al.</w:t>
            </w:r>
            <w:r>
              <w:rPr>
                <w:rFonts w:hint="default" w:ascii="Times New Roman" w:hAnsi="Times New Roman" w:eastAsia="宋体" w:cs="Times New Roman"/>
                <w:color w:val="000000" w:themeColor="text1"/>
                <w:kern w:val="0"/>
                <w:sz w:val="18"/>
                <w:szCs w:val="18"/>
                <w:lang w:bidi="ar"/>
                <w14:textFill>
                  <w14:solidFill>
                    <w14:schemeClr w14:val="tx1"/>
                  </w14:solidFill>
                </w14:textFill>
              </w:rPr>
              <w:fldChar w:fldCharType="begin"/>
            </w:r>
            <w:r>
              <w:rPr>
                <w:rFonts w:hint="default" w:ascii="Times New Roman" w:hAnsi="Times New Roman" w:eastAsia="宋体" w:cs="Times New Roman"/>
                <w:color w:val="000000" w:themeColor="text1"/>
                <w:kern w:val="0"/>
                <w:sz w:val="18"/>
                <w:szCs w:val="18"/>
                <w:lang w:bidi="ar"/>
                <w14:textFill>
                  <w14:solidFill>
                    <w14:schemeClr w14:val="tx1"/>
                  </w14:solidFill>
                </w14:textFill>
              </w:rPr>
              <w:instrText xml:space="preserve"> ADDIN EN.CITE &lt;EndNote&gt;&lt;Cite&gt;&lt;Author&gt;Prado&lt;/Author&gt;&lt;Year&gt;2008&lt;/Year&gt;&lt;RecNum&gt;28&lt;/RecNum&gt;&lt;DisplayText&gt;[21]&lt;/DisplayText&gt;&lt;record&gt;&lt;rec-number&gt;28&lt;/rec-number&gt;&lt;foreign-keys&gt;&lt;key app="EN" db-id="dpwsxtwp8z992nefe25xdexjsa20edreed2f" timestamp="1556678044"&gt;28&lt;/key&gt;&lt;/foreign-keys&gt;&lt;ref-type name="Journal Article"&gt;17&lt;/ref-type&gt;&lt;contributors&gt;&lt;authors&gt;&lt;author&gt;Prado, C. M.&lt;/author&gt;&lt;author&gt;Lieffers, J. R.&lt;/author&gt;&lt;author&gt;McCargar, L. J.&lt;/author&gt;&lt;author&gt;Reiman, T.&lt;/author&gt;&lt;author&gt;Sawyer, M. B.&lt;/author&gt;&lt;author&gt;Martin, L.&lt;/author&gt;&lt;author&gt;Baracos, V. E.&lt;/author&gt;&lt;/authors&gt;&lt;/contributors&gt;&lt;auth-address&gt;Agricultural, Food and Nutritional Science, University of Alberta, Edmonton, AB, Canada.&lt;/auth-address&gt;&lt;titles&gt;&lt;title&gt;Prevalence and clinical implications of sarcopenic obesity in patients with solid tumours of the respiratory and gastrointestinal tracts: a population-based study&lt;/title&gt;&lt;secondary-title&gt;Lancet Oncol.&lt;/secondary-title&gt;&lt;alt-title&gt;The Lancet. Oncology&lt;/alt-title&gt;&lt;/titles&gt;&lt;periodical&gt;&lt;full-title&gt;Lancet Oncol.&lt;/full-title&gt;&lt;abbr-1&gt;The Lancet. Oncology&lt;/abbr-1&gt;&lt;/periodical&gt;&lt;alt-periodical&gt;&lt;full-title&gt;Lancet Oncol.&lt;/full-title&gt;&lt;abbr-1&gt;The Lancet. Oncology&lt;/abbr-1&gt;&lt;/alt-periodical&gt;&lt;pages&gt;629-35&lt;/pages&gt;&lt;volume&gt;9&lt;/volume&gt;&lt;number&gt;7&lt;/number&gt;&lt;dates&gt;&lt;year&gt;2008&lt;/year&gt;&lt;pub-dates&gt;&lt;date&gt;Jul&lt;/date&gt;&lt;/pub-dates&gt;&lt;/dates&gt;&lt;isbn&gt;1474-5488&lt;/isbn&gt;&lt;accession-num&gt;18539529&lt;/accession-num&gt;&lt;urls&gt;&lt;/urls&gt;&lt;electronic-resource-num&gt;10.1016/s1470-2045(08)70153-0&lt;/electronic-resource-num&gt;&lt;language&gt;eng&lt;/language&gt;&lt;/record&gt;&lt;/Cite&gt;&lt;/EndNote&gt;</w:instrText>
            </w:r>
            <w:r>
              <w:rPr>
                <w:rFonts w:hint="default" w:ascii="Times New Roman" w:hAnsi="Times New Roman" w:eastAsia="宋体" w:cs="Times New Roman"/>
                <w:color w:val="000000" w:themeColor="text1"/>
                <w:kern w:val="0"/>
                <w:sz w:val="18"/>
                <w:szCs w:val="18"/>
                <w:lang w:bidi="ar"/>
                <w14:textFill>
                  <w14:solidFill>
                    <w14:schemeClr w14:val="tx1"/>
                  </w14:solidFill>
                </w14:textFill>
              </w:rPr>
              <w:fldChar w:fldCharType="separate"/>
            </w:r>
            <w:r>
              <w:rPr>
                <w:rFonts w:hint="default" w:ascii="Times New Roman" w:hAnsi="Times New Roman" w:eastAsia="宋体" w:cs="Times New Roman"/>
                <w:color w:val="000000" w:themeColor="text1"/>
                <w:kern w:val="0"/>
                <w:sz w:val="18"/>
                <w:szCs w:val="18"/>
                <w:lang w:bidi="ar"/>
                <w14:textFill>
                  <w14:solidFill>
                    <w14:schemeClr w14:val="tx1"/>
                  </w14:solidFill>
                </w14:textFill>
              </w:rPr>
              <w:t>[21]</w:t>
            </w:r>
            <w:r>
              <w:rPr>
                <w:rFonts w:hint="default" w:ascii="Times New Roman" w:hAnsi="Times New Roman" w:eastAsia="宋体" w:cs="Times New Roman"/>
                <w:color w:val="000000" w:themeColor="text1"/>
                <w:kern w:val="0"/>
                <w:sz w:val="18"/>
                <w:szCs w:val="18"/>
                <w:lang w:bidi="ar"/>
                <w14:textFill>
                  <w14:solidFill>
                    <w14:schemeClr w14:val="tx1"/>
                  </w14:solidFill>
                </w14:textFill>
              </w:rPr>
              <w:fldChar w:fldCharType="end"/>
            </w:r>
            <w:r>
              <w:rPr>
                <w:rStyle w:val="6"/>
                <w:rFonts w:hint="default"/>
                <w:color w:val="000000" w:themeColor="text1"/>
                <w:sz w:val="18"/>
                <w:szCs w:val="18"/>
                <w:lang w:bidi="ar"/>
                <w14:textFill>
                  <w14:solidFill>
                    <w14:schemeClr w14:val="tx1"/>
                  </w14:solidFill>
                </w14:textFill>
              </w:rPr>
              <w:t>（</w:t>
            </w:r>
            <w:r>
              <w:rPr>
                <w:rStyle w:val="5"/>
                <w:rFonts w:eastAsia="宋体"/>
                <w:color w:val="000000" w:themeColor="text1"/>
                <w:sz w:val="18"/>
                <w:szCs w:val="18"/>
                <w:lang w:bidi="ar"/>
                <w14:textFill>
                  <w14:solidFill>
                    <w14:schemeClr w14:val="tx1"/>
                  </w14:solidFill>
                </w14:textFill>
              </w:rPr>
              <w:t>Canada</w:t>
            </w:r>
            <w:r>
              <w:rPr>
                <w:rStyle w:val="7"/>
                <w:rFonts w:hint="default"/>
                <w:color w:val="000000" w:themeColor="text1"/>
                <w:sz w:val="18"/>
                <w:szCs w:val="18"/>
                <w:lang w:bidi="ar"/>
                <w14:textFill>
                  <w14:solidFill>
                    <w14:schemeClr w14:val="tx1"/>
                  </w14:solidFill>
                </w14:textFill>
              </w:rPr>
              <w:t>）</w:t>
            </w:r>
          </w:p>
        </w:tc>
        <w:tc>
          <w:tcPr>
            <w:tcW w:w="1815" w:type="dxa"/>
            <w:tcBorders>
              <w:top w:val="nil"/>
              <w:left w:val="nil"/>
              <w:bottom w:val="nil"/>
              <w:right w:val="nil"/>
            </w:tcBorders>
            <w:shd w:val="clear" w:color="auto" w:fill="auto"/>
            <w:tcMar>
              <w:top w:w="0"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default" w:ascii="Times New Roman" w:hAnsi="Times New Roman" w:eastAsia="宋体" w:cs="Times New Roman"/>
                <w:color w:val="000000" w:themeColor="text1"/>
                <w:kern w:val="0"/>
                <w:sz w:val="18"/>
                <w:szCs w:val="18"/>
                <w:lang w:bidi="ar"/>
                <w14:textFill>
                  <w14:solidFill>
                    <w14:schemeClr w14:val="tx1"/>
                  </w14:solidFill>
                </w14:textFill>
              </w:rPr>
            </w:pPr>
            <w:r>
              <w:rPr>
                <w:rFonts w:hint="default" w:ascii="Times New Roman" w:hAnsi="Times New Roman" w:eastAsia="宋体" w:cs="Times New Roman"/>
                <w:color w:val="000000" w:themeColor="text1"/>
                <w:kern w:val="0"/>
                <w:sz w:val="18"/>
                <w:szCs w:val="18"/>
                <w:lang w:bidi="ar"/>
                <w14:textFill>
                  <w14:solidFill>
                    <w14:schemeClr w14:val="tx1"/>
                  </w14:solidFill>
                </w14:textFill>
              </w:rPr>
              <w:t>52.4</w:t>
            </w:r>
          </w:p>
        </w:tc>
        <w:tc>
          <w:tcPr>
            <w:tcW w:w="1080" w:type="dxa"/>
            <w:tcBorders>
              <w:top w:val="nil"/>
              <w:left w:val="nil"/>
              <w:bottom w:val="nil"/>
              <w:right w:val="nil"/>
            </w:tcBorders>
            <w:shd w:val="clear" w:color="auto" w:fill="auto"/>
            <w:tcMar>
              <w:top w:w="0"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kern w:val="0"/>
                <w:sz w:val="18"/>
                <w:szCs w:val="18"/>
                <w:lang w:bidi="ar"/>
                <w14:textFill>
                  <w14:solidFill>
                    <w14:schemeClr w14:val="tx1"/>
                  </w14:solidFill>
                </w14:textFill>
              </w:rPr>
              <w:t>38.5</w:t>
            </w:r>
          </w:p>
        </w:tc>
        <w:tc>
          <w:tcPr>
            <w:tcW w:w="1921" w:type="dxa"/>
            <w:tcBorders>
              <w:top w:val="nil"/>
              <w:left w:val="nil"/>
              <w:bottom w:val="nil"/>
              <w:right w:val="nil"/>
            </w:tcBorders>
            <w:shd w:val="clear" w:color="auto" w:fill="auto"/>
            <w:tcMar>
              <w:top w:w="0"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kern w:val="0"/>
                <w:sz w:val="18"/>
                <w:szCs w:val="18"/>
                <w:lang w:bidi="ar"/>
                <w14:textFill>
                  <w14:solidFill>
                    <w14:schemeClr w14:val="tx1"/>
                  </w14:solidFill>
                </w14:textFill>
              </w:rPr>
              <w:t>28</w:t>
            </w:r>
            <w:r>
              <w:rPr>
                <w:rFonts w:hint="eastAsia" w:ascii="Times New Roman" w:hAnsi="Times New Roman" w:eastAsia="宋体" w:cs="Times New Roman"/>
                <w:color w:val="000000" w:themeColor="text1"/>
                <w:kern w:val="0"/>
                <w:sz w:val="18"/>
                <w:szCs w:val="18"/>
                <w:lang w:bidi="ar"/>
                <w14:textFill>
                  <w14:solidFill>
                    <w14:schemeClr w14:val="tx1"/>
                  </w14:solidFill>
                </w14:textFill>
              </w:rPr>
              <w:t xml:space="preserve"> (</w:t>
            </w:r>
            <w:r>
              <w:rPr>
                <w:rStyle w:val="5"/>
                <w:rFonts w:eastAsia="宋体"/>
                <w:color w:val="000000" w:themeColor="text1"/>
                <w:sz w:val="18"/>
                <w:szCs w:val="18"/>
                <w:lang w:bidi="ar"/>
                <w14:textFill>
                  <w14:solidFill>
                    <w14:schemeClr w14:val="tx1"/>
                  </w14:solidFill>
                </w14:textFill>
              </w:rPr>
              <w:t>20.2</w:t>
            </w:r>
            <w:r>
              <w:rPr>
                <w:rStyle w:val="5"/>
                <w:rFonts w:hint="eastAsia" w:eastAsia="宋体"/>
                <w:color w:val="000000" w:themeColor="text1"/>
                <w:sz w:val="18"/>
                <w:szCs w:val="18"/>
                <w:lang w:bidi="ar"/>
                <w14:textFill>
                  <w14:solidFill>
                    <w14:schemeClr w14:val="tx1"/>
                  </w14:solidFill>
                </w14:textFill>
              </w:rPr>
              <w:t>)</w:t>
            </w:r>
          </w:p>
        </w:tc>
        <w:tc>
          <w:tcPr>
            <w:tcW w:w="1919" w:type="dxa"/>
            <w:tcBorders>
              <w:top w:val="nil"/>
              <w:left w:val="nil"/>
              <w:bottom w:val="nil"/>
              <w:right w:val="nil"/>
            </w:tcBorders>
            <w:shd w:val="clear" w:color="auto" w:fill="auto"/>
            <w:tcMar>
              <w:top w:w="0"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kern w:val="0"/>
                <w:sz w:val="18"/>
                <w:szCs w:val="18"/>
                <w:lang w:bidi="ar"/>
                <w14:textFill>
                  <w14:solidFill>
                    <w14:schemeClr w14:val="tx1"/>
                  </w14:solidFill>
                </w14:textFill>
              </w:rPr>
              <w:t>110</w:t>
            </w:r>
            <w:r>
              <w:rPr>
                <w:rFonts w:hint="eastAsia" w:ascii="Times New Roman" w:hAnsi="Times New Roman" w:eastAsia="宋体" w:cs="Times New Roman"/>
                <w:color w:val="000000" w:themeColor="text1"/>
                <w:kern w:val="0"/>
                <w:sz w:val="18"/>
                <w:szCs w:val="18"/>
                <w:lang w:bidi="ar"/>
                <w14:textFill>
                  <w14:solidFill>
                    <w14:schemeClr w14:val="tx1"/>
                  </w14:solidFill>
                </w14:textFill>
              </w:rPr>
              <w:t xml:space="preserve"> (</w:t>
            </w:r>
            <w:r>
              <w:rPr>
                <w:rStyle w:val="5"/>
                <w:rFonts w:eastAsia="宋体"/>
                <w:color w:val="000000" w:themeColor="text1"/>
                <w:sz w:val="18"/>
                <w:szCs w:val="18"/>
                <w:lang w:bidi="ar"/>
                <w14:textFill>
                  <w14:solidFill>
                    <w14:schemeClr w14:val="tx1"/>
                  </w14:solidFill>
                </w14:textFill>
              </w:rPr>
              <w:t>79.8</w:t>
            </w:r>
            <w:r>
              <w:rPr>
                <w:rStyle w:val="5"/>
                <w:rFonts w:hint="eastAsia" w:eastAsia="宋体"/>
                <w:color w:val="000000" w:themeColor="text1"/>
                <w:sz w:val="18"/>
                <w:szCs w:val="18"/>
                <w:lang w:bidi="ar"/>
                <w14:textFill>
                  <w14:solidFill>
                    <w14:schemeClr w14:val="tx1"/>
                  </w14:solidFill>
                </w14:textFill>
              </w:rPr>
              <w:t>)</w:t>
            </w:r>
          </w:p>
        </w:tc>
      </w:tr>
      <w:tr>
        <w:tblPrEx>
          <w:tblCellMar>
            <w:top w:w="0" w:type="dxa"/>
            <w:left w:w="0" w:type="dxa"/>
            <w:bottom w:w="0" w:type="dxa"/>
            <w:right w:w="0" w:type="dxa"/>
          </w:tblCellMar>
        </w:tblPrEx>
        <w:trPr>
          <w:trHeight w:val="45" w:hRule="atLeast"/>
        </w:trPr>
        <w:tc>
          <w:tcPr>
            <w:tcW w:w="1275" w:type="dxa"/>
            <w:tcBorders>
              <w:top w:val="nil"/>
              <w:left w:val="nil"/>
              <w:bottom w:val="nil"/>
              <w:right w:val="nil"/>
            </w:tcBorders>
            <w:shd w:val="clear" w:color="auto" w:fill="auto"/>
            <w:tcMar>
              <w:top w:w="0"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kern w:val="0"/>
                <w:sz w:val="18"/>
                <w:szCs w:val="18"/>
                <w:lang w:bidi="ar"/>
                <w14:textFill>
                  <w14:solidFill>
                    <w14:schemeClr w14:val="tx1"/>
                  </w14:solidFill>
                </w14:textFill>
              </w:rPr>
              <w:t>ZF Zheng et al.</w:t>
            </w:r>
            <w:r>
              <w:rPr>
                <w:rFonts w:hint="default" w:ascii="Times New Roman" w:hAnsi="Times New Roman" w:eastAsia="宋体" w:cs="Times New Roman"/>
                <w:color w:val="000000" w:themeColor="text1"/>
                <w:kern w:val="0"/>
                <w:sz w:val="18"/>
                <w:szCs w:val="18"/>
                <w:lang w:bidi="ar"/>
                <w14:textFill>
                  <w14:solidFill>
                    <w14:schemeClr w14:val="tx1"/>
                  </w14:solidFill>
                </w14:textFill>
              </w:rPr>
              <w:fldChar w:fldCharType="begin"/>
            </w:r>
            <w:r>
              <w:rPr>
                <w:rFonts w:hint="default" w:ascii="Times New Roman" w:hAnsi="Times New Roman" w:eastAsia="宋体" w:cs="Times New Roman"/>
                <w:color w:val="000000" w:themeColor="text1"/>
                <w:kern w:val="0"/>
                <w:sz w:val="18"/>
                <w:szCs w:val="18"/>
                <w:lang w:bidi="ar"/>
                <w14:textFill>
                  <w14:solidFill>
                    <w14:schemeClr w14:val="tx1"/>
                  </w14:solidFill>
                </w14:textFill>
              </w:rPr>
              <w:instrText xml:space="preserve"> ADDIN EN.CITE &lt;EndNote&gt;&lt;Cite&gt;&lt;Author&gt;Zheng&lt;/Author&gt;&lt;Year&gt;2017&lt;/Year&gt;&lt;RecNum&gt;17&lt;/RecNum&gt;&lt;DisplayText&gt;[10]&lt;/DisplayText&gt;&lt;record&gt;&lt;rec-number&gt;17&lt;/rec-number&gt;&lt;foreign-keys&gt;&lt;key app="EN" db-id="dpwsxtwp8z992nefe25xdexjsa20edreed2f" timestamp="1556677948"&gt;17&lt;/key&gt;&lt;/foreign-keys&gt;&lt;ref-type name="Journal Article"&gt;17&lt;/ref-type&gt;&lt;contributors&gt;&lt;authors&gt;&lt;author&gt;Zheng, Z. F.&lt;/author&gt;&lt;author&gt;Lu, J.&lt;/author&gt;&lt;author&gt;Zheng, C. H.&lt;/author&gt;&lt;author&gt;Li, P.&lt;/author&gt;&lt;author&gt;Xie, J. W.&lt;/author&gt;&lt;author&gt;Wang, J. B.&lt;/author&gt;&lt;author&gt;Lin, J. X.&lt;/author&gt;&lt;author&gt;Chen, Q. Y.&lt;/author&gt;&lt;author&gt;Lin, M.&lt;/author&gt;&lt;author&gt;Huang, C. M.&lt;/author&gt;&lt;/authors&gt;&lt;/contributors&gt;&lt;auth-address&gt;Department of Gastric Surgery, Fujian Medical University Union Hospital, Fuzhou, Fujian, China.&amp;#xD;Department of Gastric Surgery, Fujian Medical University Union Hospital, Fuzhou, Fujian, China. hcmlr2002@163.com.&lt;/auth-address&gt;&lt;titles&gt;&lt;title&gt;A Novel Prognostic Scoring System Based on Preoperative Sarcopenia Predicts the Long-Term Outcome for Patients After R0 Resection for Gastric Cancer: Experiences of a High-Volume Center&lt;/title&gt;&lt;secondary-title&gt;Ann. Surg. Oncol.&lt;/secondary-title&gt;&lt;alt-title&gt;Annals of surgical oncology&lt;/alt-title&gt;&lt;/titles&gt;&lt;periodical&gt;&lt;full-title&gt;Ann. Surg. Oncol.&lt;/full-title&gt;&lt;abbr-1&gt;Annals of surgical oncology&lt;/abbr-1&gt;&lt;/periodical&gt;&lt;alt-periodical&gt;&lt;full-title&gt;Annals of Surgical Oncology&lt;/full-title&gt;&lt;abbr-1&gt;Ann. Surg. Oncol.&lt;/abbr-1&gt;&lt;abbr-2&gt;Ann Surg Oncol&lt;/abbr-2&gt;&lt;/alt-periodical&gt;&lt;pages&gt;1795-1803&lt;/pages&gt;&lt;volume&gt;24&lt;/volume&gt;&lt;number&gt;7&lt;/number&gt;&lt;dates&gt;&lt;year&gt;2017&lt;/year&gt;&lt;pub-dates&gt;&lt;date&gt;Jul&lt;/date&gt;&lt;/pub-dates&gt;&lt;/dates&gt;&lt;isbn&gt;1534-4681&lt;/isbn&gt;&lt;accession-num&gt;28213789&lt;/accession-num&gt;&lt;urls&gt;&lt;/urls&gt;&lt;electronic-resource-num&gt;10.1245/s10434-017-5813-7&lt;/electronic-resource-num&gt;&lt;language&gt;eng&lt;/language&gt;&lt;/record&gt;&lt;/Cite&gt;&lt;/EndNote&gt;</w:instrText>
            </w:r>
            <w:r>
              <w:rPr>
                <w:rFonts w:hint="default" w:ascii="Times New Roman" w:hAnsi="Times New Roman" w:eastAsia="宋体" w:cs="Times New Roman"/>
                <w:color w:val="000000" w:themeColor="text1"/>
                <w:kern w:val="0"/>
                <w:sz w:val="18"/>
                <w:szCs w:val="18"/>
                <w:lang w:bidi="ar"/>
                <w14:textFill>
                  <w14:solidFill>
                    <w14:schemeClr w14:val="tx1"/>
                  </w14:solidFill>
                </w14:textFill>
              </w:rPr>
              <w:fldChar w:fldCharType="separate"/>
            </w:r>
            <w:r>
              <w:rPr>
                <w:rFonts w:hint="default" w:ascii="Times New Roman" w:hAnsi="Times New Roman" w:eastAsia="宋体" w:cs="Times New Roman"/>
                <w:color w:val="000000" w:themeColor="text1"/>
                <w:kern w:val="0"/>
                <w:sz w:val="18"/>
                <w:szCs w:val="18"/>
                <w:lang w:bidi="ar"/>
                <w14:textFill>
                  <w14:solidFill>
                    <w14:schemeClr w14:val="tx1"/>
                  </w14:solidFill>
                </w14:textFill>
              </w:rPr>
              <w:t>[10]</w:t>
            </w:r>
            <w:r>
              <w:rPr>
                <w:rFonts w:hint="default" w:ascii="Times New Roman" w:hAnsi="Times New Roman" w:eastAsia="宋体" w:cs="Times New Roman"/>
                <w:color w:val="000000" w:themeColor="text1"/>
                <w:kern w:val="0"/>
                <w:sz w:val="18"/>
                <w:szCs w:val="18"/>
                <w:lang w:bidi="ar"/>
                <w14:textFill>
                  <w14:solidFill>
                    <w14:schemeClr w14:val="tx1"/>
                  </w14:solidFill>
                </w14:textFill>
              </w:rPr>
              <w:fldChar w:fldCharType="end"/>
            </w:r>
            <w:r>
              <w:rPr>
                <w:rFonts w:hint="default" w:ascii="Times New Roman" w:hAnsi="Times New Roman" w:eastAsia="宋体" w:cs="Times New Roman"/>
                <w:color w:val="000000" w:themeColor="text1"/>
                <w:kern w:val="0"/>
                <w:sz w:val="18"/>
                <w:szCs w:val="18"/>
                <w:lang w:bidi="ar"/>
                <w14:textFill>
                  <w14:solidFill>
                    <w14:schemeClr w14:val="tx1"/>
                  </w14:solidFill>
                </w14:textFill>
              </w:rPr>
              <w:t>(China)</w:t>
            </w:r>
          </w:p>
        </w:tc>
        <w:tc>
          <w:tcPr>
            <w:tcW w:w="1815" w:type="dxa"/>
            <w:tcBorders>
              <w:top w:val="nil"/>
              <w:left w:val="nil"/>
              <w:bottom w:val="nil"/>
              <w:right w:val="nil"/>
            </w:tcBorders>
            <w:shd w:val="clear" w:color="auto" w:fill="auto"/>
            <w:tcMar>
              <w:top w:w="0"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kern w:val="0"/>
                <w:sz w:val="18"/>
                <w:szCs w:val="18"/>
                <w:lang w:bidi="ar"/>
                <w14:textFill>
                  <w14:solidFill>
                    <w14:schemeClr w14:val="tx1"/>
                  </w14:solidFill>
                </w14:textFill>
              </w:rPr>
              <w:t>32.5</w:t>
            </w:r>
          </w:p>
        </w:tc>
        <w:tc>
          <w:tcPr>
            <w:tcW w:w="1080" w:type="dxa"/>
            <w:tcBorders>
              <w:top w:val="nil"/>
              <w:left w:val="nil"/>
              <w:bottom w:val="nil"/>
              <w:right w:val="nil"/>
            </w:tcBorders>
            <w:shd w:val="clear" w:color="auto" w:fill="auto"/>
            <w:tcMar>
              <w:top w:w="0"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kern w:val="0"/>
                <w:sz w:val="18"/>
                <w:szCs w:val="18"/>
                <w:lang w:bidi="ar"/>
                <w14:textFill>
                  <w14:solidFill>
                    <w14:schemeClr w14:val="tx1"/>
                  </w14:solidFill>
                </w14:textFill>
              </w:rPr>
              <w:t>28.6</w:t>
            </w:r>
          </w:p>
        </w:tc>
        <w:tc>
          <w:tcPr>
            <w:tcW w:w="1921" w:type="dxa"/>
            <w:tcBorders>
              <w:top w:val="nil"/>
              <w:left w:val="nil"/>
              <w:bottom w:val="nil"/>
              <w:right w:val="nil"/>
            </w:tcBorders>
            <w:shd w:val="clear" w:color="auto" w:fill="auto"/>
            <w:tcMar>
              <w:top w:w="0"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kern w:val="0"/>
                <w:sz w:val="18"/>
                <w:szCs w:val="18"/>
                <w:lang w:bidi="ar"/>
                <w14:textFill>
                  <w14:solidFill>
                    <w14:schemeClr w14:val="tx1"/>
                  </w14:solidFill>
                </w14:textFill>
              </w:rPr>
              <w:t>131</w:t>
            </w:r>
            <w:r>
              <w:rPr>
                <w:rStyle w:val="6"/>
                <w:rFonts w:hint="default"/>
                <w:color w:val="000000" w:themeColor="text1"/>
                <w:sz w:val="18"/>
                <w:szCs w:val="18"/>
                <w:lang w:bidi="ar"/>
                <w14:textFill>
                  <w14:solidFill>
                    <w14:schemeClr w14:val="tx1"/>
                  </w14:solidFill>
                </w14:textFill>
              </w:rPr>
              <w:t>(</w:t>
            </w:r>
            <w:r>
              <w:rPr>
                <w:rStyle w:val="5"/>
                <w:rFonts w:eastAsia="宋体"/>
                <w:color w:val="000000" w:themeColor="text1"/>
                <w:sz w:val="18"/>
                <w:szCs w:val="18"/>
                <w:lang w:bidi="ar"/>
                <w14:textFill>
                  <w14:solidFill>
                    <w14:schemeClr w14:val="tx1"/>
                  </w14:solidFill>
                </w14:textFill>
              </w:rPr>
              <w:t>94.9</w:t>
            </w:r>
            <w:r>
              <w:rPr>
                <w:rStyle w:val="5"/>
                <w:rFonts w:hint="eastAsia" w:eastAsia="宋体"/>
                <w:color w:val="000000" w:themeColor="text1"/>
                <w:sz w:val="18"/>
                <w:szCs w:val="18"/>
                <w:lang w:bidi="ar"/>
                <w14:textFill>
                  <w14:solidFill>
                    <w14:schemeClr w14:val="tx1"/>
                  </w14:solidFill>
                </w14:textFill>
              </w:rPr>
              <w:t>)</w:t>
            </w:r>
          </w:p>
        </w:tc>
        <w:tc>
          <w:tcPr>
            <w:tcW w:w="1919" w:type="dxa"/>
            <w:tcBorders>
              <w:top w:val="nil"/>
              <w:left w:val="nil"/>
              <w:bottom w:val="nil"/>
              <w:right w:val="nil"/>
            </w:tcBorders>
            <w:shd w:val="clear" w:color="auto" w:fill="auto"/>
            <w:tcMar>
              <w:top w:w="0"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kern w:val="0"/>
                <w:sz w:val="18"/>
                <w:szCs w:val="18"/>
                <w:lang w:bidi="ar"/>
                <w14:textFill>
                  <w14:solidFill>
                    <w14:schemeClr w14:val="tx1"/>
                  </w14:solidFill>
                </w14:textFill>
              </w:rPr>
              <w:t>7</w:t>
            </w:r>
            <w:r>
              <w:rPr>
                <w:rFonts w:hint="eastAsia" w:ascii="Times New Roman" w:hAnsi="Times New Roman" w:eastAsia="宋体" w:cs="Times New Roman"/>
                <w:color w:val="000000" w:themeColor="text1"/>
                <w:kern w:val="0"/>
                <w:sz w:val="18"/>
                <w:szCs w:val="18"/>
                <w:lang w:bidi="ar"/>
                <w14:textFill>
                  <w14:solidFill>
                    <w14:schemeClr w14:val="tx1"/>
                  </w14:solidFill>
                </w14:textFill>
              </w:rPr>
              <w:t xml:space="preserve"> (</w:t>
            </w:r>
            <w:r>
              <w:rPr>
                <w:rStyle w:val="5"/>
                <w:rFonts w:eastAsia="宋体"/>
                <w:color w:val="000000" w:themeColor="text1"/>
                <w:sz w:val="18"/>
                <w:szCs w:val="18"/>
                <w:lang w:bidi="ar"/>
                <w14:textFill>
                  <w14:solidFill>
                    <w14:schemeClr w14:val="tx1"/>
                  </w14:solidFill>
                </w14:textFill>
              </w:rPr>
              <w:t>5.1</w:t>
            </w:r>
            <w:r>
              <w:rPr>
                <w:rStyle w:val="5"/>
                <w:rFonts w:hint="eastAsia" w:eastAsia="宋体"/>
                <w:color w:val="000000" w:themeColor="text1"/>
                <w:sz w:val="18"/>
                <w:szCs w:val="18"/>
                <w:lang w:bidi="ar"/>
                <w14:textFill>
                  <w14:solidFill>
                    <w14:schemeClr w14:val="tx1"/>
                  </w14:solidFill>
                </w14:textFill>
              </w:rPr>
              <w:t>)</w:t>
            </w:r>
          </w:p>
        </w:tc>
      </w:tr>
      <w:tr>
        <w:tblPrEx>
          <w:tblCellMar>
            <w:top w:w="0" w:type="dxa"/>
            <w:left w:w="0" w:type="dxa"/>
            <w:bottom w:w="0" w:type="dxa"/>
            <w:right w:w="0" w:type="dxa"/>
          </w:tblCellMar>
        </w:tblPrEx>
        <w:trPr>
          <w:trHeight w:val="23" w:hRule="atLeast"/>
        </w:trPr>
        <w:tc>
          <w:tcPr>
            <w:tcW w:w="1275" w:type="dxa"/>
            <w:tcBorders>
              <w:top w:val="nil"/>
              <w:left w:val="nil"/>
              <w:bottom w:val="single" w:color="auto" w:sz="18" w:space="0"/>
              <w:right w:val="nil"/>
            </w:tcBorders>
            <w:shd w:val="clear" w:color="auto" w:fill="auto"/>
            <w:tcMar>
              <w:top w:w="0"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kern w:val="0"/>
                <w:sz w:val="18"/>
                <w:szCs w:val="18"/>
                <w:lang w:bidi="ar"/>
                <w14:textFill>
                  <w14:solidFill>
                    <w14:schemeClr w14:val="tx1"/>
                  </w14:solidFill>
                </w14:textFill>
              </w:rPr>
              <w:t>Our Study</w:t>
            </w:r>
          </w:p>
        </w:tc>
        <w:tc>
          <w:tcPr>
            <w:tcW w:w="1815" w:type="dxa"/>
            <w:tcBorders>
              <w:top w:val="nil"/>
              <w:left w:val="nil"/>
              <w:bottom w:val="single" w:color="auto" w:sz="18" w:space="0"/>
              <w:right w:val="nil"/>
            </w:tcBorders>
            <w:shd w:val="clear" w:color="auto" w:fill="auto"/>
            <w:tcMar>
              <w:top w:w="0"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kern w:val="0"/>
                <w:sz w:val="18"/>
                <w:szCs w:val="18"/>
                <w:lang w:bidi="ar"/>
                <w14:textFill>
                  <w14:solidFill>
                    <w14:schemeClr w14:val="tx1"/>
                  </w14:solidFill>
                </w14:textFill>
              </w:rPr>
              <w:t>44.3</w:t>
            </w:r>
          </w:p>
        </w:tc>
        <w:tc>
          <w:tcPr>
            <w:tcW w:w="1080" w:type="dxa"/>
            <w:tcBorders>
              <w:top w:val="nil"/>
              <w:left w:val="nil"/>
              <w:bottom w:val="single" w:color="auto" w:sz="18" w:space="0"/>
              <w:right w:val="nil"/>
            </w:tcBorders>
            <w:shd w:val="clear" w:color="auto" w:fill="auto"/>
            <w:tcMar>
              <w:top w:w="0"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kern w:val="0"/>
                <w:sz w:val="18"/>
                <w:szCs w:val="18"/>
                <w:lang w:bidi="ar"/>
                <w14:textFill>
                  <w14:solidFill>
                    <w14:schemeClr w14:val="tx1"/>
                  </w14:solidFill>
                </w14:textFill>
              </w:rPr>
              <w:t>32.6</w:t>
            </w:r>
          </w:p>
        </w:tc>
        <w:tc>
          <w:tcPr>
            <w:tcW w:w="1921" w:type="dxa"/>
            <w:tcBorders>
              <w:top w:val="nil"/>
              <w:left w:val="nil"/>
              <w:bottom w:val="single" w:color="auto" w:sz="18" w:space="0"/>
              <w:right w:val="nil"/>
            </w:tcBorders>
            <w:shd w:val="clear" w:color="auto" w:fill="auto"/>
            <w:tcMar>
              <w:top w:w="0"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kern w:val="0"/>
                <w:sz w:val="18"/>
                <w:szCs w:val="18"/>
                <w:lang w:bidi="ar"/>
                <w14:textFill>
                  <w14:solidFill>
                    <w14:schemeClr w14:val="tx1"/>
                  </w14:solidFill>
                </w14:textFill>
              </w:rPr>
              <w:t>79</w:t>
            </w:r>
            <w:r>
              <w:rPr>
                <w:rFonts w:hint="eastAsia" w:ascii="Times New Roman" w:hAnsi="Times New Roman" w:eastAsia="宋体" w:cs="Times New Roman"/>
                <w:color w:val="000000" w:themeColor="text1"/>
                <w:kern w:val="0"/>
                <w:sz w:val="18"/>
                <w:szCs w:val="18"/>
                <w:lang w:bidi="ar"/>
                <w14:textFill>
                  <w14:solidFill>
                    <w14:schemeClr w14:val="tx1"/>
                  </w14:solidFill>
                </w14:textFill>
              </w:rPr>
              <w:t xml:space="preserve"> (</w:t>
            </w:r>
            <w:r>
              <w:rPr>
                <w:rStyle w:val="5"/>
                <w:rFonts w:eastAsia="宋体"/>
                <w:color w:val="000000" w:themeColor="text1"/>
                <w:sz w:val="18"/>
                <w:szCs w:val="18"/>
                <w:lang w:bidi="ar"/>
                <w14:textFill>
                  <w14:solidFill>
                    <w14:schemeClr w14:val="tx1"/>
                  </w14:solidFill>
                </w14:textFill>
              </w:rPr>
              <w:t>57.2</w:t>
            </w:r>
            <w:r>
              <w:rPr>
                <w:rStyle w:val="5"/>
                <w:rFonts w:hint="eastAsia" w:eastAsia="宋体"/>
                <w:color w:val="000000" w:themeColor="text1"/>
                <w:sz w:val="18"/>
                <w:szCs w:val="18"/>
                <w:lang w:bidi="ar"/>
                <w14:textFill>
                  <w14:solidFill>
                    <w14:schemeClr w14:val="tx1"/>
                  </w14:solidFill>
                </w14:textFill>
              </w:rPr>
              <w:t>)</w:t>
            </w:r>
          </w:p>
        </w:tc>
        <w:tc>
          <w:tcPr>
            <w:tcW w:w="1919" w:type="dxa"/>
            <w:tcBorders>
              <w:top w:val="nil"/>
              <w:left w:val="nil"/>
              <w:bottom w:val="single" w:color="auto" w:sz="18" w:space="0"/>
              <w:right w:val="nil"/>
            </w:tcBorders>
            <w:shd w:val="clear" w:color="auto" w:fill="auto"/>
            <w:tcMar>
              <w:top w:w="0"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kern w:val="0"/>
                <w:sz w:val="18"/>
                <w:szCs w:val="18"/>
                <w:lang w:bidi="ar"/>
                <w14:textFill>
                  <w14:solidFill>
                    <w14:schemeClr w14:val="tx1"/>
                  </w14:solidFill>
                </w14:textFill>
              </w:rPr>
              <w:t>59</w:t>
            </w:r>
            <w:r>
              <w:rPr>
                <w:rFonts w:hint="eastAsia" w:ascii="Times New Roman" w:hAnsi="Times New Roman" w:eastAsia="宋体" w:cs="Times New Roman"/>
                <w:color w:val="000000" w:themeColor="text1"/>
                <w:kern w:val="0"/>
                <w:sz w:val="18"/>
                <w:szCs w:val="18"/>
                <w:lang w:bidi="ar"/>
                <w14:textFill>
                  <w14:solidFill>
                    <w14:schemeClr w14:val="tx1"/>
                  </w14:solidFill>
                </w14:textFill>
              </w:rPr>
              <w:t xml:space="preserve"> (</w:t>
            </w:r>
            <w:r>
              <w:rPr>
                <w:rStyle w:val="5"/>
                <w:rFonts w:eastAsia="宋体"/>
                <w:color w:val="000000" w:themeColor="text1"/>
                <w:sz w:val="18"/>
                <w:szCs w:val="18"/>
                <w:lang w:bidi="ar"/>
                <w14:textFill>
                  <w14:solidFill>
                    <w14:schemeClr w14:val="tx1"/>
                  </w14:solidFill>
                </w14:textFill>
              </w:rPr>
              <w:t>42.</w:t>
            </w:r>
            <w:r>
              <w:rPr>
                <w:rStyle w:val="5"/>
                <w:rFonts w:hint="eastAsia" w:eastAsia="宋体"/>
                <w:color w:val="000000" w:themeColor="text1"/>
                <w:sz w:val="18"/>
                <w:szCs w:val="18"/>
                <w:lang w:bidi="ar"/>
                <w14:textFill>
                  <w14:solidFill>
                    <w14:schemeClr w14:val="tx1"/>
                  </w14:solidFill>
                </w14:textFill>
              </w:rPr>
              <w:t>8)</w:t>
            </w:r>
          </w:p>
        </w:tc>
      </w:tr>
      <w:tr>
        <w:tblPrEx>
          <w:tblCellMar>
            <w:top w:w="0" w:type="dxa"/>
            <w:left w:w="0" w:type="dxa"/>
            <w:bottom w:w="0" w:type="dxa"/>
            <w:right w:w="0" w:type="dxa"/>
          </w:tblCellMar>
        </w:tblPrEx>
        <w:trPr>
          <w:trHeight w:val="23" w:hRule="atLeast"/>
        </w:trPr>
        <w:tc>
          <w:tcPr>
            <w:tcW w:w="8010" w:type="dxa"/>
            <w:gridSpan w:val="5"/>
            <w:tcBorders>
              <w:top w:val="single" w:color="auto" w:sz="18" w:space="0"/>
              <w:left w:val="nil"/>
              <w:bottom w:val="nil"/>
              <w:right w:val="nil"/>
            </w:tcBorders>
            <w:shd w:val="clear" w:color="auto" w:fill="auto"/>
            <w:noWrap/>
            <w:tcMar>
              <w:top w:w="0"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kern w:val="0"/>
                <w:sz w:val="18"/>
                <w:szCs w:val="18"/>
                <w:lang w:bidi="ar"/>
                <w14:textFill>
                  <w14:solidFill>
                    <w14:schemeClr w14:val="tx1"/>
                  </w14:solidFill>
                </w14:textFill>
              </w:rPr>
              <w:t>SMI, skeletal muscle index</w:t>
            </w:r>
            <w:r>
              <w:rPr>
                <w:rFonts w:hint="eastAsia" w:ascii="Times New Roman" w:hAnsi="Times New Roman" w:eastAsia="宋体" w:cs="Times New Roman"/>
                <w:color w:val="000000" w:themeColor="text1"/>
                <w:kern w:val="0"/>
                <w:sz w:val="18"/>
                <w:szCs w:val="18"/>
                <w:lang w:bidi="ar"/>
                <w14:textFill>
                  <w14:solidFill>
                    <w14:schemeClr w14:val="tx1"/>
                  </w14:solidFill>
                </w14:textFill>
              </w:rPr>
              <w:t xml:space="preserve"> (cm</w:t>
            </w:r>
            <w:r>
              <w:rPr>
                <w:rFonts w:hint="eastAsia" w:ascii="Times New Roman" w:hAnsi="Times New Roman" w:eastAsia="宋体" w:cs="Times New Roman"/>
                <w:color w:val="000000" w:themeColor="text1"/>
                <w:kern w:val="0"/>
                <w:sz w:val="18"/>
                <w:szCs w:val="18"/>
                <w:vertAlign w:val="superscript"/>
                <w:lang w:bidi="ar"/>
                <w14:textFill>
                  <w14:solidFill>
                    <w14:schemeClr w14:val="tx1"/>
                  </w14:solidFill>
                </w14:textFill>
              </w:rPr>
              <w:t>2</w:t>
            </w:r>
            <w:r>
              <w:rPr>
                <w:rFonts w:hint="eastAsia" w:ascii="Times New Roman" w:hAnsi="Times New Roman" w:eastAsia="宋体" w:cs="Times New Roman"/>
                <w:color w:val="000000" w:themeColor="text1"/>
                <w:kern w:val="0"/>
                <w:sz w:val="18"/>
                <w:szCs w:val="18"/>
                <w:lang w:bidi="ar"/>
                <w14:textFill>
                  <w14:solidFill>
                    <w14:schemeClr w14:val="tx1"/>
                  </w14:solidFill>
                </w14:textFill>
              </w:rPr>
              <w:t>/m</w:t>
            </w:r>
            <w:r>
              <w:rPr>
                <w:rFonts w:hint="eastAsia" w:ascii="Times New Roman" w:hAnsi="Times New Roman" w:eastAsia="宋体" w:cs="Times New Roman"/>
                <w:color w:val="000000" w:themeColor="text1"/>
                <w:kern w:val="0"/>
                <w:sz w:val="18"/>
                <w:szCs w:val="18"/>
                <w:vertAlign w:val="superscript"/>
                <w:lang w:bidi="ar"/>
                <w14:textFill>
                  <w14:solidFill>
                    <w14:schemeClr w14:val="tx1"/>
                  </w14:solidFill>
                </w14:textFill>
              </w:rPr>
              <w:t>2</w:t>
            </w:r>
            <w:r>
              <w:rPr>
                <w:rFonts w:hint="eastAsia" w:ascii="Times New Roman" w:hAnsi="Times New Roman" w:eastAsia="宋体" w:cs="Times New Roman"/>
                <w:color w:val="000000" w:themeColor="text1"/>
                <w:kern w:val="0"/>
                <w:sz w:val="18"/>
                <w:szCs w:val="18"/>
                <w:lang w:bidi="ar"/>
                <w14:textFill>
                  <w14:solidFill>
                    <w14:schemeClr w14:val="tx1"/>
                  </w14:solidFill>
                </w14:textFill>
              </w:rPr>
              <w:t>)</w:t>
            </w:r>
            <w:r>
              <w:rPr>
                <w:rFonts w:hint="default" w:ascii="Times New Roman" w:hAnsi="Times New Roman" w:eastAsia="宋体" w:cs="Times New Roman"/>
                <w:color w:val="000000" w:themeColor="text1"/>
                <w:kern w:val="0"/>
                <w:sz w:val="18"/>
                <w:szCs w:val="18"/>
                <w:lang w:bidi="ar"/>
                <w14:textFill>
                  <w14:solidFill>
                    <w14:schemeClr w14:val="tx1"/>
                  </w14:solidFill>
                </w14:textFill>
              </w:rPr>
              <w:t>;BMI, body mass index</w:t>
            </w:r>
            <w:r>
              <w:rPr>
                <w:rFonts w:hint="eastAsia" w:ascii="Times New Roman" w:hAnsi="Times New Roman" w:eastAsia="宋体" w:cs="Times New Roman"/>
                <w:color w:val="000000" w:themeColor="text1"/>
                <w:kern w:val="0"/>
                <w:sz w:val="18"/>
                <w:szCs w:val="18"/>
                <w:lang w:bidi="ar"/>
                <w14:textFill>
                  <w14:solidFill>
                    <w14:schemeClr w14:val="tx1"/>
                  </w14:solidFill>
                </w14:textFill>
              </w:rPr>
              <w:t xml:space="preserve"> (kg</w:t>
            </w:r>
            <w:r>
              <w:rPr>
                <w:rFonts w:hint="eastAsia" w:ascii="Times New Roman" w:hAnsi="Times New Roman" w:eastAsia="宋体" w:cs="Times New Roman"/>
                <w:color w:val="000000" w:themeColor="text1"/>
                <w:kern w:val="0"/>
                <w:sz w:val="18"/>
                <w:szCs w:val="18"/>
                <w:vertAlign w:val="superscript"/>
                <w:lang w:bidi="ar"/>
                <w14:textFill>
                  <w14:solidFill>
                    <w14:schemeClr w14:val="tx1"/>
                  </w14:solidFill>
                </w14:textFill>
              </w:rPr>
              <w:t>2</w:t>
            </w:r>
            <w:r>
              <w:rPr>
                <w:rFonts w:hint="eastAsia" w:ascii="Times New Roman" w:hAnsi="Times New Roman" w:eastAsia="宋体" w:cs="Times New Roman"/>
                <w:color w:val="000000" w:themeColor="text1"/>
                <w:kern w:val="0"/>
                <w:sz w:val="18"/>
                <w:szCs w:val="18"/>
                <w:lang w:bidi="ar"/>
                <w14:textFill>
                  <w14:solidFill>
                    <w14:schemeClr w14:val="tx1"/>
                  </w14:solidFill>
                </w14:textFill>
              </w:rPr>
              <w:t>/m</w:t>
            </w:r>
            <w:r>
              <w:rPr>
                <w:rFonts w:hint="eastAsia" w:ascii="Times New Roman" w:hAnsi="Times New Roman" w:eastAsia="宋体" w:cs="Times New Roman"/>
                <w:color w:val="000000" w:themeColor="text1"/>
                <w:kern w:val="0"/>
                <w:sz w:val="18"/>
                <w:szCs w:val="18"/>
                <w:vertAlign w:val="superscript"/>
                <w:lang w:bidi="ar"/>
                <w14:textFill>
                  <w14:solidFill>
                    <w14:schemeClr w14:val="tx1"/>
                  </w14:solidFill>
                </w14:textFill>
              </w:rPr>
              <w:t>2</w:t>
            </w:r>
            <w:r>
              <w:rPr>
                <w:rFonts w:hint="eastAsia" w:ascii="Times New Roman" w:hAnsi="Times New Roman" w:eastAsia="宋体" w:cs="Times New Roman"/>
                <w:color w:val="000000" w:themeColor="text1"/>
                <w:kern w:val="0"/>
                <w:sz w:val="18"/>
                <w:szCs w:val="18"/>
                <w:lang w:bidi="ar"/>
                <w14:textFill>
                  <w14:solidFill>
                    <w14:schemeClr w14:val="tx1"/>
                  </w14:solidFill>
                </w14:textFill>
              </w:rPr>
              <w:t>).</w:t>
            </w:r>
          </w:p>
        </w:tc>
      </w:tr>
    </w:tbl>
    <w:p>
      <w:pPr>
        <w:spacing w:line="480" w:lineRule="auto"/>
        <w:rPr>
          <w:color w:val="000000" w:themeColor="text1"/>
          <w14:textFill>
            <w14:solidFill>
              <w14:schemeClr w14:val="tx1"/>
            </w14:solidFill>
          </w14:textFill>
        </w:rPr>
      </w:pPr>
    </w:p>
    <w:p>
      <w:pPr>
        <w:spacing w:line="48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Martin L, Birdsell L, Macdonald N, Reiman T, Clandinin MT, McCargar LJ, et al. Cancer cachexia in the age of obesity: skeletal muscle depletion is a powerful prognostic factor, independent of body mass index. Journal of clinical oncology : official journal of the American Society of Clinical Oncology. 2013;31(12):1539-47. doi: 10.1200/jco.2012.45.2722. PubMed PMID: 23530101.</w:t>
      </w:r>
    </w:p>
    <w:p>
      <w:pPr>
        <w:spacing w:line="48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Prado CM, Lieffers JR, McCargar LJ, Reiman T, Sawyer MB, Martin L, et al. Prevalence and clinical implications of sarcopenic obesity in patients with solid tumours of the respiratory and gastrointestinal tracts: a population-based study. The Lancet Oncology. 2008;9(7):629-35. doi: 10.1016/s1470-2045(08)70153-0. PubMed PMID: 18539529.</w:t>
      </w:r>
    </w:p>
    <w:p>
      <w:pPr>
        <w:spacing w:line="48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Zheng ZF, Lu J, Zheng CH, Li P, Xie JW, Wang JB, et al. A Novel Prognostic Scoring System Based on Preoperative Sarcopenia Predicts the Long-Term Outcome for Patients After R0 Resection for Gastric Cancer: Experiences of a High-Volume Center. Annals of surgical oncology. 2017;24(7):1795-803. doi: 10.1245/s10434-017-5813-7. PubMed PMID: 28213789.</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105799"/>
    <w:rsid w:val="2A105799"/>
    <w:rsid w:val="7A023A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样式1"/>
    <w:basedOn w:val="1"/>
    <w:qFormat/>
    <w:uiPriority w:val="0"/>
    <w:rPr>
      <w:rFonts w:ascii="Times New Roman" w:hAnsi="Times New Roman"/>
    </w:rPr>
  </w:style>
  <w:style w:type="character" w:customStyle="1" w:styleId="5">
    <w:name w:val="font41"/>
    <w:basedOn w:val="3"/>
    <w:qFormat/>
    <w:uiPriority w:val="0"/>
    <w:rPr>
      <w:rFonts w:hint="default" w:ascii="Times New Roman" w:hAnsi="Times New Roman" w:cs="Times New Roman"/>
      <w:color w:val="000000"/>
      <w:sz w:val="20"/>
      <w:szCs w:val="20"/>
      <w:u w:val="none"/>
    </w:rPr>
  </w:style>
  <w:style w:type="character" w:customStyle="1" w:styleId="6">
    <w:name w:val="font11"/>
    <w:basedOn w:val="3"/>
    <w:qFormat/>
    <w:uiPriority w:val="0"/>
    <w:rPr>
      <w:rFonts w:hint="eastAsia" w:ascii="宋体" w:hAnsi="宋体" w:eastAsia="宋体" w:cs="宋体"/>
      <w:color w:val="000000"/>
      <w:sz w:val="20"/>
      <w:szCs w:val="20"/>
      <w:u w:val="none"/>
    </w:rPr>
  </w:style>
  <w:style w:type="character" w:customStyle="1" w:styleId="7">
    <w:name w:val="font31"/>
    <w:basedOn w:val="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2020-10-02T14:52:00Z</dcterms:created>
  <dc:creator>雨辰子</dc:creator>
  <cp:lastModifiedBy>雨辰子</cp:lastModifiedBy>
  <dcterms:modified xsi:type="dcterms:W3CDTF">2020-10-02T14:52:33Z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