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rial" w:hAnsi="Arial" w:cs="Arial"/>
          <w:b/>
          <w:bCs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color w:val="000000" w:themeColor="text1"/>
          <w:kern w:val="0"/>
          <w:szCs w:val="21"/>
          <w:lang w:bidi="ar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="Times New Roman" w:hAnsi="Times New Roman" w:eastAsia="宋体" w:cs="Times New Roman"/>
          <w:b/>
          <w:color w:val="000000" w:themeColor="text1"/>
          <w:kern w:val="0"/>
          <w:szCs w:val="21"/>
          <w:lang w:bidi="ar"/>
          <w14:textFill>
            <w14:solidFill>
              <w14:schemeClr w14:val="tx1"/>
            </w14:solidFill>
          </w14:textFill>
        </w:rPr>
        <w:t>UPPLEMENTARY</w:t>
      </w:r>
      <w:r>
        <w:rPr>
          <w:rFonts w:hint="eastAsia"/>
          <w:b/>
          <w:bCs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b/>
          <w:color w:val="000000" w:themeColor="text1"/>
          <w:kern w:val="0"/>
          <w:szCs w:val="21"/>
          <w:lang w:bidi="ar"/>
          <w14:textFill>
            <w14:solidFill>
              <w14:schemeClr w14:val="tx1"/>
            </w14:solidFill>
          </w14:textFill>
        </w:rPr>
        <w:t>T</w:t>
      </w:r>
      <w:r>
        <w:rPr>
          <w:rFonts w:hint="eastAsia" w:ascii="Times New Roman" w:hAnsi="Times New Roman" w:eastAsia="宋体" w:cs="Times New Roman"/>
          <w:b/>
          <w:color w:val="000000" w:themeColor="text1"/>
          <w:kern w:val="0"/>
          <w:szCs w:val="21"/>
          <w:lang w:bidi="ar"/>
          <w14:textFill>
            <w14:solidFill>
              <w14:schemeClr w14:val="tx1"/>
            </w14:solidFill>
          </w14:textFill>
        </w:rPr>
        <w:t xml:space="preserve">ABLE 2  </w:t>
      </w:r>
      <w:r>
        <w:rPr>
          <w:rFonts w:ascii="Times New Roman" w:hAnsi="Times New Roman" w:eastAsia="宋体" w:cs="Times New Roman"/>
          <w:b/>
          <w:color w:val="000000" w:themeColor="text1"/>
          <w:kern w:val="0"/>
          <w:szCs w:val="21"/>
          <w:lang w:bidi="ar"/>
          <w14:textFill>
            <w14:solidFill>
              <w14:schemeClr w14:val="tx1"/>
            </w14:solidFill>
          </w14:textFill>
        </w:rPr>
        <w:t xml:space="preserve">Uni- and multivariate analyses of factors associated with 3-year overall survival (OS) and recurrence-free survival (RFS) rates in </w:t>
      </w:r>
      <w:r>
        <w:rPr>
          <w:rFonts w:hint="eastAsia" w:ascii="Times New Roman" w:hAnsi="Times New Roman" w:eastAsia="宋体" w:cs="Times New Roman"/>
          <w:b/>
          <w:color w:val="000000" w:themeColor="text1"/>
          <w:kern w:val="0"/>
          <w:szCs w:val="21"/>
          <w:lang w:bidi="ar"/>
          <w14:textFill>
            <w14:solidFill>
              <w14:schemeClr w14:val="tx1"/>
            </w14:solidFill>
          </w14:textFill>
        </w:rPr>
        <w:t>g</w:t>
      </w:r>
      <w:r>
        <w:rPr>
          <w:rFonts w:ascii="Times New Roman" w:hAnsi="Times New Roman" w:eastAsia="宋体" w:cs="Times New Roman"/>
          <w:b/>
          <w:color w:val="000000" w:themeColor="text1"/>
          <w:kern w:val="0"/>
          <w:szCs w:val="21"/>
          <w:lang w:bidi="ar"/>
          <w14:textFill>
            <w14:solidFill>
              <w14:schemeClr w14:val="tx1"/>
            </w14:solidFill>
          </w14:textFill>
        </w:rPr>
        <w:t>NEC patients.</w:t>
      </w:r>
    </w:p>
    <w:tbl>
      <w:tblPr>
        <w:tblStyle w:val="2"/>
        <w:tblW w:w="846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2"/>
        <w:gridCol w:w="1436"/>
        <w:gridCol w:w="445"/>
        <w:gridCol w:w="1374"/>
        <w:gridCol w:w="507"/>
        <w:gridCol w:w="1444"/>
        <w:gridCol w:w="438"/>
        <w:gridCol w:w="1407"/>
        <w:gridCol w:w="51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vMerge w:val="restart"/>
            <w:tcBorders>
              <w:top w:val="single" w:color="000000" w:sz="18" w:space="0"/>
              <w:bottom w:val="single" w:color="000000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Variable</w:t>
            </w:r>
          </w:p>
        </w:tc>
        <w:tc>
          <w:tcPr>
            <w:tcW w:w="1881" w:type="dxa"/>
            <w:gridSpan w:val="2"/>
            <w:tcBorders>
              <w:top w:val="single" w:color="000000" w:sz="18" w:space="0"/>
              <w:bottom w:val="single" w:color="000000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Univariate analysis</w:t>
            </w:r>
          </w:p>
        </w:tc>
        <w:tc>
          <w:tcPr>
            <w:tcW w:w="1881" w:type="dxa"/>
            <w:gridSpan w:val="2"/>
            <w:tcBorders>
              <w:top w:val="single" w:color="000000" w:sz="18" w:space="0"/>
              <w:bottom w:val="single" w:color="000000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Multivariate analysis</w:t>
            </w:r>
          </w:p>
        </w:tc>
        <w:tc>
          <w:tcPr>
            <w:tcW w:w="1882" w:type="dxa"/>
            <w:gridSpan w:val="2"/>
            <w:tcBorders>
              <w:top w:val="single" w:color="000000" w:sz="18" w:space="0"/>
              <w:bottom w:val="single" w:color="000000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Univariate analysis</w:t>
            </w:r>
          </w:p>
        </w:tc>
        <w:tc>
          <w:tcPr>
            <w:tcW w:w="1920" w:type="dxa"/>
            <w:gridSpan w:val="2"/>
            <w:tcBorders>
              <w:top w:val="single" w:color="000000" w:sz="18" w:space="0"/>
              <w:bottom w:val="single" w:color="000000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Multivariate analysis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vMerge w:val="continue"/>
            <w:tcBorders>
              <w:top w:val="single" w:color="000000" w:sz="18" w:space="0"/>
              <w:bottom w:val="single" w:color="000000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81" w:type="dxa"/>
            <w:gridSpan w:val="2"/>
            <w:tcBorders>
              <w:top w:val="single" w:color="000000" w:sz="18" w:space="0"/>
              <w:bottom w:val="single" w:color="000000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3-year OS</w:t>
            </w:r>
          </w:p>
        </w:tc>
        <w:tc>
          <w:tcPr>
            <w:tcW w:w="1881" w:type="dxa"/>
            <w:gridSpan w:val="2"/>
            <w:tcBorders>
              <w:top w:val="single" w:color="000000" w:sz="18" w:space="0"/>
              <w:bottom w:val="single" w:color="000000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3-year OS</w:t>
            </w:r>
          </w:p>
        </w:tc>
        <w:tc>
          <w:tcPr>
            <w:tcW w:w="1882" w:type="dxa"/>
            <w:gridSpan w:val="2"/>
            <w:tcBorders>
              <w:top w:val="single" w:color="000000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3-year RFS</w:t>
            </w:r>
          </w:p>
        </w:tc>
        <w:tc>
          <w:tcPr>
            <w:tcW w:w="1920" w:type="dxa"/>
            <w:gridSpan w:val="2"/>
            <w:tcBorders>
              <w:top w:val="single" w:color="000000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3-year RFS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</w:trPr>
        <w:tc>
          <w:tcPr>
            <w:tcW w:w="902" w:type="dxa"/>
            <w:vMerge w:val="continue"/>
            <w:tcBorders>
              <w:top w:val="single" w:color="000000" w:sz="18" w:space="0"/>
              <w:bottom w:val="single" w:color="000000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6" w:type="dxa"/>
            <w:tcBorders>
              <w:bottom w:val="single" w:color="000000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textAlignment w:val="center"/>
              <w:rPr>
                <w:rFonts w:hint="default" w:ascii="Times New Roman" w:hAnsi="Times New Roman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HR (95% CI)</w:t>
            </w:r>
          </w:p>
        </w:tc>
        <w:tc>
          <w:tcPr>
            <w:tcW w:w="445" w:type="dxa"/>
            <w:tcBorders>
              <w:bottom w:val="single" w:color="000000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  <w:tc>
          <w:tcPr>
            <w:tcW w:w="1374" w:type="dxa"/>
            <w:tcBorders>
              <w:bottom w:val="single" w:color="000000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HR (95% CI)</w:t>
            </w:r>
          </w:p>
        </w:tc>
        <w:tc>
          <w:tcPr>
            <w:tcW w:w="507" w:type="dxa"/>
            <w:tcBorders>
              <w:top w:val="single" w:color="000000" w:sz="18" w:space="0"/>
              <w:bottom w:val="single" w:color="000000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  <w:tc>
          <w:tcPr>
            <w:tcW w:w="1444" w:type="dxa"/>
            <w:tcBorders>
              <w:top w:val="single" w:color="000000" w:sz="18" w:space="0"/>
              <w:bottom w:val="single" w:color="000000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HR (95% CI)</w:t>
            </w:r>
          </w:p>
        </w:tc>
        <w:tc>
          <w:tcPr>
            <w:tcW w:w="438" w:type="dxa"/>
            <w:tcBorders>
              <w:top w:val="single" w:color="000000" w:sz="18" w:space="0"/>
              <w:bottom w:val="single" w:color="000000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  <w:tc>
          <w:tcPr>
            <w:tcW w:w="1407" w:type="dxa"/>
            <w:tcBorders>
              <w:top w:val="single" w:color="000000" w:sz="18" w:space="0"/>
              <w:bottom w:val="single" w:color="000000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HR (95% CI)</w:t>
            </w:r>
          </w:p>
        </w:tc>
        <w:tc>
          <w:tcPr>
            <w:tcW w:w="513" w:type="dxa"/>
            <w:tcBorders>
              <w:top w:val="single" w:color="000000" w:sz="18" w:space="0"/>
              <w:bottom w:val="single" w:color="000000" w:sz="1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textAlignment w:val="center"/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Gender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Female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0.465 (0.139-1.551)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0.213</w:t>
            </w: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0.370 (0.087-1.586)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0.181</w:t>
            </w: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Age(years)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&lt;65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≥65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0.836 (0.379-1.844)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0.658</w:t>
            </w: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0.704 (0.295-1.678)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0.428</w:t>
            </w: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BMI(kg/m2 )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&lt;25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≥25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0.723 (0.249-2.102)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0.552</w:t>
            </w: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0.908 (0.307-2.683)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0.861</w:t>
            </w: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ASA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1.893 (0.817-4.385)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0.137</w:t>
            </w: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2.307 (0.917-5.805)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0.076</w:t>
            </w: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2.118 (0.569-7.879)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0.263</w:t>
            </w: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1.547 (0.321-7.467)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0.587</w:t>
            </w: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eastAsia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Comorbidit</w:t>
            </w:r>
            <w:r>
              <w:rPr>
                <w:rFonts w:hint="eastAsia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y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2.802 (1.054-7.451)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0.039</w:t>
            </w: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2.949 (1.089-7.987)</w:t>
            </w: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0.033</w:t>
            </w: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2.330 (0.858-6.327)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0.097</w:t>
            </w: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Tumor</w:t>
            </w:r>
            <w:r>
              <w:rPr>
                <w:rFonts w:hint="eastAsia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(mm)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&lt;50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≥50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1.507 (0.682-3.328)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0.31</w:t>
            </w: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1.681 (0.705-4.011)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0.241</w:t>
            </w: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4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0" w:lineRule="exact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Tumor location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Upper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Middle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0.912 (0.300-2.772)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0.871</w:t>
            </w: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0.871 (0.245-3.087)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0.830</w:t>
            </w: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Lower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1.899 (0.677-5.322)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0.223</w:t>
            </w: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1.451 (0.465-4.530)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0.522</w:t>
            </w: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Mix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1.036 (0.297-3.608)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0.956</w:t>
            </w: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1.296 (0.337-4.239)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0.782</w:t>
            </w: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T stage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T1+T2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T3+T4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1.175 (0.544-2.538)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0.681</w:t>
            </w: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1.415 (0.611-3.276)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0.418</w:t>
            </w: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N stage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N0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N1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5.718 (1.344-24.328)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0.018</w:t>
            </w: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5.759(1.332-24.896)</w:t>
            </w: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0.019</w:t>
            </w: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9.578 (1.283-71.511)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0.028</w:t>
            </w: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8.040 (1.071-60.358)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0.043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4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0" w:lineRule="exact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Surgical method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Open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Laparoscopic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0.966 (0.447-2.092)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0.931</w:t>
            </w: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0.953 (0.412-2.206)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0.910</w:t>
            </w: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4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0" w:lineRule="exact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Gastrectomy extent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Total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Distal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1.001 (0.375-2.670)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0.998</w:t>
            </w: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0.874 (0.294-2.598)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0.808</w:t>
            </w: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Proximal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0.531 (0.071-3.963)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0.537</w:t>
            </w: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0.593 (0.079-4.462)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0.612</w:t>
            </w: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0" w:lineRule="exact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Ki-67 positive index (%)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&lt;60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≥60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5.713 (1.708-19.112)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0.005</w:t>
            </w: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4.360(1.280-14.854)</w:t>
            </w: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0.019</w:t>
            </w: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7.267 (1.691-31.243)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0.008</w:t>
            </w: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6.318 (1.463-27.279)</w:t>
            </w: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0.014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Complication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6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1.287 (0.595-2.786)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eastAsia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0.522</w:t>
            </w:r>
          </w:p>
        </w:tc>
        <w:tc>
          <w:tcPr>
            <w:tcW w:w="137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0.962 (0.403-2.296)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eastAsia="宋体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0.931</w:t>
            </w:r>
          </w:p>
        </w:tc>
        <w:tc>
          <w:tcPr>
            <w:tcW w:w="140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0" w:lineRule="exact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:lang w:bidi="ar"/>
                <w14:textFill>
                  <w14:solidFill>
                    <w14:schemeClr w14:val="tx1"/>
                  </w14:solidFill>
                </w14:textFill>
              </w:rPr>
              <w:t>Adjuvant chemotherapy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No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Yes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1.039 (0.480-2.249)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0.922</w:t>
            </w:r>
          </w:p>
        </w:tc>
        <w:tc>
          <w:tcPr>
            <w:tcW w:w="137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1.297 (0.554-3.036)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0.549</w:t>
            </w:r>
          </w:p>
        </w:tc>
        <w:tc>
          <w:tcPr>
            <w:tcW w:w="140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70" w:lineRule="exact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Martin et al.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instrText xml:space="preserve"> ADDIN EN.CITE &lt;EndNote&gt;&lt;Cite&gt;&lt;Author&gt;Martin&lt;/Author&gt;&lt;Year&gt;2013&lt;/Year&gt;&lt;RecNum&gt;34&lt;/RecNum&gt;&lt;DisplayText&gt;[29]&lt;/DisplayText&gt;&lt;record&gt;&lt;rec-number&gt;34&lt;/rec-number&gt;&lt;foreign-keys&gt;&lt;key app="EN" db-id="dpwsxtwp8z992nefe25xdexjsa20edreed2f" timestamp="1556678078"&gt;34&lt;/key&gt;&lt;/foreign-keys&gt;&lt;ref-type name="Journal Article"&gt;17&lt;/ref-type&gt;&lt;contributors&gt;&lt;authors&gt;&lt;author&gt;Martin, L.&lt;/author&gt;&lt;author&gt;Birdsell, L.&lt;/author&gt;&lt;author&gt;Macdonald, N.&lt;/author&gt;&lt;author&gt;Reiman, T.&lt;/author&gt;&lt;author&gt;Clandinin, M. T.&lt;/author&gt;&lt;author&gt;McCargar, L. J.&lt;/author&gt;&lt;author&gt;Murphy, R.&lt;/author&gt;&lt;author&gt;Ghosh, S.&lt;/author&gt;&lt;author&gt;Sawyer, M. B.&lt;/author&gt;&lt;author&gt;Baracos, V. E.&lt;/author&gt;&lt;/authors&gt;&lt;/contributors&gt;&lt;auth-address&gt;University of Alberta, Edmonton, Alberta, Canada. vickie.baracos@ualberta.ca&lt;/auth-address&gt;&lt;titles&gt;&lt;title&gt;Cancer cachexia in the age of obesity: skeletal muscle depletion is a powerful prognostic factor, independent of body mass index&lt;/title&gt;&lt;secondary-title&gt;J. Clin. Oncol.&lt;/secondary-title&gt;&lt;alt-title&gt;Journal of clinical oncology : official journal of the American Society of Clinical Oncology&lt;/alt-title&gt;&lt;/titles&gt;&lt;periodical&gt;&lt;full-title&gt;J. Clin. Oncol.&lt;/full-title&gt;&lt;abbr-1&gt;Journal of clinical oncology : official journal of the American Society of Clinical Oncology&lt;/abbr-1&gt;&lt;/periodical&gt;&lt;alt-periodical&gt;&lt;full-title&gt;J. Clin. Oncol.&lt;/full-title&gt;&lt;abbr-1&gt;Journal of clinical oncology : official journal of the American Society of Clinical Oncology&lt;/abbr-1&gt;&lt;/alt-periodical&gt;&lt;pages&gt;1539-47&lt;/pages&gt;&lt;volume&gt;31&lt;/volume&gt;&lt;number&gt;12&lt;/number&gt;&lt;dates&gt;&lt;year&gt;2013&lt;/year&gt;&lt;pub-dates&gt;&lt;date&gt;Apr 20&lt;/date&gt;&lt;/pub-dates&gt;&lt;/dates&gt;&lt;isbn&gt;1527-7755&lt;/isbn&gt;&lt;accession-num&gt;23530101&lt;/accession-num&gt;&lt;urls&gt;&lt;/urls&gt;&lt;electronic-resource-num&gt;10.1200/jco.2012.45.2722&lt;/electronic-resource-num&gt;&lt;language&gt;eng&lt;/language&gt;&lt;/record&gt;&lt;/Cite&gt;&lt;/EndNote&gt;</w:instrTex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[29]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High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Low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0.919 (0.426-1.982）</w:t>
            </w: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0.829</w:t>
            </w:r>
          </w:p>
        </w:tc>
        <w:tc>
          <w:tcPr>
            <w:tcW w:w="137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1.108 (0.479-2.566）</w:t>
            </w: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0.810</w:t>
            </w:r>
          </w:p>
        </w:tc>
        <w:tc>
          <w:tcPr>
            <w:tcW w:w="140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SMI</w:t>
            </w:r>
          </w:p>
        </w:tc>
        <w:tc>
          <w:tcPr>
            <w:tcW w:w="143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8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High</w:t>
            </w:r>
          </w:p>
        </w:tc>
        <w:tc>
          <w:tcPr>
            <w:tcW w:w="1436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5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4" w:type="dxa"/>
            <w:vMerge w:val="continue"/>
            <w:tcBorders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8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vMerge w:val="continue"/>
            <w:tcBorders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902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Low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1.652 (0.762-3.582)</w:t>
            </w:r>
          </w:p>
        </w:tc>
        <w:tc>
          <w:tcPr>
            <w:tcW w:w="445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0.203</w:t>
            </w:r>
          </w:p>
        </w:tc>
        <w:tc>
          <w:tcPr>
            <w:tcW w:w="1374" w:type="dxa"/>
            <w:vMerge w:val="continue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kern w:val="0"/>
                <w:sz w:val="16"/>
                <w:szCs w:val="16"/>
                <w:lang w:bidi="ar"/>
                <w14:textFill>
                  <w14:solidFill>
                    <w14:schemeClr w14:val="tx1"/>
                  </w14:solidFill>
                </w14:textFill>
              </w:rPr>
              <w:t>1.420 (0.613-3.292)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  <w:t>0.413</w:t>
            </w:r>
          </w:p>
        </w:tc>
        <w:tc>
          <w:tcPr>
            <w:tcW w:w="1407" w:type="dxa"/>
            <w:vMerge w:val="continue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color="auto" w:sz="1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000000" w:themeColor="text1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kern w:val="0"/>
          <w:sz w:val="18"/>
          <w:szCs w:val="18"/>
          <w:lang w:bidi="ar"/>
          <w14:textFill>
            <w14:solidFill>
              <w14:schemeClr w14:val="tx1"/>
            </w14:solidFill>
          </w14:textFill>
        </w:rPr>
        <w:t>gNEC, gastric neuroendocrine carcinoma;HR, hazard ratio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18"/>
          <w:szCs w:val="18"/>
          <w:lang w:bidi="ar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ascii="Times New Roman" w:hAnsi="Times New Roman" w:eastAsia="宋体" w:cs="Times New Roman"/>
          <w:color w:val="000000" w:themeColor="text1"/>
          <w:kern w:val="0"/>
          <w:sz w:val="18"/>
          <w:szCs w:val="18"/>
          <w:lang w:bidi="ar"/>
          <w14:textFill>
            <w14:solidFill>
              <w14:schemeClr w14:val="tx1"/>
            </w14:solidFill>
          </w14:textFill>
        </w:rPr>
        <w:t>CI confidence interval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18"/>
          <w:szCs w:val="18"/>
          <w:lang w:bidi="ar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ascii="Times New Roman" w:hAnsi="Times New Roman" w:eastAsia="宋体" w:cs="Times New Roman"/>
          <w:color w:val="000000" w:themeColor="text1"/>
          <w:kern w:val="0"/>
          <w:sz w:val="18"/>
          <w:szCs w:val="18"/>
          <w:lang w:bidi="ar"/>
          <w14:textFill>
            <w14:solidFill>
              <w14:schemeClr w14:val="tx1"/>
            </w14:solidFill>
          </w14:textFill>
        </w:rPr>
        <w:t>BMI, body mass index;ASA, American Society of Anesthesiologists;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18"/>
          <w:szCs w:val="18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00000" w:themeColor="text1"/>
          <w:kern w:val="0"/>
          <w:sz w:val="18"/>
          <w:szCs w:val="18"/>
          <w:lang w:bidi="ar"/>
          <w14:textFill>
            <w14:solidFill>
              <w14:schemeClr w14:val="tx1"/>
            </w14:solidFill>
          </w14:textFill>
        </w:rPr>
        <w:t>SMI, skeletal muscle index.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627CEB"/>
    <w:rsid w:val="38627CEB"/>
    <w:rsid w:val="7A023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uiPriority w:val="0"/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2020-10-02T14:51:00Z</dcterms:created>
  <dc:creator>雨辰子</dc:creator>
  <cp:lastModifiedBy>雨辰子</cp:lastModifiedBy>
  <dcterms:modified xsi:type="dcterms:W3CDTF">2020-10-02T14:51:59Z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