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CBB72" w14:textId="77777777" w:rsidR="00B17F1B" w:rsidRPr="00B73266" w:rsidRDefault="00B17F1B" w:rsidP="00B17F1B">
      <w:pPr>
        <w:pBdr>
          <w:bottom w:val="single" w:sz="2" w:space="1" w:color="461344"/>
        </w:pBdr>
        <w:rPr>
          <w:b/>
          <w:bCs/>
        </w:rPr>
      </w:pPr>
      <w:r w:rsidRPr="00B73266">
        <w:rPr>
          <w:b/>
          <w:bCs/>
        </w:rPr>
        <w:t>Appendix 1 – Literature Review</w:t>
      </w:r>
    </w:p>
    <w:p w14:paraId="04AFB3EC" w14:textId="77777777" w:rsidR="00B17F1B" w:rsidRDefault="00B17F1B" w:rsidP="00B17F1B"/>
    <w:p w14:paraId="63961E5A" w14:textId="77777777" w:rsidR="00B17F1B" w:rsidRPr="00E43604" w:rsidRDefault="00B17F1B" w:rsidP="00B17F1B">
      <w:pPr>
        <w:rPr>
          <w:b/>
          <w:bCs/>
        </w:rPr>
      </w:pPr>
      <w:r>
        <w:rPr>
          <w:b/>
          <w:bCs/>
        </w:rPr>
        <w:t>Introduction</w:t>
      </w:r>
    </w:p>
    <w:p w14:paraId="111756B0" w14:textId="77777777" w:rsidR="00B17F1B" w:rsidRDefault="00B17F1B" w:rsidP="00B17F1B">
      <w:r w:rsidRPr="009822AE">
        <w:t>Telehealth can be defined as the provision of health care services over a distance.</w:t>
      </w:r>
      <w:r>
        <w:fldChar w:fldCharType="begin" w:fldLock="1"/>
      </w:r>
      <w:r>
        <w:instrText>ADDIN CSL_CITATION {"citationItems":[{"id":"ITEM-1","itemData":{"DOI":"10.1136/bmj.d120","ISSN":"17561833","PMID":"21292710","author":[{"dropping-particle":"","family":"McLean","given":"Susannah","non-dropping-particle":"","parse-names":false,"suffix":""},{"dropping-particle":"","family":"Protti","given":"Denis","non-dropping-particle":"","parse-names":false,"suffix":""},{"dropping-particle":"","family":"Sheikh","given":"Aziz","non-dropping-particle":"","parse-names":false,"suffix":""}],"container-title":"BMJ","id":"ITEM-1","issued":{"date-parts":[["2011"]]},"title":"Telehealthcare for long term conditions","type":"article"},"uris":["http://www.mendeley.com/documents/?uuid=f62ef74c-da84-49be-8429-35b1a0c0cf22"]}],"mendeley":{"formattedCitation":"[1]","plainTextFormattedCitation":"[1]","previouslyFormattedCitation":"[1]"},"properties":{"noteIndex":0},"schema":"https://github.com/citation-style-language/schema/raw/master/csl-citation.json"}</w:instrText>
      </w:r>
      <w:r>
        <w:fldChar w:fldCharType="separate"/>
      </w:r>
      <w:r w:rsidRPr="00794CDD">
        <w:rPr>
          <w:noProof/>
        </w:rPr>
        <w:t>[1]</w:t>
      </w:r>
      <w:r>
        <w:fldChar w:fldCharType="end"/>
      </w:r>
      <w:r w:rsidRPr="009822AE">
        <w:t xml:space="preserve"> It </w:t>
      </w:r>
      <w:r>
        <w:t>comprises</w:t>
      </w:r>
      <w:r w:rsidRPr="009822AE">
        <w:t xml:space="preserve"> both synchronous and asynchronous doctor-patient teleconsult</w:t>
      </w:r>
      <w:r>
        <w:t>ation</w:t>
      </w:r>
      <w:r w:rsidRPr="009822AE">
        <w:t xml:space="preserve"> via phone</w:t>
      </w:r>
      <w:r>
        <w:t>,</w:t>
      </w:r>
      <w:r w:rsidRPr="009822AE">
        <w:t xml:space="preserve"> video-linkage</w:t>
      </w:r>
      <w:r>
        <w:t>, instant messaging or web-based services.</w:t>
      </w:r>
      <w:r>
        <w:fldChar w:fldCharType="begin" w:fldLock="1"/>
      </w:r>
      <w:r>
        <w:instrText>ADDIN CSL_CITATION {"citationItems":[{"id":"ITEM-1","itemData":{"DOI":"10.3132/pcrj.2009.00006","ISSN":"14714418","PMID":"19159046","author":[{"dropping-particle":"","family":"McLean","given":"Susannah","non-dropping-particle":"","parse-names":false,"suffix":""},{"dropping-particle":"","family":"Sheikh","given":"Aziz","non-dropping-particle":"","parse-names":false,"suffix":""}],"container-title":"Primary Care Respiratory Journal","id":"ITEM-1","issued":{"date-parts":[["2009"]]},"title":"Does telehealthcare offer a patient-centred way forward for the community-based management of long-term respiratory disease?","type":"article"},"uris":["http://www.mendeley.com/documents/?uuid=1ce0f5f3-cf7e-43ac-a701-66cc2f148699"]}],"mendeley":{"formattedCitation":"[2]","plainTextFormattedCitation":"[2]","previouslyFormattedCitation":"[2]"},"properties":{"noteIndex":0},"schema":"https://github.com/citation-style-language/schema/raw/master/csl-citation.json"}</w:instrText>
      </w:r>
      <w:r>
        <w:fldChar w:fldCharType="separate"/>
      </w:r>
      <w:r w:rsidRPr="00794CDD">
        <w:rPr>
          <w:noProof/>
        </w:rPr>
        <w:t>[2]</w:t>
      </w:r>
      <w:r>
        <w:fldChar w:fldCharType="end"/>
      </w:r>
      <w:r>
        <w:rPr>
          <w:vertAlign w:val="superscript"/>
        </w:rPr>
        <w:t xml:space="preserve"> </w:t>
      </w:r>
      <w:r>
        <w:t>Telehealth can be subdivided into three main processes; the patient describes data about their health, this data is electronically received by the healthcare professional, the healthcare professional then uses their clinical skills to formulate relevant feedback and relay this to the patient electronically.</w:t>
      </w:r>
      <w:r>
        <w:fldChar w:fldCharType="begin" w:fldLock="1"/>
      </w:r>
      <w:r>
        <w:instrText>ADDIN CSL_CITATION {"citationItems":[{"id":"ITEM-1","itemData":{"DOI":"10.1136/bmj.d120","ISSN":"17561833","PMID":"21292710","author":[{"dropping-particle":"","family":"McLean","given":"Susannah","non-dropping-particle":"","parse-names":false,"suffix":""},{"dropping-particle":"","family":"Protti","given":"Denis","non-dropping-particle":"","parse-names":false,"suffix":""},{"dropping-particle":"","family":"Sheikh","given":"Aziz","non-dropping-particle":"","parse-names":false,"suffix":""}],"container-title":"BMJ","id":"ITEM-1","issued":{"date-parts":[["2011"]]},"title":"Telehealthcare for long term conditions","type":"article"},"uris":["http://www.mendeley.com/documents/?uuid=f62ef74c-da84-49be-8429-35b1a0c0cf22"]},{"id":"ITEM-2","itemData":{"DOI":"10.1089/tmj.2006.0073","ISSN":"15305627","PMID":"17999619","abstract":"Nearly half a century ago, telemedicine was disregarded for being an unwieldy, unreliable, and unaffordable technology. Rapidly evolving telecommunications and information technologies have provided a solid foundation for telemedicine as a feasible, dependable, and useful technology. Practitioners from a variety of medical specialties have claimed success in their telemedicine pursuits. Gradually, this new modality of healthcare delivery is finding its way into the mainstream medicine. As a multidisciplinary, dynamic, and continually evolving tool in medicine, researchers and users have developed various definitions for telemedicine. The meaning of telemedicine encapsulated in these definitions varies with the context in which the term was applied. An analysis of these definitions can play an important role in improving understanding about telemedicine. In this paper we present an extensive literature review that produced 104 peer-reviewed definitions of telemedicine. These definitions have been analyzed to highlight the context in which the term has been defined. The paper also suggests a definition of modern telemedicine. The authors suggest that telemedicine is a branch of e-health that uses communications networks for delivery of healthcare services and medical education from one geographical location to another. It is deployed to overcome issues like uneven distribution and shortage of infrastructural and human resources. We expect that this study will enhance the level of understanding and meaning of telemedicine among stakeholders, new entrants, and researchers, eventually enabling a better quality of life. © 2007 Mary Ann Liebert, Inc.","author":[{"dropping-particle":"","family":"Sood","given":"Sanjay","non-dropping-particle":"","parse-names":false,"suffix":""},{"dropping-particle":"","family":"Mbarika","given":"Victor","non-dropping-particle":"","parse-names":false,"suffix":""},{"dropping-particle":"","family":"Jugoo","given":"Shakhina","non-dropping-particle":"","parse-names":false,"suffix":""},{"dropping-particle":"","family":"Dookhy","given":"Reena","non-dropping-particle":"","parse-names":false,"suffix":""},{"dropping-particle":"","family":"Doarn","given":"Charles R.","non-dropping-particle":"","parse-names":false,"suffix":""},{"dropping-particle":"","family":"Prakash","given":"Nupur","non-dropping-particle":"","parse-names":false,"suffix":""},{"dropping-particle":"","family":"Merrell","given":"Ronald C.","non-dropping-particle":"","parse-names":false,"suffix":""}],"container-title":"Telemedicine and e-Health","id":"ITEM-2","issued":{"date-parts":[["2007"]]},"title":"What is telemedicine? A collection of 104 peer-reviewed perspectives and theoretical underpinnings","type":"article-journal"},"uris":["http://www.mendeley.com/documents/?uuid=11d2f111-99d6-445f-838e-0f38ef2eec8d"]}],"mendeley":{"formattedCitation":"[1], [3]","plainTextFormattedCitation":"[1], [3]","previouslyFormattedCitation":"[1], [3]"},"properties":{"noteIndex":0},"schema":"https://github.com/citation-style-language/schema/raw/master/csl-citation.json"}</w:instrText>
      </w:r>
      <w:r>
        <w:fldChar w:fldCharType="separate"/>
      </w:r>
      <w:r w:rsidRPr="00794CDD">
        <w:rPr>
          <w:noProof/>
        </w:rPr>
        <w:t>[1], [3]</w:t>
      </w:r>
      <w:r>
        <w:fldChar w:fldCharType="end"/>
      </w:r>
      <w:r>
        <w:t xml:space="preserve"> Most recently, telehealth measures have been more widely adopted internationally to help curb the spread of COVID19. This has piqued research into the impact of the COVID19 pandemic, in its entirety on training physicians -namely into issues such as redeployment, reduced theatre time and teleconsultation. </w:t>
      </w:r>
    </w:p>
    <w:p w14:paraId="4765584E" w14:textId="77777777" w:rsidR="00B17F1B" w:rsidRDefault="00B17F1B" w:rsidP="00B17F1B"/>
    <w:p w14:paraId="15F99549" w14:textId="77777777" w:rsidR="00B17F1B" w:rsidRDefault="00B17F1B" w:rsidP="00B17F1B">
      <w:r>
        <w:t>There are many recognized advantages of telehealth and its increasing implementation, however, not much is known about the specific impact of remote consultation on non-consultant hospital doctors (NCHD) training experiences and their own perceptions. This paper presents the results of a literature review on telehealth’s impact on trainee experience. Have experiences changed overall? Has training been enhanced or hindered?</w:t>
      </w:r>
    </w:p>
    <w:p w14:paraId="22E0C90B" w14:textId="77777777" w:rsidR="00B17F1B" w:rsidRPr="00DD3A46" w:rsidRDefault="00B17F1B" w:rsidP="00B17F1B">
      <w:pPr>
        <w:ind w:left="10" w:hanging="10"/>
        <w:rPr>
          <w:i/>
          <w:iCs/>
        </w:rPr>
      </w:pPr>
      <w:r w:rsidRPr="00475730">
        <w:rPr>
          <w:b/>
          <w:bCs/>
          <w:i/>
          <w:iCs/>
        </w:rPr>
        <w:t>Keywords:</w:t>
      </w:r>
      <w:r>
        <w:rPr>
          <w:b/>
          <w:bCs/>
          <w:i/>
          <w:iCs/>
        </w:rPr>
        <w:t xml:space="preserve"> </w:t>
      </w:r>
      <w:r>
        <w:rPr>
          <w:i/>
          <w:iCs/>
        </w:rPr>
        <w:t>t</w:t>
      </w:r>
      <w:r w:rsidRPr="00475730">
        <w:rPr>
          <w:i/>
          <w:iCs/>
        </w:rPr>
        <w:t>elehealth, teleconsultation, telemedicine, trainee, experience, review, benefits</w:t>
      </w:r>
    </w:p>
    <w:p w14:paraId="248D7554" w14:textId="77777777" w:rsidR="00B17F1B" w:rsidRPr="009A37C7" w:rsidRDefault="00B17F1B" w:rsidP="00B17F1B">
      <w:pPr>
        <w:rPr>
          <w:b/>
          <w:bCs/>
        </w:rPr>
      </w:pPr>
    </w:p>
    <w:p w14:paraId="61DAD22F" w14:textId="77777777" w:rsidR="00B17F1B" w:rsidRDefault="00B17F1B" w:rsidP="00B17F1B">
      <w:pPr>
        <w:rPr>
          <w:b/>
          <w:bCs/>
        </w:rPr>
      </w:pPr>
      <w:r w:rsidRPr="009A37C7">
        <w:rPr>
          <w:b/>
          <w:bCs/>
        </w:rPr>
        <w:t>Methods</w:t>
      </w:r>
    </w:p>
    <w:p w14:paraId="22BE3788" w14:textId="77777777" w:rsidR="00B17F1B" w:rsidRPr="00455A7F" w:rsidRDefault="00B17F1B" w:rsidP="00B17F1B">
      <w:r w:rsidRPr="000D1324">
        <w:t xml:space="preserve">In January </w:t>
      </w:r>
      <w:r w:rsidRPr="00686E45">
        <w:t>2021, an initial search using the keyword sets combined terms “</w:t>
      </w:r>
      <w:r>
        <w:t>R</w:t>
      </w:r>
      <w:r w:rsidRPr="00686E45">
        <w:t xml:space="preserve">emote consultation” OR “teleconsultation” or “telehealth” AND the term “trainee” AND “impact” was performed. The search was performed using the following electronic databases; PubMed, Scopus and Medline and ScienceDirect. In addition to the databases, the reference lists of the identified publications were hand-searched. Relevant systematic reviews were searched on the Cochrane database. Further, clinical education handbooks were searched for applicable qualitative research. Web searches were performed for additional grey literature. </w:t>
      </w:r>
      <w:r w:rsidRPr="00686E45">
        <w:rPr>
          <w:color w:val="000000"/>
          <w:shd w:val="clear" w:color="auto" w:fill="FFFFFF"/>
        </w:rPr>
        <w:t xml:space="preserve">The exclusion criteria </w:t>
      </w:r>
      <w:r>
        <w:rPr>
          <w:color w:val="000000"/>
          <w:shd w:val="clear" w:color="auto" w:fill="FFFFFF"/>
        </w:rPr>
        <w:t xml:space="preserve">only </w:t>
      </w:r>
      <w:r w:rsidRPr="00686E45">
        <w:rPr>
          <w:color w:val="000000"/>
          <w:shd w:val="clear" w:color="auto" w:fill="FFFFFF"/>
        </w:rPr>
        <w:t>required the rejection</w:t>
      </w:r>
      <w:r w:rsidRPr="00455A7F">
        <w:rPr>
          <w:color w:val="000000"/>
          <w:shd w:val="clear" w:color="auto" w:fill="FFFFFF"/>
        </w:rPr>
        <w:t xml:space="preserve"> of articles</w:t>
      </w:r>
      <w:r>
        <w:rPr>
          <w:color w:val="000000"/>
          <w:shd w:val="clear" w:color="auto" w:fill="FFFFFF"/>
        </w:rPr>
        <w:t xml:space="preserve"> not published in English. No other exclusion criteria was imposed on the quality of study design because assessment studies dealing with impact of telehealth on trainee physicians are scarce.</w:t>
      </w:r>
    </w:p>
    <w:p w14:paraId="766529CE" w14:textId="77777777" w:rsidR="00B17F1B" w:rsidRPr="009A37C7" w:rsidRDefault="00B17F1B" w:rsidP="00B17F1B">
      <w:pPr>
        <w:rPr>
          <w:b/>
          <w:bCs/>
        </w:rPr>
      </w:pPr>
    </w:p>
    <w:p w14:paraId="2201B607" w14:textId="77777777" w:rsidR="00B17F1B" w:rsidRDefault="00B17F1B" w:rsidP="00B17F1B">
      <w:pPr>
        <w:rPr>
          <w:b/>
          <w:bCs/>
        </w:rPr>
      </w:pPr>
      <w:r w:rsidRPr="009A37C7">
        <w:rPr>
          <w:b/>
          <w:bCs/>
        </w:rPr>
        <w:t>Results</w:t>
      </w:r>
    </w:p>
    <w:p w14:paraId="36B0FD7D" w14:textId="77777777" w:rsidR="00B17F1B" w:rsidRPr="00B769AB" w:rsidRDefault="00B17F1B" w:rsidP="00B17F1B">
      <w:pPr>
        <w:rPr>
          <w:b/>
          <w:bCs/>
          <w:color w:val="000000" w:themeColor="text1"/>
        </w:rPr>
      </w:pPr>
      <w:r w:rsidRPr="00B769AB">
        <w:rPr>
          <w:b/>
          <w:bCs/>
          <w:color w:val="000000" w:themeColor="text1"/>
        </w:rPr>
        <w:t>EVOLUTION OF TELECONSULTATION</w:t>
      </w:r>
    </w:p>
    <w:p w14:paraId="3EF9812C" w14:textId="77777777" w:rsidR="00B17F1B" w:rsidRPr="007F3597" w:rsidRDefault="00B17F1B" w:rsidP="00B17F1B">
      <w:pPr>
        <w:rPr>
          <w:b/>
          <w:bCs/>
        </w:rPr>
      </w:pPr>
      <w:r>
        <w:t xml:space="preserve">For decades people have been communicating across considerable distances. In 1879, </w:t>
      </w:r>
      <w:r>
        <w:rPr>
          <w:i/>
          <w:iCs/>
        </w:rPr>
        <w:t>T</w:t>
      </w:r>
      <w:r w:rsidRPr="00847FA5">
        <w:rPr>
          <w:i/>
          <w:iCs/>
        </w:rPr>
        <w:t xml:space="preserve">he Lancet </w:t>
      </w:r>
      <w:r>
        <w:t>published an article about using the telephone to reduce unnecessary healthcare office visits.</w:t>
      </w:r>
      <w:r>
        <w:fldChar w:fldCharType="begin" w:fldLock="1"/>
      </w:r>
      <w:r>
        <w:instrText>ADDIN CSL_CITATION {"citationItems":[{"id":"ITEM-1","itemData":{"abstract":"What is the rationale for telehealth? One of the landmark publications of the past couple of decades, Crossing the Quality Chasm, stated, “information technology must play a central role in the redesign of the health care system if a substantial improvement in quality is to be achieved” (IOM, 2001, p. 16). Nowhere is this more true than in rural communities. New knowledge and new science are being developed all the time. When some people have access to that new knowledge and expertise and other people do not, disparities grow. Advances in telecommunication and information technology can help overcome some of these disparities by redistributing that knowledge and expertise to when and where it is needed.","author":[{"dropping-particle":"","family":"Nesbitt","given":"Thomas","non-dropping-particle":"","parse-names":false,"suffix":""}],"container-title":"The Role of Telehealth in an Evolving Health Care Environment: Workshop Summary.","id":"ITEM-1","issued":{"date-parts":[["2012"]]},"title":"The Evolution of Telehealth: Where Have We Been and Where Are We Going?","type":"chapter"},"uris":["http://www.mendeley.com/documents/?uuid=85f8ddc5-43f0-49d7-8b8c-17b7a2e203bd"]},{"id":"ITEM-2","itemData":{"ISSN":"1473-6500","PMID":"21659874","abstract":"PURPOSE OF REVIEW: Advances in health information technology and broadband Internet connections provide novel opportunities for anesthesiologists to extend perioperative consultation services to remote geographic areas. Increasing economic pressures on healthcare delivery systems make initiatives such as telemedicine, which reduce costs while achieving excellent outcomes, an attractive option. RECENT FINDINGS: Initiatives in remote access to anesthesiology services are emerging throughout the world in the areas of preoperative evaluation, intraoperative consultation, postoperative management and critical care as well as simulation and education. Physicians caring for patients in remote areas can benefit from the expertise found in subspecialty centers. In the US a number of states provide reimbursement for telemedicine services offered in several specialties, including anesthesiology. SUMMARY: Anesthesiologists have the opportunity to develop telemedicine programs that can improve the delivery of care to patients. Current programs offer services ranging from remote preoperative evaluation to international collaboration for intraoperative management and consultation. Simulation using telemedicine services can provide educational opportunities and test the effectiveness of institutions' communications systems.","author":[{"dropping-particle":"","family":"Field","given":"M","non-dropping-particle":"","parse-names":false,"suffix":""}],"container-title":"Current opinion in anaesthesiology","id":"ITEM-2","issued":{"date-parts":[["2011"]]},"title":"A guide to assessing telecommunications in health care","type":"article-journal"},"uris":["http://www.mendeley.com/documents/?uuid=34e2d445-e9fd-4b45-a67f-c0ee79c01352"]}],"mendeley":{"formattedCitation":"[4], [5]","plainTextFormattedCitation":"[4], [5]","previouslyFormattedCitation":"[4], [5]"},"properties":{"noteIndex":0},"schema":"https://github.com/citation-style-language/schema/raw/master/csl-citation.json"}</w:instrText>
      </w:r>
      <w:r>
        <w:fldChar w:fldCharType="separate"/>
      </w:r>
      <w:r w:rsidRPr="00794CDD">
        <w:rPr>
          <w:noProof/>
        </w:rPr>
        <w:t>[4], [5]</w:t>
      </w:r>
      <w:r>
        <w:fldChar w:fldCharType="end"/>
      </w:r>
      <w:r>
        <w:t xml:space="preserve"> A well-recognised imaginative cover of a 1929 </w:t>
      </w:r>
      <w:r w:rsidRPr="003114D1">
        <w:rPr>
          <w:i/>
          <w:iCs/>
        </w:rPr>
        <w:t>Radio News</w:t>
      </w:r>
      <w:r>
        <w:t xml:space="preserve"> magazine depicted a “Radio Doctor” using both radio and live television images to communicate with a patient.</w:t>
      </w:r>
      <w:r>
        <w:fldChar w:fldCharType="begin" w:fldLock="1"/>
      </w:r>
      <w:r>
        <w:instrText>ADDIN CSL_CITATION {"citationItems":[{"id":"ITEM-1","itemData":{"ISSN":"1473-6500","PMID":"21659874","abstract":"PURPOSE OF REVIEW: Advances in health information technology and broadband Internet connections provide novel opportunities for anesthesiologists to extend perioperative consultation services to remote geographic areas. Increasing economic pressures on healthcare delivery systems make initiatives such as telemedicine, which reduce costs while achieving excellent outcomes, an attractive option. RECENT FINDINGS: Initiatives in remote access to anesthesiology services are emerging throughout the world in the areas of preoperative evaluation, intraoperative consultation, postoperative management and critical care as well as simulation and education. Physicians caring for patients in remote areas can benefit from the expertise found in subspecialty centers. In the US a number of states provide reimbursement for telemedicine services offered in several specialties, including anesthesiology. SUMMARY: Anesthesiologists have the opportunity to develop telemedicine programs that can improve the delivery of care to patients. Current programs offer services ranging from remote preoperative evaluation to international collaboration for intraoperative management and consultation. Simulation using telemedicine services can provide educational opportunities and test the effectiveness of institutions' communications systems.","author":[{"dropping-particle":"","family":"Field","given":"M","non-dropping-particle":"","parse-names":false,"suffix":""}],"container-title":"Current opinion in anaesthesiology","id":"ITEM-1","issued":{"date-parts":[["2011"]]},"title":"A guide to assessing telecommunications in health care","type":"article-journal"},"uris":["http://www.mendeley.com/documents/?uuid=34e2d445-e9fd-4b45-a67f-c0ee79c01352"]}],"mendeley":{"formattedCitation":"[5]","plainTextFormattedCitation":"[5]","previouslyFormattedCitation":"[5]"},"properties":{"noteIndex":0},"schema":"https://github.com/citation-style-language/schema/raw/master/csl-citation.json"}</w:instrText>
      </w:r>
      <w:r>
        <w:fldChar w:fldCharType="separate"/>
      </w:r>
      <w:r w:rsidRPr="00794CDD">
        <w:rPr>
          <w:noProof/>
        </w:rPr>
        <w:t>[5]</w:t>
      </w:r>
      <w:r>
        <w:fldChar w:fldCharType="end"/>
      </w:r>
      <w:r>
        <w:t xml:space="preserve"> It was not until 1950 that the first reference to telemedicine was published in medical literature.</w:t>
      </w:r>
      <w:r>
        <w:fldChar w:fldCharType="begin" w:fldLock="1"/>
      </w:r>
      <w:r>
        <w:instrText>ADDIN CSL_CITATION {"citationItems":[{"id":"ITEM-1","itemData":{"ISSN":"00257338","PMID":"8938332","abstract":"This paper traces the uses of telecommunications in health care from the Civil War era to the present. Topics include the National Aeronautics and Space Administration's involvement in the origins of current telemedicine systems and the impact of television. Applications of telemedicine discussed include remote consultation and diagnosis, specialty clinical care (including examples from anesthesia, dermatology, cardiology, psychiatry, radiology, critical care, and oncology), and others (including examples of patient education, home monitoring, and continuing education). The concluding section highlights how telemedicine affects health sciences librarianship, beginning with the development of online computerized literature searching. This section also discusses the medical resources available to health sciences librarians as a result of the Internet.","author":[{"dropping-particle":"","family":"Zundel","given":"Karen M.","non-dropping-particle":"","parse-names":false,"suffix":""}],"container-title":"Bulletin of the Medical Library Association","id":"ITEM-1","issued":{"date-parts":[["1996"]]},"title":"Telemedicine: History, applications, and impact on librarianship","type":"article"},"uris":["http://www.mendeley.com/documents/?uuid=69430aff-18b6-4f63-ba44-88cf19556e8e"]}],"mendeley":{"formattedCitation":"[6]","plainTextFormattedCitation":"[6]","previouslyFormattedCitation":"[6]"},"properties":{"noteIndex":0},"schema":"https://github.com/citation-style-language/schema/raw/master/csl-citation.json"}</w:instrText>
      </w:r>
      <w:r>
        <w:fldChar w:fldCharType="separate"/>
      </w:r>
      <w:r w:rsidRPr="00794CDD">
        <w:rPr>
          <w:noProof/>
        </w:rPr>
        <w:t>[6]</w:t>
      </w:r>
      <w:r>
        <w:fldChar w:fldCharType="end"/>
      </w:r>
      <w:r>
        <w:t xml:space="preserve"> The use of telehealth has been expanding rapidly with technological advancements and to date has been well-received. The COVID-19 pandemic has placed increased demands on the implantation of digital technologies in healthcare, of which are universally relatively unfamiliar to both physicians and patients. This shift to virtual modalities has provided the opportunity to adapt and grow. As the telehealth realm is more widely accepted and the pandemic advances, the lessons learned should continue to augment patient experience. However, whether it augments trainee </w:t>
      </w:r>
      <w:r>
        <w:lastRenderedPageBreak/>
        <w:t>NCHD experience remains unknown. Telehealth utilization has exploded, with reports of rates of use up 80-200% in some instances.</w:t>
      </w:r>
      <w:r>
        <w:fldChar w:fldCharType="begin" w:fldLock="1"/>
      </w:r>
      <w:r>
        <w:instrText>ADDIN CSL_CITATION {"citationItems":[{"id":"ITEM-1","itemData":{"DOI":"10.1016/j.jpurol.2020.06.024","ISSN":"18734898","PMID":"32680626","abstract":"Introduction: The COVID-19 pandemic has led to an unprecedented need to re-organise and re-align priorities for all surgical specialties. Despite the current declining numbers globally, the direct effects of the pandemic on institutional practices and on personal stress and coping mechanisms remains unknown. The aims of this study were to assess the effect of the pandemic on daily scheduling and work balances, its effects on stress, and to determine compliance with guidelines and to assess whether quarantining has led to other areas of increased productivity. Methods: A trans-Atlantic convenience sample of paediatric urologists was created in which panellists (Zoom) discussed the direct effects of the COVID-19 pandemic on individual units, as well as creating a questionnaire using a mini-Delphi method to provide current semi-quantitative data regarding practice, and adherence levels to recently published risk stratification guidelines. They also filled out a Perceived Stress Scale (PSS) questionnaire to assess contemporary pandemic stress levels. Results: There was an 86% response rate from paediatric urologists. The majority of respondents reported near complete disruption to planned operations (70%), and trainee education (70%). They were also worried about the effects of altered home-lives on productivity (≤90%), as well as a lack of personal protective equipment (57%). The baseline stress rate was measured at a very high level (PSS) during the pandemic. Adherence to recent operative guidelines for urgent cases was 100%. Conclusion: This study represents a panel discussion of a number of practical implications for paediatric urologists, and is one of the few papers to assess more pragmatic effects and combines opinions from both sides of the Atlantic. The impact of the pandemic has been very significant for paediatric urologists and includes a decrease in the number of patients seen and operated on, decreased salary, increased self-reported stress levels, substantially increased telemedicine usage, increased free time for various activities, and good compliance with guidelines and hospital management decisions.[Formula presented]","author":[{"dropping-particle":"","family":"O'Kelly","given":"Fardod","non-dropping-particle":"","parse-names":false,"suffix":""},{"dropping-particle":"","family":"Sparks","given":"Scott","non-dropping-particle":"","parse-names":false,"suffix":""},{"dropping-particle":"","family":"Seideman","given":"Casey","non-dropping-particle":"","parse-names":false,"suffix":""},{"dropping-particle":"","family":"Gargollo","given":"Patricio","non-dropping-particle":"","parse-names":false,"suffix":""},{"dropping-particle":"","family":"Granberg","given":"Candace","non-dropping-particle":"","parse-names":false,"suffix":""},{"dropping-particle":"","family":"Ko","given":"Joan","non-dropping-particle":"","parse-names":false,"suffix":""},{"dropping-particle":"","family":"Malhotra","given":"Neha","non-dropping-particle":"","parse-names":false,"suffix":""},{"dropping-particle":"","family":"Hecht","given":"Sarah","non-dropping-particle":"","parse-names":false,"suffix":""},{"dropping-particle":"","family":"Swords","given":"Kelly","non-dropping-particle":"","parse-names":false,"suffix":""},{"dropping-particle":"","family":"Rowe","given":"Courtney","non-dropping-particle":"","parse-names":false,"suffix":""},{"dropping-particle":"","family":"Whittam","given":"Ben","non-dropping-particle":"","parse-names":false,"suffix":""},{"dropping-particle":"","family":"Spinoit","given":"Anne Francoise","non-dropping-particle":"","parse-names":false,"suffix":""},{"dropping-particle":"","family":"Dudley","given":"Anne","non-dropping-particle":"","parse-names":false,"suffix":""},{"dropping-particle":"","family":"Ellison","given":"Jonathan","non-dropping-particle":"","parse-names":false,"suffix":""},{"dropping-particle":"","family":"Chu","given":"David","non-dropping-particle":"","parse-names":false,"suffix":""},{"dropping-particle":"","family":"Routh","given":"Jonathan","non-dropping-particle":"","parse-names":false,"suffix":""},{"dropping-particle":"","family":"Cannon","given":"Glenn","non-dropping-particle":"","parse-names":false,"suffix":""},{"dropping-particle":"","family":"Kokorowski","given":"Paul","non-dropping-particle":"","parse-names":false,"suffix":""},{"dropping-particle":"","family":"Koyle","given":"Martin","non-dropping-particle":"","parse-names":false,"suffix":""},{"dropping-particle":"","family":"Silay","given":"Mesrur Selcuk","non-dropping-particle":"","parse-names":false,"suffix":""}],"container-title":"Journal of Pediatric Urology","id":"ITEM-1","issued":{"date-parts":[["2020"]]},"title":"A survey and panel discussion of the effects of the COVID-19 pandemic on paediatric urological productivity, guideline adherence and provider stress","type":"article-journal"},"uris":["http://www.mendeley.com/documents/?uuid=652ab24f-3eb7-4ab1-92d4-3d976e09358d"]},{"id":"ITEM-2","itemData":{"DOI":"10.1016/j.urology.2020.05.051","author":[{"dropping-particle":"","family":"Fero","given":"K E","non-dropping-particle":"","parse-names":false,"suffix":""},{"dropping-particle":"","family":"Weinberger","given":"J M","non-dropping-particle":"","parse-names":false,"suffix":""},{"dropping-particle":"","family":"Lerman","given":"S","non-dropping-particle":"","parse-names":false,"suffix":""},{"dropping-particle":"","family":"Bergman","given":"J","non-dropping-particle":"","parse-names":false,"suffix":""}],"container-title":"Urology","id":"ITEM-2","issued":{"date-parts":[["2020"]]},"note":"Cited By :5\n\nExport Date: 2 January 2021","page":"62-67","title":"Perceived Impact of Urologic Surgery Training Program Modifications due to COVID-19 in the United States","type":"article-journal","volume":"143"},"uris":["http://www.mendeley.com/documents/?uuid=d8a1756a-153a-4ba2-9b7f-ba6079d40289"]},{"id":"ITEM-3","itemData":{"DOI":"10.1186/s40959-020-00085-5","author":[{"dropping-particle":"","family":"Sadler","given":"Diego","non-dropping-particle":"","parse-names":false,"suffix":""},{"dropping-particle":"","family":"DeCara","given":"Jeanne M.","non-dropping-particle":"","parse-names":false,"suffix":""},{"dropping-particle":"","family":"Herrmann","given":"Joerg","non-dropping-particle":"","parse-names":false,"suffix":""},{"dropping-particle":"","family":"Arnold","given":"Anita","non-dropping-particle":"","parse-names":false,"suffix":""},{"dropping-particle":"","family":"Ghosh","given":"Arjun K.","non-dropping-particle":"","parse-names":false,"suffix":""},{"dropping-particle":"","family":"Abdel-Qadir","given":"Husam","non-dropping-particle":"","parse-names":false,"suffix":""},{"dropping-particle":"","family":"Yang","given":"Eric H.","non-dropping-particle":"","parse-names":false,"suffix":""},{"dropping-particle":"","family":"Szmit","given":"Sebastian","non-dropping-particle":"","parse-names":false,"suffix":""},{"dropping-particle":"","family":"Akhter","given":"Nausheen","non-dropping-particle":"","parse-names":false,"suffix":""},{"dropping-particle":"","family":"Leja","given":"Monika","non-dropping-particle":"","parse-names":false,"suffix":""},{"dropping-particle":"","family":"Silva","given":"Carolina Maria Pinto Domingues Carv","non-dropping-particle":"","parse-names":false,"suffix":""},{"dropping-particle":"","family":"Raikhelkar","given":"Jayant","non-dropping-particle":"","parse-names":false,"suffix":""},{"dropping-particle":"","family":"Brown","given":"Sherry-Ann","non-dropping-particle":"","parse-names":false,"suffix":""},{"dropping-particle":"","family":"Dent","given":"Susan","non-dropping-particle":"","parse-names":false,"suffix":""},{"dropping-particle":"","family":"O’Quinn","given":"Rupal","non-dropping-particle":"","parse-names":false,"suffix":""},{"dropping-particle":"","family":"Thuny","given":"Franck","non-dropping-particle":"","parse-names":false,"suffix":""},{"dropping-particle":"","family":"Moudgil","given":"Rohit","non-dropping-particle":"","parse-names":false,"suffix":""},{"dropping-particle":"","family":"Raez","given":"Luis E.","non-dropping-particle":"","parse-names":false,"suffix":""},{"dropping-particle":"","family":"Okwuosa","given":"Tochukwu","non-dropping-particle":"","parse-names":false,"suffix":""},{"dropping-particle":"","family":"Daniele","given":"Andres","non-dropping-particle":"","parse-names":false,"suffix":""},{"dropping-particle":"","family":"Bauer","given":"Brenton","non-dropping-particle":"","parse-names":false,"suffix":""},{"dropping-particle":"","family":"Kondapalli","given":"Lavanya","non-dropping-particle":"","parse-names":false,"suffix":""},{"dropping-particle":"","family":"Ismail-Khan","given":"Roohi","non-dropping-particle":"","parse-names":false,"suffix":""},{"dropping-particle":"","family":"Lax","given":"Jorge","non-dropping-particle":"","parse-names":false,"suffix":""},{"dropping-particle":"","family":"Blaes","given":"Anne","non-dropping-particle":"","parse-names":false,"suffix":""},{"dropping-particle":"","family":"Nahleh","given":"Zeina","non-dropping-particle":"","parse-names":false,"suffix":""},{"dropping-particle":"","family":"Elson","given":"Leah","non-dropping-particle":"","parse-names":false,"suffix":""},{"dropping-particle":"","family":"Baldassarre","given":"Lauren A.","non-dropping-particle":"","parse-names":false,"suffix":""},{"dropping-particle":"","family":"Zaha","given":"Vlad","non-dropping-particle":"","parse-names":false,"suffix":""},{"dropping-particle":"","family":"Rao","given":"Vijay","non-dropping-particle":"","parse-names":false,"suffix":""},{"dropping-particle":"","family":"Lara","given":"Daniel Sierra","non-dropping-particle":"","parse-names":false,"suffix":""},{"dropping-particle":"","family":"Skurka","given":"Kerry","non-dropping-particle":"","parse-names":false,"suffix":""}],"container-title":"Cardio-Oncology","id":"ITEM-3","issued":{"date-parts":[["2020"]]},"title":"Perspectives on the COVID-19 pandemic impact on cardio-oncology: results from the COVID-19 International Collaborative Network survey","type":"article-journal"},"uris":["http://www.mendeley.com/documents/?uuid=4786401d-81b4-4974-ac0e-864c5a9b4988"]}],"mendeley":{"formattedCitation":"[7]–[9]","plainTextFormattedCitation":"[7]–[9]","previouslyFormattedCitation":"[7]–[9]"},"properties":{"noteIndex":0},"schema":"https://github.com/citation-style-language/schema/raw/master/csl-citation.json"}</w:instrText>
      </w:r>
      <w:r>
        <w:fldChar w:fldCharType="separate"/>
      </w:r>
      <w:r w:rsidRPr="00794CDD">
        <w:rPr>
          <w:noProof/>
        </w:rPr>
        <w:t>[7]–[9]</w:t>
      </w:r>
      <w:r>
        <w:fldChar w:fldCharType="end"/>
      </w:r>
    </w:p>
    <w:p w14:paraId="04DD49E2" w14:textId="77777777" w:rsidR="00B17F1B" w:rsidRPr="00B769AB" w:rsidRDefault="00B17F1B" w:rsidP="00B17F1B">
      <w:pPr>
        <w:rPr>
          <w:b/>
          <w:bCs/>
          <w:color w:val="000000" w:themeColor="text1"/>
        </w:rPr>
      </w:pPr>
      <w:r w:rsidRPr="00B769AB">
        <w:rPr>
          <w:b/>
          <w:bCs/>
          <w:color w:val="000000" w:themeColor="text1"/>
        </w:rPr>
        <w:t>CURRENT EDUCATION OF TELEHEALTH</w:t>
      </w:r>
    </w:p>
    <w:p w14:paraId="38680EDC" w14:textId="77777777" w:rsidR="00B17F1B" w:rsidRDefault="00B17F1B" w:rsidP="00B17F1B">
      <w:r w:rsidRPr="0004792C">
        <w:t xml:space="preserve">An article published by in the </w:t>
      </w:r>
      <w:r w:rsidRPr="003C0405">
        <w:rPr>
          <w:i/>
          <w:iCs/>
        </w:rPr>
        <w:t>American Journal of Pharmaceutical Education</w:t>
      </w:r>
      <w:r w:rsidRPr="0004792C">
        <w:t xml:space="preserve"> discusses the importance of maintaining clinical skills through the clinical shift with advancing technologies. Noted lack of person-person interaction maybe delay confidence development, personal practice style and overall strength of independent clinical acumen. The review concluded that emphasi</w:t>
      </w:r>
      <w:r>
        <w:t>zi</w:t>
      </w:r>
      <w:r w:rsidRPr="0004792C">
        <w:t>ng core values on training programmes is imperative including technology, leadership and mental well-being.</w:t>
      </w:r>
      <w:r>
        <w:fldChar w:fldCharType="begin" w:fldLock="1"/>
      </w:r>
      <w:r>
        <w:instrText>ADDIN CSL_CITATION {"citationItems":[{"id":"ITEM-1","itemData":{"DOI":"10.5688/ajpe8158","ISSN":"15536467","PMID":"32665729","abstract":"The novel coronavirus identified in 2019 (COVID-19) pandemic has impacted pharmacy graduate and postgraduate education. This crisis has resulted in a cosmic shift in the administration of these programs to ensure core values are sustained. Adjustments may be needed at a minimum to ensure that postgraduate trainees complete program requirements while maintaining safety. Moving forward, ad-ditional issues may arise that will need to be addressed such as admissions and program onboarding, acclimating students to new training environments, and managing inadequate resources for distance education, distance practice, and remote versus in-person research opportunities.","author":[{"dropping-particle":"","family":"Persky","given":"Adam M.","non-dropping-particle":"","parse-names":false,"suffix":""},{"dropping-particle":"","family":"Fuller","given":"Kathryn A.","non-dropping-particle":"","parse-names":false,"suffix":""},{"dropping-particle":"","family":"Jarstfer","given":"Michael","non-dropping-particle":"","parse-names":false,"suffix":""},{"dropping-particle":"","family":"Rao","given":"Kamakshi","non-dropping-particle":"","parse-names":false,"suffix":""},{"dropping-particle":"","family":"Rodgers","given":"Jo E.","non-dropping-particle":"","parse-names":false,"suffix":""},{"dropping-particle":"","family":"Smith","given":"Megan","non-dropping-particle":"","parse-names":false,"suffix":""}],"container-title":"American Journal of Pharmaceutical Education","id":"ITEM-1","issued":{"date-parts":[["2020"]]},"title":"Maintaining core values in postgraduate programs during the covid-19 pandemic","type":"article-journal"},"uris":["http://www.mendeley.com/documents/?uuid=ab4b3f53-e059-4d94-bec8-c0a20d4f3971"]}],"mendeley":{"formattedCitation":"[32]","plainTextFormattedCitation":"[32]","previouslyFormattedCitation":"[32]"},"properties":{"noteIndex":0},"schema":"https://github.com/citation-style-language/schema/raw/master/csl-citation.json"}</w:instrText>
      </w:r>
      <w:r>
        <w:fldChar w:fldCharType="separate"/>
      </w:r>
      <w:r w:rsidRPr="00656CB5">
        <w:rPr>
          <w:noProof/>
        </w:rPr>
        <w:t>[32]</w:t>
      </w:r>
      <w:r>
        <w:fldChar w:fldCharType="end"/>
      </w:r>
    </w:p>
    <w:p w14:paraId="0B0EEAC3" w14:textId="77777777" w:rsidR="00B17F1B" w:rsidRDefault="00B17F1B" w:rsidP="00B17F1B"/>
    <w:p w14:paraId="5650F056" w14:textId="77777777" w:rsidR="00B17F1B" w:rsidRDefault="00B17F1B" w:rsidP="00B17F1B">
      <w:r>
        <w:t>At large, telemedicine training literature has identified a need for competency training in basic technology proficiency and quality assurance of communication and consultation skills. While current trainees are by and large deemed as “digital natives” this does not translate into telehealth competency which may often be presumed.</w:t>
      </w:r>
      <w:r>
        <w:fldChar w:fldCharType="begin" w:fldLock="1"/>
      </w:r>
      <w:r>
        <w:instrText>ADDIN CSL_CITATION {"citationItems":[{"id":"ITEM-1","itemData":{"DOI":"10.1007/s11606-020-05979-9","author":[{"dropping-particle":"","family":"Lawrence","given":"K","non-dropping-particle":"","parse-names":false,"suffix":""},{"dropping-particle":"","family":"Hanley","given":"K","non-dropping-particle":"","parse-names":false,"suffix":""},{"dropping-particle":"","family":"Adams","given":"J","non-dropping-particle":"","parse-names":false,"suffix":""},{"dropping-particle":"","family":"Sartori","given":"D J","non-dropping-particle":"","parse-names":false,"suffix":""},{"dropping-particle":"","family":"Greene","given":"R","non-dropping-particle":"","parse-names":false,"suffix":""},{"dropping-particle":"","family":"Zabar","given":"S","non-dropping-particle":"","parse-names":false,"suffix":""}],"container-title":"Journal of General Internal Medicine","id":"ITEM-1","issue":"9","issued":{"date-parts":[["2020"]]},"note":"Cited By :1\n\nExport Date: 2 January 2021","page":"2675-2679","title":"Building Telemedicine Capacity for Trainees During the Novel Coronavirus Outbreak: a Case Study and Lessons Learned","type":"article-journal","volume":"35"},"uris":["http://www.mendeley.com/documents/?uuid=79397e5e-5b6d-48e6-be5b-3e105cbf6eaf"]},{"id":"ITEM-2","itemData":{"DOI":"10.2196/jmir.5534","ISSN":"14388871","PMID":"27405323","abstract":"Telemedicine plays an important role in the delivery of medical care, and will become increasingly prominent going forward. Current medical students are among the first generation of \"digital natives\" who are well versed in the incorporation of technology into social interaction. These students are well positioned to apply advances in communications to patient care. Even so, providers require training to effectively leverage these opportunities. Therefore, we recommend introducing telemedicine training into medical school curricula and propose a model for incorporation.","author":[{"dropping-particle":"","family":"Pathipati","given":"Akhilesh S.","non-dropping-particle":"","parse-names":false,"suffix":""},{"dropping-particle":"","family":"Azad","given":"Tej D.","non-dropping-particle":"","parse-names":false,"suffix":""},{"dropping-particle":"","family":"Jethwani","given":"Kamal","non-dropping-particle":"","parse-names":false,"suffix":""}],"container-title":"Journal of Medical Internet Research","id":"ITEM-2","issued":{"date-parts":[["2016"]]},"title":"Telemedical education: Training digital natives in telemedicine","type":"article"},"uris":["http://www.mendeley.com/documents/?uuid=6f380b03-d6bf-4fcd-bae6-4807be0905ab"]}],"mendeley":{"formattedCitation":"[10], [11]","plainTextFormattedCitation":"[10], [11]","previouslyFormattedCitation":"[10], [11]"},"properties":{"noteIndex":0},"schema":"https://github.com/citation-style-language/schema/raw/master/csl-citation.json"}</w:instrText>
      </w:r>
      <w:r>
        <w:fldChar w:fldCharType="separate"/>
      </w:r>
      <w:r w:rsidRPr="00794CDD">
        <w:rPr>
          <w:noProof/>
        </w:rPr>
        <w:t>[10], [11]</w:t>
      </w:r>
      <w:r>
        <w:fldChar w:fldCharType="end"/>
      </w:r>
      <w:r>
        <w:t xml:space="preserve"> The role out of competency training has begun but remains slow. Many specialties that implement teleconsultation do not have dedicated learning opportunities in preparation for this skill as described by </w:t>
      </w:r>
      <w:r w:rsidRPr="002C3620">
        <w:rPr>
          <w:i/>
          <w:iCs/>
        </w:rPr>
        <w:t>Breting et al</w:t>
      </w:r>
      <w:r>
        <w:t>. During 2020, face-to-face consultations were at an all-time low, with rates as low as 10% reported in neuropsychology evaluations.</w:t>
      </w:r>
      <w:r>
        <w:fldChar w:fldCharType="begin" w:fldLock="1"/>
      </w:r>
      <w:r>
        <w:instrText>ADDIN CSL_CITATION {"citationItems":[{"id":"ITEM-1","itemData":{"DOI":"10.1080/13854046.2020.1809712","author":[{"dropping-particle":"","family":"Guidotti Breting","given":"L M","non-dropping-particle":"","parse-names":false,"suffix":""},{"dropping-particle":"","family":"Towns","given":"S J","non-dropping-particle":"","parse-names":false,"suffix":""},{"dropping-particle":"","family":"Butts","given":"A M","non-dropping-particle":"","parse-names":false,"suffix":""},{"dropping-particle":"","family":"Brett","given":"B L","non-dropping-particle":"","parse-names":false,"suffix":""},{"dropping-particle":"","family":"Leaffer","given":"E B","non-dropping-particle":"","parse-names":false,"suffix":""},{"dropping-particle":"","family":"Whiteside","given":"D M","non-dropping-particle":"","parse-names":false,"suffix":""}],"container-title":"Clinical Neuropsychologist","id":"ITEM-1","issue":"7-8","issued":{"date-parts":[["2020"]]},"note":"Export Date: 2 January 2021","page":"1284-1313","title":"2020 COVID-19 American Academy of Clinical Neuropsychology (AACN) Student Affairs Committee survey of neuropsychology trainees","type":"article-journal","volume":"34"},"uris":["http://www.mendeley.com/documents/?uuid=3864b997-dba7-4555-b636-eafce51b79d4"]}],"mendeley":{"formattedCitation":"[12]","plainTextFormattedCitation":"[12]","previouslyFormattedCitation":"[12]"},"properties":{"noteIndex":0},"schema":"https://github.com/citation-style-language/schema/raw/master/csl-citation.json"}</w:instrText>
      </w:r>
      <w:r>
        <w:fldChar w:fldCharType="separate"/>
      </w:r>
      <w:r w:rsidRPr="00794CDD">
        <w:rPr>
          <w:noProof/>
        </w:rPr>
        <w:t>[12]</w:t>
      </w:r>
      <w:r>
        <w:fldChar w:fldCharType="end"/>
      </w:r>
      <w:r>
        <w:t xml:space="preserve"> </w:t>
      </w:r>
      <w:r w:rsidRPr="00F469C2">
        <w:t xml:space="preserve">Benefits of telehealth workshops and teaching </w:t>
      </w:r>
      <w:r>
        <w:t>sessions are well recognised including self-ratings of understanding and confidence as reflected in many studies.</w:t>
      </w:r>
      <w:r>
        <w:fldChar w:fldCharType="begin" w:fldLock="1"/>
      </w:r>
      <w:r>
        <w:instrText>ADDIN CSL_CITATION {"citationItems":[{"id":"ITEM-1","itemData":{"DOI":"10.1111/tct.12378","ISSN":"1743498X","PMID":"26016733","abstract":"Background: Although teleconsultations have been used for many years in Australia, there has been a recent increase following new government incentives. There is a paucity of literature on enabling medical students to acquire the relevant skills. With a focus on equipping students for practice in rural and remote areas, our medical school has developed an innovative clinical skills lesson to prepare our students for their rural practice placements. Methods: This lesson was delivered to all students in their third year of training in small groups to enable interactive learning. The objectives of the lesson were to familiarise students with: the various methods of conducting teleconsultations currently in use; the legal and ethical considerations; the technical and procedural issues; and the barriers and benefits for patients and doctors. Students rotated through four different stations over 2 hours and the lesson was evaluated using a student survey. Results: Medical students self-reported statistically significant improvements in understanding the issues and procedures, and in confidence in conducting a telehealth consultation. Discussion: Analysis of the results and student comments demonstrated that students recognise the value of telemedicine learning, and benefit from formal teaching on all aspects of telemedicine, including technology, ethics and protocols. Interestingly, the students found the opportunity to discuss areas such as the ethics of, and barriers to, the use of teleconsultations to be the most challenging and helpful of all of the stations.","author":[{"dropping-particle":"","family":"Rienits","given":"Helen","non-dropping-particle":"","parse-names":false,"suffix":""},{"dropping-particle":"","family":"Teuss","given":"Greg","non-dropping-particle":"","parse-names":false,"suffix":""},{"dropping-particle":"","family":"Bonney","given":"Andrew","non-dropping-particle":"","parse-names":false,"suffix":""}],"container-title":"Clinical Teacher","id":"ITEM-1","issued":{"date-parts":[["2016"]]},"title":"Teaching telehealth consultation skills","type":"article-journal"},"uris":["http://www.mendeley.com/documents/?uuid=978e8f64-e8b1-491c-a50b-48883dacb88a"]}],"mendeley":{"formattedCitation":"[13]","plainTextFormattedCitation":"[13]","previouslyFormattedCitation":"[13]"},"properties":{"noteIndex":0},"schema":"https://github.com/citation-style-language/schema/raw/master/csl-citation.json"}</w:instrText>
      </w:r>
      <w:r>
        <w:fldChar w:fldCharType="separate"/>
      </w:r>
      <w:r w:rsidRPr="00794CDD">
        <w:rPr>
          <w:noProof/>
        </w:rPr>
        <w:t>[13]</w:t>
      </w:r>
      <w:r>
        <w:fldChar w:fldCharType="end"/>
      </w:r>
      <w:r>
        <w:t xml:space="preserve"> This has not yet been implemented at undergraduate level though has been introduced in some national training programmes including general practice.</w:t>
      </w:r>
    </w:p>
    <w:p w14:paraId="7A21079A" w14:textId="77777777" w:rsidR="00B17F1B" w:rsidRPr="007E259A" w:rsidRDefault="00B17F1B" w:rsidP="00B17F1B">
      <w:r>
        <w:t>Gathering the most relevant studies to date, surveys and opinion polls from trainees highlight time and time again that training in this domain is limited but warranted.</w:t>
      </w:r>
    </w:p>
    <w:p w14:paraId="602DA285" w14:textId="77777777" w:rsidR="00B17F1B" w:rsidRPr="005C5BAF" w:rsidRDefault="00B17F1B" w:rsidP="00B17F1B">
      <w:pPr>
        <w:rPr>
          <w:b/>
          <w:bCs/>
          <w:color w:val="631C5F"/>
        </w:rPr>
      </w:pPr>
    </w:p>
    <w:p w14:paraId="51C0A0A8" w14:textId="77777777" w:rsidR="00B17F1B" w:rsidRPr="00B769AB" w:rsidRDefault="00B17F1B" w:rsidP="00B17F1B">
      <w:pPr>
        <w:rPr>
          <w:b/>
          <w:bCs/>
          <w:color w:val="000000" w:themeColor="text1"/>
        </w:rPr>
      </w:pPr>
      <w:r w:rsidRPr="00B769AB">
        <w:rPr>
          <w:b/>
          <w:bCs/>
          <w:color w:val="000000" w:themeColor="text1"/>
        </w:rPr>
        <w:t>A TRAINEE’S PERSPECTIVE ON TELEHEALTH</w:t>
      </w:r>
    </w:p>
    <w:p w14:paraId="65E02CCA" w14:textId="77777777" w:rsidR="00B17F1B" w:rsidRDefault="00B17F1B" w:rsidP="00B17F1B">
      <w:r>
        <w:t>Thusfar, the literature on trainee perspectives is limited to specialties most familiar with telehealth in the past, present and future. These specialties include; Dermatology, Psychiatry, Rehabilitation Medicine,</w:t>
      </w:r>
      <w:r w:rsidRPr="00804651">
        <w:t xml:space="preserve"> </w:t>
      </w:r>
      <w:r>
        <w:t>various post-operative surgical clinics etc. A 2020 UK-based nationwide survey of 26 dermatology registrars was completed looking at their confidence in teledermatology (TD) and remote consultation. Dermatology has revealed itself as one of the most advanced specialities in terms of telehealth utilization</w:t>
      </w:r>
      <w:r>
        <w:fldChar w:fldCharType="begin" w:fldLock="1"/>
      </w:r>
      <w:r>
        <w:instrText>ADDIN CSL_CITATION {"citationItems":[{"id":"ITEM-1","itemData":{"DOI":"10.1111/ced.14358","ISSN":"13652230","PMID":"32608022","abstract":"Teledermatology has had an explosive impact on the provision of dermatology services in recent times, and even more so with the unprecedented situation created by the COVID-19 pandemic. Although teledermatology is not presently a feature of the Joint Royal Colleges of Physicians Training Board (JRCPTB) curriculum for dermatology training, this is due to change imminently. Specialty trainees need training in this area to be able to confidently and competently meet the demands of the changing face of dermatology services. We surveyed dermatology registrars in training across the UK, prior to the outbreak of COVID-19, to ascertain the teledermatology teaching available and trainee confidence in this area. Our survey found that only 15% of respondents felt slightly confident in their ability to deal with teledermatology referrals and almost all (96%) felt more teaching was needed.","author":[{"dropping-particle":"","family":"Lowe","given":"A.","non-dropping-particle":"","parse-names":false,"suffix":""},{"dropping-particle":"","family":"Pararajasingam","given":"A.","non-dropping-particle":"","parse-names":false,"suffix":""},{"dropping-particle":"","family":"Goodwin","given":"R.","non-dropping-particle":"","parse-names":false,"suffix":""}],"container-title":"Clinical and Experimental Dermatology","id":"ITEM-1","issue":"7","issued":{"date-parts":[["2020","10","1"]]},"page":"876-879","publisher":"Blackwell Publishing Ltd","title":"A UK-wide survey looking at teaching and trainee confidence in teledermatology: a vital gap in a COVID-19-induced era of rapid digital transformation?","type":"article-journal","volume":"45"},"uris":["http://www.mendeley.com/documents/?uuid=d7e39fed-55ac-3277-bf68-c6e843c3e5de"]}],"mendeley":{"formattedCitation":"[30]","plainTextFormattedCitation":"[30]","previouslyFormattedCitation":"[30]"},"properties":{"noteIndex":0},"schema":"https://github.com/citation-style-language/schema/raw/master/csl-citation.json"}</w:instrText>
      </w:r>
      <w:r>
        <w:fldChar w:fldCharType="separate"/>
      </w:r>
      <w:r w:rsidRPr="00656CB5">
        <w:rPr>
          <w:noProof/>
        </w:rPr>
        <w:t>[30]</w:t>
      </w:r>
      <w:r>
        <w:fldChar w:fldCharType="end"/>
      </w:r>
      <w:r>
        <w:t>. However, despite these advancements training curriculums for dermatology trainees within the UK does not yet include education on remote consulting. The national based survey showed that only 15% of respondents were “slightly confident” in their abilities with teleconsulting while an impressive 96% felt more education was necessary within this area.</w:t>
      </w:r>
      <w:r>
        <w:fldChar w:fldCharType="begin" w:fldLock="1"/>
      </w:r>
      <w:r>
        <w:instrText>ADDIN CSL_CITATION {"citationItems":[{"id":"ITEM-1","itemData":{"DOI":"10.1111/ced.14358","ISSN":"13652230","PMID":"32608022","abstract":"Teledermatology has had an explosive impact on the provision of dermatology services in recent times, and even more so with the unprecedented situation created by the COVID-19 pandemic. Although teledermatology is not presently a feature of the Joint Royal Colleges of Physicians Training Board (JRCPTB) curriculum for dermatology training, this is due to change imminently. Specialty trainees need training in this area to be able to confidently and competently meet the demands of the changing face of dermatology services. We surveyed dermatology registrars in training across the UK, prior to the outbreak of COVID-19, to ascertain the teledermatology teaching available and trainee confidence in this area. Our survey found that only 15% of respondents felt slightly confident in their ability to deal with teledermatology referrals and almost all (96%) felt more teaching was needed.","author":[{"dropping-particle":"","family":"Lowe","given":"A.","non-dropping-particle":"","parse-names":false,"suffix":""},{"dropping-particle":"","family":"Pararajasingam","given":"A.","non-dropping-particle":"","parse-names":false,"suffix":""},{"dropping-particle":"","family":"Goodwin","given":"R.","non-dropping-particle":"","parse-names":false,"suffix":""}],"container-title":"Clinical and Experimental Dermatology","id":"ITEM-1","issue":"7","issued":{"date-parts":[["2020","10","1"]]},"page":"876-879","publisher":"Blackwell Publishing Ltd","title":"A UK-wide survey looking at teaching and trainee confidence in teledermatology: a vital gap in a COVID-19-induced era of rapid digital transformation?","type":"article-journal","volume":"45"},"uris":["http://www.mendeley.com/documents/?uuid=d7e39fed-55ac-3277-bf68-c6e843c3e5de"]}],"mendeley":{"formattedCitation":"[30]","plainTextFormattedCitation":"[30]","previouslyFormattedCitation":"[30]"},"properties":{"noteIndex":0},"schema":"https://github.com/citation-style-language/schema/raw/master/csl-citation.json"}</w:instrText>
      </w:r>
      <w:r>
        <w:fldChar w:fldCharType="separate"/>
      </w:r>
      <w:r w:rsidRPr="00656CB5">
        <w:rPr>
          <w:noProof/>
        </w:rPr>
        <w:t>[30]</w:t>
      </w:r>
      <w:r>
        <w:fldChar w:fldCharType="end"/>
      </w:r>
      <w:r>
        <w:t xml:space="preserve"> </w:t>
      </w:r>
    </w:p>
    <w:p w14:paraId="64232077" w14:textId="77777777" w:rsidR="00B17F1B" w:rsidRDefault="00B17F1B" w:rsidP="00B17F1B"/>
    <w:p w14:paraId="32A16254" w14:textId="77777777" w:rsidR="00B17F1B" w:rsidRDefault="00B17F1B" w:rsidP="00B17F1B">
      <w:r>
        <w:t>A further survey in the United States of 178 Physical and Rehab Medicine (P&amp;R Medicine) physicians and various level trainees unique perspectives were pooled. Telehealth utilisation rates soared from 14.6% of physicians using to 86.5% within the last 12 months. Rapid adaption rates were noted to provide safe care for patients. Comfort levels were greater in those with previous experience and predominantly outpatient based role when compared to others. General feedback was that telehealth was not well suited for initial consultations and more fitting for follow up visits. Further barriers identified were lack of clinical examination, difficulties in communicating with patients with sensory deficits and connection faults.</w:t>
      </w:r>
      <w:r>
        <w:fldChar w:fldCharType="begin" w:fldLock="1"/>
      </w:r>
      <w:r>
        <w:instrText>ADDIN CSL_CITATION {"citationItems":[{"id":"ITEM-1","itemData":{"DOI":"10.1002/pmrj.12455","author":[{"dropping-particle":"","family":"Escalon","given":"M X","non-dropping-particle":"","parse-names":false,"suffix":""},{"dropping-particle":"","family":"Raum","given":"G","non-dropping-particle":"","parse-names":false,"suffix":""},{"dropping-particle":"","family":"Tieppo Francio","given":"V","non-dropping-particle":"","parse-names":false,"suffix":""},{"dropping-particle":"","family":"Eubanks","given":"J E","non-dropping-particle":"","parse-names":false,"suffix":""},{"dropping-particle":"","family":"Verduzco-Gutierrez","given":"M","non-dropping-particle":"","parse-names":false,"suffix":""}],"container-title":"PM and R","id":"ITEM-1","issue":"10","issued":{"date-parts":[["2020"]]},"note":"Cited By :1\n\nExport Date: 2 January 2021","page":"1015-1023","title":"The Immediate Impact of the Coronavirus Pandemic and Resulting Adaptations in Physical Medicine and Rehabilitation Medical Education and Practice","type":"article-journal","volume":"12"},"uris":["http://www.mendeley.com/documents/?uuid=80e5cb67-75c6-411e-857a-8f3b9a21f13b"]}],"mendeley":{"formattedCitation":"[39]","plainTextFormattedCitation":"[39]","previouslyFormattedCitation":"[38]"},"properties":{"noteIndex":0},"schema":"https://github.com/citation-style-language/schema/raw/master/csl-citation.json"}</w:instrText>
      </w:r>
      <w:r>
        <w:fldChar w:fldCharType="separate"/>
      </w:r>
      <w:r w:rsidRPr="00656CB5">
        <w:rPr>
          <w:noProof/>
        </w:rPr>
        <w:t>[39]</w:t>
      </w:r>
      <w:r>
        <w:fldChar w:fldCharType="end"/>
      </w:r>
      <w:r>
        <w:t xml:space="preserve"> </w:t>
      </w:r>
    </w:p>
    <w:p w14:paraId="7445F5F9" w14:textId="77777777" w:rsidR="00B17F1B" w:rsidRDefault="00B17F1B" w:rsidP="00B17F1B">
      <w:r>
        <w:lastRenderedPageBreak/>
        <w:t>These findings again echoed in a similar study with P&amp;R medical trainees reporting similar issues and emphasizing the difficulty</w:t>
      </w:r>
      <w:r w:rsidRPr="003C6903">
        <w:t xml:space="preserve"> providing clinical opportunities for trainees</w:t>
      </w:r>
      <w:r>
        <w:t xml:space="preserve"> with ongoing technological enhancing remote consults</w:t>
      </w:r>
      <w:r w:rsidRPr="003C6903">
        <w:t>.</w:t>
      </w:r>
      <w:r>
        <w:fldChar w:fldCharType="begin" w:fldLock="1"/>
      </w:r>
      <w:r>
        <w:instrText>ADDIN CSL_CITATION {"citationItems":[{"id":"ITEM-1","itemData":{"abstract":"The COVID-19 pandemic has transformed the practice of medicine. We interviewed Physical Medicine and Rehabilitation (PM&amp;R) specialist physicians providing rehabilitation services throughout Rhode Island to organize a narrative assessing the pandemic's impact on the state's rehabilitation community and the responses of its leaders. Almost half of rehabilitation providers needed to suspend their services during the initial peak of the pandemic. Most experienced reductions in the size of their practices, as well as personnel issues that contributed to burnout. All physicians used telemedicine to connect with patients. Many reported issues with accessing personal protective equipment and providing clinical opportunities for trainees. Inpatient rehabilitation policies and practices helped to maintain access for COVID-positive and negative patients, yet challenges were faced when configuring physical space to abide by CDC social dis-tancing guidelines and providing care without patient visitors. Despite setbacks, the pandemic outlined opportunities for improvement of healthcare organization and delivery.","author":[{"dropping-particle":"","family":"Genovese","given":"Timothy J","non-dropping-particle":"","parse-names":false,"suffix":""},{"dropping-particle":"","family":"Carayannopoulos","given":"; Alexios","non-dropping-particle":"","parse-names":false,"suffix":""},{"dropping-particle":"","family":"Parziale","given":"John R","non-dropping-particle":"","parse-names":false,"suffix":""}],"id":"ITEM-1","issued":{"date-parts":[["0"]]},"title":"Physical Medicine and Rehabilitation in Rhode Island during the COVID-19 Pandemic","type":"report"},"uris":["http://www.mendeley.com/documents/?uuid=2a063b9f-9979-3b04-a694-4b0fb414d4ea"]}],"mendeley":{"formattedCitation":"[40]","plainTextFormattedCitation":"[40]","previouslyFormattedCitation":"[39]"},"properties":{"noteIndex":0},"schema":"https://github.com/citation-style-language/schema/raw/master/csl-citation.json"}</w:instrText>
      </w:r>
      <w:r>
        <w:fldChar w:fldCharType="separate"/>
      </w:r>
      <w:r w:rsidRPr="00656CB5">
        <w:rPr>
          <w:noProof/>
        </w:rPr>
        <w:t>[40]</w:t>
      </w:r>
      <w:r>
        <w:fldChar w:fldCharType="end"/>
      </w:r>
      <w:r>
        <w:t xml:space="preserve"> </w:t>
      </w:r>
    </w:p>
    <w:p w14:paraId="3AFA39E8" w14:textId="77777777" w:rsidR="00B17F1B" w:rsidRDefault="00B17F1B" w:rsidP="00B17F1B"/>
    <w:p w14:paraId="2C8C5B37" w14:textId="77777777" w:rsidR="00B17F1B" w:rsidRDefault="00B17F1B" w:rsidP="00B17F1B">
      <w:r w:rsidRPr="0062628C">
        <w:t xml:space="preserve">A commentary by </w:t>
      </w:r>
      <w:r w:rsidRPr="004E0D24">
        <w:rPr>
          <w:i/>
          <w:iCs/>
        </w:rPr>
        <w:t>Shah et al.</w:t>
      </w:r>
      <w:r w:rsidRPr="0062628C">
        <w:t xml:space="preserve"> </w:t>
      </w:r>
      <w:r>
        <w:t>summarizing</w:t>
      </w:r>
      <w:r w:rsidRPr="0062628C">
        <w:t xml:space="preserve"> front-line experiences suggests that pain medicine fellows were enabled to involve themselves in the continuation of patient care via telehealth.</w:t>
      </w:r>
      <w:r>
        <w:fldChar w:fldCharType="begin" w:fldLock="1"/>
      </w:r>
      <w:r>
        <w:instrText>ADDIN CSL_CITATION {"citationItems":[{"id":"ITEM-1","itemData":{"author":[{"dropping-particle":"","family":"Shah","given":"S","non-dropping-particle":"","parse-names":false,"suffix":""},{"dropping-particle":"","family":"Diwan","given":"S","non-dropping-particle":"","parse-names":false,"suffix":""},{"dropping-particle":"","family":"Kohan","given":"L","non-dropping-particle":"","parse-names":false,"suffix":""},{"dropping-particle":"","family":"Rosenblum","given":"D","non-dropping-particle":"","parse-names":false,"suffix":""},{"dropping-particle":"","family":"Gharibo","given":"C","non-dropping-particle":"","parse-names":false,"suffix":""},{"dropping-particle":"","family":"Soin","given":"A","non-dropping-particle":"","parse-names":false,"suffix":""},{"dropping-particle":"","family":"Sulindro","given":"A","non-dropping-particle":"","parse-names":false,"suffix":""},{"dropping-particle":"","family":"Nguyen","given":"Q","non-dropping-particle":"","parse-names":false,"suffix":""},{"dropping-particle":"","family":"Provenzano","given":"D","non-dropping-particle":"","parse-names":false,"suffix":""}],"container-title":"Pain Physician","id":"ITEM-1","issue":"4 Special Issue","issued":{"date-parts":[["2020"]]},"note":"Cited By :7\n\nExport Date: 2 January 2021","page":"S367-S380","title":"The technological impact of COVID-19 on the future of education and health care delivery","type":"article-journal","volume":"23"},"uris":["http://www.mendeley.com/documents/?uuid=eefd3ce7-96b7-455a-9db0-35c18d31602b"]}],"mendeley":{"formattedCitation":"[34]","plainTextFormattedCitation":"[34]","previouslyFormattedCitation":"[34]"},"properties":{"noteIndex":0},"schema":"https://github.com/citation-style-language/schema/raw/master/csl-citation.json"}</w:instrText>
      </w:r>
      <w:r>
        <w:fldChar w:fldCharType="separate"/>
      </w:r>
      <w:r w:rsidRPr="00794CDD">
        <w:rPr>
          <w:noProof/>
        </w:rPr>
        <w:t>[34]</w:t>
      </w:r>
      <w:r>
        <w:fldChar w:fldCharType="end"/>
      </w:r>
      <w:r w:rsidRPr="0062628C">
        <w:t xml:space="preserve"> </w:t>
      </w:r>
      <w:r>
        <w:t>The Accreditation Council for Graduate Medical Education (ACGME) is one example of an independent led organization that provides updated guidelines to help combat disruption of fellowship educational or training programmes, including the implantation and impact of telehealth.</w:t>
      </w:r>
      <w:r>
        <w:fldChar w:fldCharType="begin" w:fldLock="1"/>
      </w:r>
      <w:r>
        <w:instrText>ADDIN CSL_CITATION {"citationItems":[{"id":"ITEM-1","itemData":{"abstract":"Program requirements Section VI B on Professionalism assurance of their fitness for work, recognition of impairment, including from illness, fatigue, and substance use, in themselves, their peers, and other members of the health care team. (Outcome)VI.B.4.d)commitment to lifelong learning; (Outcome)VI.B.4.e)monitoring of their patient care performance improvement indicators; and, (Outcome)VI.B.4.f)accurate reporting of clinical and educational work hours, patient outcomes, and clinical experience data. (Outcome) (Page 41- 43) VI.B.5.All residents and faculty members must demonstrate responsiveness to patient needs that supersedes self-interest. This includes the recognition that under certain circumstances, the best interests of the patient may be served by transitioning that patient’s care to another qualified and rested provider. (Outcome)VI.B.6.Programs, in partnership with their Sponsoring Institutions, must provide a professional, equitable, respectful, and civil environment that is free from discrimination, sexual and other forms of harassment, mistreatment, abuse, or coercion of students, residents, faculty, and staff.(Core)VI.B.7.Programs, in partnership with their Sponsoring Institutions, should have a process for education of residents and faculty regarding unprofessional behavior and a confidential process for reporting, investigating, and addressing such concerns. (C","author":[{"dropping-particle":"","family":"Accreditation Council for Graduate Medical Education","given":"","non-dropping-particle":"","parse-names":false,"suffix":""}],"container-title":"Accreditation Council of Medical Education","id":"ITEM-1","issued":{"date-parts":[["2020"]]},"title":"ACGME Common Program Requirements (Residency)","type":"report"},"uris":["http://www.mendeley.com/documents/?uuid=f48762d3-f060-4cb2-887e-74c509921e93"]}],"mendeley":{"formattedCitation":"[33]","plainTextFormattedCitation":"[33]","previouslyFormattedCitation":"[33]"},"properties":{"noteIndex":0},"schema":"https://github.com/citation-style-language/schema/raw/master/csl-citation.json"}</w:instrText>
      </w:r>
      <w:r>
        <w:fldChar w:fldCharType="separate"/>
      </w:r>
      <w:r w:rsidRPr="00656CB5">
        <w:rPr>
          <w:noProof/>
        </w:rPr>
        <w:t>[33]</w:t>
      </w:r>
      <w:r>
        <w:fldChar w:fldCharType="end"/>
      </w:r>
      <w:r>
        <w:t xml:space="preserve"> Provisions of the ACGME have designed for direct supervision and feedback, either by simultaneous use of an electronic platform or distant monitoring of the teleconsultation. This allows for supervision and feedback provided by attending to fellow on clinical performance and overall training.</w:t>
      </w:r>
      <w:r>
        <w:fldChar w:fldCharType="begin" w:fldLock="1"/>
      </w:r>
      <w:r>
        <w:instrText>ADDIN CSL_CITATION {"citationItems":[{"id":"ITEM-1","itemData":{"author":[{"dropping-particle":"","family":"Shah","given":"S","non-dropping-particle":"","parse-names":false,"suffix":""},{"dropping-particle":"","family":"Diwan","given":"S","non-dropping-particle":"","parse-names":false,"suffix":""},{"dropping-particle":"","family":"Kohan","given":"L","non-dropping-particle":"","parse-names":false,"suffix":""},{"dropping-particle":"","family":"Rosenblum","given":"D","non-dropping-particle":"","parse-names":false,"suffix":""},{"dropping-particle":"","family":"Gharibo","given":"C","non-dropping-particle":"","parse-names":false,"suffix":""},{"dropping-particle":"","family":"Soin","given":"A","non-dropping-particle":"","parse-names":false,"suffix":""},{"dropping-particle":"","family":"Sulindro","given":"A","non-dropping-particle":"","parse-names":false,"suffix":""},{"dropping-particle":"","family":"Nguyen","given":"Q","non-dropping-particle":"","parse-names":false,"suffix":""},{"dropping-particle":"","family":"Provenzano","given":"D","non-dropping-particle":"","parse-names":false,"suffix":""}],"container-title":"Pain Physician","id":"ITEM-1","issue":"4 Special Issue","issued":{"date-parts":[["2020"]]},"note":"Cited By :7\n\nExport Date: 2 January 2021","page":"S367-S380","title":"The technological impact of COVID-19 on the future of education and health care delivery","type":"article-journal","volume":"23"},"uris":["http://www.mendeley.com/documents/?uuid=eefd3ce7-96b7-455a-9db0-35c18d31602b"]}],"mendeley":{"formattedCitation":"[34]","plainTextFormattedCitation":"[34]","previouslyFormattedCitation":"[34]"},"properties":{"noteIndex":0},"schema":"https://github.com/citation-style-language/schema/raw/master/csl-citation.json"}</w:instrText>
      </w:r>
      <w:r>
        <w:fldChar w:fldCharType="separate"/>
      </w:r>
      <w:r w:rsidRPr="00794CDD">
        <w:rPr>
          <w:noProof/>
        </w:rPr>
        <w:t>[34]</w:t>
      </w:r>
      <w:r>
        <w:fldChar w:fldCharType="end"/>
      </w:r>
    </w:p>
    <w:p w14:paraId="1F940FF8" w14:textId="77777777" w:rsidR="00B17F1B" w:rsidRDefault="00B17F1B" w:rsidP="00B17F1B"/>
    <w:p w14:paraId="0E355F69" w14:textId="77777777" w:rsidR="00B17F1B" w:rsidRPr="00B769AB" w:rsidRDefault="00B17F1B" w:rsidP="00B17F1B">
      <w:pPr>
        <w:rPr>
          <w:b/>
          <w:bCs/>
          <w:color w:val="000000" w:themeColor="text1"/>
        </w:rPr>
      </w:pPr>
      <w:r w:rsidRPr="00B769AB">
        <w:rPr>
          <w:b/>
          <w:bCs/>
          <w:color w:val="000000" w:themeColor="text1"/>
        </w:rPr>
        <w:t>POTENTIAL IMPACT ON TRAINEE EXPERIENCE</w:t>
      </w:r>
    </w:p>
    <w:p w14:paraId="3099E91B" w14:textId="77777777" w:rsidR="00B17F1B" w:rsidRPr="00B86E4D" w:rsidRDefault="00B17F1B" w:rsidP="00B17F1B">
      <w:r>
        <w:t xml:space="preserve">While telehealth is recognised as an advantageous tool for trainee exposure and engagement with patient care, it does not come without limitations. </w:t>
      </w:r>
      <w:r w:rsidRPr="00B86E4D">
        <w:t>One of the most significant limitations of teleconsultation is the absence of face-to-face physical examination.</w:t>
      </w:r>
      <w:r>
        <w:fldChar w:fldCharType="begin" w:fldLock="1"/>
      </w:r>
      <w:r>
        <w:instrText>ADDIN CSL_CITATION {"citationItems":[{"id":"ITEM-1","itemData":{"DOI":"10.1016/j.mcna.2018.01.002","ISSN":"15579859","PMID":"29650074","abstract":"Telemedicine and telehealth are the practices of medicine at a distance. Performing the equivalent of a complete clinical examination by telemedicine would be unusual. However, components of a more traditional clinical examination are part of the telemedicine workup for specific conditions. Telemedicine clinical examinations are facilitated, and enhanced, through the integration of a class of medical devices referred to as telemedicine peripherals (eg, electronic stethoscopes, tele-ophthalmoscopes, video-otoscopes, and so forth). Direct-to-consumer telehealth is a rapidly expanding segment of the health care service industry.","author":[{"dropping-particle":"","family":"Weinstein","given":"Ronald S.","non-dropping-particle":"","parse-names":false,"suffix":""},{"dropping-particle":"","family":"Krupinski","given":"Elizabeth A.","non-dropping-particle":"","parse-names":false,"suffix":""},{"dropping-particle":"","family":"Doarn","given":"Charles R.","non-dropping-particle":"","parse-names":false,"suffix":""}],"container-title":"Medical Clinics of North America","id":"ITEM-1","issued":{"date-parts":[["2018"]]},"title":"Clinical Examination Component of Telemedicine, Telehealth, mHealth, and Connected Health Medical Practices","type":"article"},"uris":["http://www.mendeley.com/documents/?uuid=8e8f1217-9fa3-48d7-b1c9-845c45d6633f"]}],"mendeley":{"formattedCitation":"[14]","plainTextFormattedCitation":"[14]","previouslyFormattedCitation":"[14]"},"properties":{"noteIndex":0},"schema":"https://github.com/citation-style-language/schema/raw/master/csl-citation.json"}</w:instrText>
      </w:r>
      <w:r>
        <w:fldChar w:fldCharType="separate"/>
      </w:r>
      <w:r w:rsidRPr="00794CDD">
        <w:rPr>
          <w:noProof/>
        </w:rPr>
        <w:t>[14]</w:t>
      </w:r>
      <w:r>
        <w:fldChar w:fldCharType="end"/>
      </w:r>
      <w:r w:rsidRPr="00B86E4D">
        <w:t xml:space="preserve"> Subtleties may be missed via remote consultation that may be relevant to a diagnosis, plan and subsequent planning of therapies or procedures. An example of such subtleties might be observed during a neurological examination. It is important to consider the educational impact that these limitations impose on the trainee.</w:t>
      </w:r>
      <w:r>
        <w:t xml:space="preserve"> Does the absence of thorough physical examination hinder a trainees confidence in accurate clinical sign recognition?</w:t>
      </w:r>
      <w:r>
        <w:fldChar w:fldCharType="begin" w:fldLock="1"/>
      </w:r>
      <w:r>
        <w:instrText>ADDIN CSL_CITATION {"citationItems":[{"id":"ITEM-1","itemData":{"DOI":"10.1016/j.amjmed.2015.06.004","ISSN":"15557162","PMID":"26144103","abstract":"Background Oversights in the physical examination are a type of medical error not easily studied by chart review. They may be a major contributor to missed or delayed diagnosis, unnecessary exposure to contrast and radiation, incorrect treatment, and other adverse consequences. Our purpose was to collect vignettes of physical examination oversights and to capture the diversity of their characteristics and consequences. Methods A cross-sectional study using an 11-question qualitative survey for physicians was distributed electronically, with data collected from February to June of 2011. The participants were all physicians responding to e-mail or social media invitations to complete the survey. There were no limitations on geography, specialty, or practice setting. Results Of the 208 reported vignettes that met inclusion criteria, the oversight was caused by a failure to perform the physical examination in 63%; 14% reported that the correct physical examination sign was elicited but misinterpreted, whereas 11% reported that the relevant sign was missed or not sought. Consequence of the physical examination inadequacy included missed or delayed diagnosis in 76% of cases, incorrect diagnosis in 27%, unnecessary treatment in 18%, no or delayed treatment in 42%, unnecessary diagnostic cost in 25%, unnecessary exposure to radiation or contrast in 17%, and complications caused by treatments in 4%. The mode of the number of physicians missing the finding was 2, but many oversights were missed by many physicians. Most oversights took up to 5 days to identify, but 66 took longer. Special attention and skill in examining the skin and its appendages, as well as the abdomen, groin, and genitourinary area could reduce the reported oversights by half. Conclusions Physical examination inadequacies are a preventable source of medical error, and adverse events are caused mostly by failure to perform the relevant examination.","author":[{"dropping-particle":"","family":"Verghese","given":"Abraham","non-dropping-particle":"","parse-names":false,"suffix":""},{"dropping-particle":"","family":"Charlton","given":"Blake","non-dropping-particle":"","parse-names":false,"suffix":""},{"dropping-particle":"","family":"Kassirer","given":"Jerome P.","non-dropping-particle":"","parse-names":false,"suffix":""},{"dropping-particle":"","family":"Ramsey","given":"Meghan","non-dropping-particle":"","parse-names":false,"suffix":""},{"dropping-particle":"","family":"Ioannidis","given":"John P.A.","non-dropping-particle":"","parse-names":false,"suffix":""}],"container-title":"American Journal of Medicine","id":"ITEM-1","issued":{"date-parts":[["2015"]]},"title":"Inadequacies of physical examination as a cause of medical errors and adverse events: A collection of vignettes","type":"article-journal"},"uris":["http://www.mendeley.com/documents/?uuid=ee8efb50-34bb-44d0-bcc3-c9800b321916"]}],"mendeley":{"formattedCitation":"[15]","plainTextFormattedCitation":"[15]","previouslyFormattedCitation":"[15]"},"properties":{"noteIndex":0},"schema":"https://github.com/citation-style-language/schema/raw/master/csl-citation.json"}</w:instrText>
      </w:r>
      <w:r>
        <w:fldChar w:fldCharType="separate"/>
      </w:r>
      <w:r w:rsidRPr="00794CDD">
        <w:rPr>
          <w:noProof/>
        </w:rPr>
        <w:t>[15]</w:t>
      </w:r>
      <w:r>
        <w:fldChar w:fldCharType="end"/>
      </w:r>
      <w:r>
        <w:t xml:space="preserve"> Does this make for further reliance on radiological imaging and biochemical investigation in the process of clinical diagnosis?</w:t>
      </w:r>
      <w:r>
        <w:fldChar w:fldCharType="begin" w:fldLock="1"/>
      </w:r>
      <w:r>
        <w:instrText>ADDIN CSL_CITATION {"citationItems":[{"id":"ITEM-1","itemData":{"DOI":"10.1001/jama.2016.8182","ISSN":"15383598","PMID":"27701664","author":[{"dropping-particle":"","family":"Hirschtick","given":"Robert E.","non-dropping-particle":"","parse-names":false,"suffix":""}],"container-title":"JAMA - Journal of the American Medical Association","id":"ITEM-1","issued":{"date-parts":[["2016"]]},"title":"The quick physical exam","type":"article"},"uris":["http://www.mendeley.com/documents/?uuid=253b1089-1d23-47d1-a9f6-7369cffe4fd2"]}],"mendeley":{"formattedCitation":"[16]","plainTextFormattedCitation":"[16]","previouslyFormattedCitation":"[16]"},"properties":{"noteIndex":0},"schema":"https://github.com/citation-style-language/schema/raw/master/csl-citation.json"}</w:instrText>
      </w:r>
      <w:r>
        <w:fldChar w:fldCharType="separate"/>
      </w:r>
      <w:r w:rsidRPr="00794CDD">
        <w:rPr>
          <w:noProof/>
        </w:rPr>
        <w:t>[16]</w:t>
      </w:r>
      <w:r>
        <w:fldChar w:fldCharType="end"/>
      </w:r>
      <w:r>
        <w:t xml:space="preserve"> At present, these are questions that do not have clear answers.</w:t>
      </w:r>
    </w:p>
    <w:p w14:paraId="1B907FDC" w14:textId="77777777" w:rsidR="00B17F1B" w:rsidRPr="00CC7EA8" w:rsidRDefault="00B17F1B" w:rsidP="00B17F1B"/>
    <w:p w14:paraId="1185E69A" w14:textId="77777777" w:rsidR="00B17F1B" w:rsidRDefault="00B17F1B" w:rsidP="00B17F1B">
      <w:r w:rsidRPr="00CC7EA8">
        <w:t>We must acknowledge in the context of physical examination a quick exam will often yield expectant clinical findings but it is the more thorough examination that will yield the unexpectant.</w:t>
      </w:r>
      <w:r>
        <w:fldChar w:fldCharType="begin" w:fldLock="1"/>
      </w:r>
      <w:r>
        <w:instrText>ADDIN CSL_CITATION {"citationItems":[{"id":"ITEM-1","itemData":{"DOI":"10.1001/jama.2016.8182","ISSN":"15383598","PMID":"27701664","author":[{"dropping-particle":"","family":"Hirschtick","given":"Robert E.","non-dropping-particle":"","parse-names":false,"suffix":""}],"container-title":"JAMA - Journal of the American Medical Association","id":"ITEM-1","issued":{"date-parts":[["2016"]]},"title":"The quick physical exam","type":"article"},"uris":["http://www.mendeley.com/documents/?uuid=253b1089-1d23-47d1-a9f6-7369cffe4fd2"]}],"mendeley":{"formattedCitation":"[16]","plainTextFormattedCitation":"[16]","previouslyFormattedCitation":"[16]"},"properties":{"noteIndex":0},"schema":"https://github.com/citation-style-language/schema/raw/master/csl-citation.json"}</w:instrText>
      </w:r>
      <w:r>
        <w:fldChar w:fldCharType="separate"/>
      </w:r>
      <w:r w:rsidRPr="00794CDD">
        <w:rPr>
          <w:noProof/>
        </w:rPr>
        <w:t>[16]</w:t>
      </w:r>
      <w:r>
        <w:fldChar w:fldCharType="end"/>
      </w:r>
      <w:r>
        <w:t xml:space="preserve"> </w:t>
      </w:r>
      <w:r w:rsidRPr="00CC7EA8">
        <w:t>Hence, the benefits of telehealth should be tempered with processes to overcome negative impact on trainee experience.</w:t>
      </w:r>
    </w:p>
    <w:p w14:paraId="58EC66F4" w14:textId="77777777" w:rsidR="00B17F1B" w:rsidRPr="00CC7EA8" w:rsidRDefault="00B17F1B" w:rsidP="00B17F1B"/>
    <w:p w14:paraId="003683A6" w14:textId="77777777" w:rsidR="00B17F1B" w:rsidRPr="00FF3D63" w:rsidRDefault="00B17F1B" w:rsidP="00B17F1B">
      <w:r w:rsidRPr="00FF3D63">
        <w:t xml:space="preserve">A case study performed </w:t>
      </w:r>
      <w:r>
        <w:t>by Lawrence et al based in</w:t>
      </w:r>
      <w:r w:rsidRPr="00FF3D63">
        <w:t xml:space="preserve"> New York selected 32 Primary Care medical residents to complete a comparative face to face Objective Structured Clinical Examination (OSCE) and a teleconsultation version aimed to evaluate experiences with a simulated case across the principle domains of telehealth.</w:t>
      </w:r>
      <w:r>
        <w:fldChar w:fldCharType="begin" w:fldLock="1"/>
      </w:r>
      <w:r>
        <w:instrText>ADDIN CSL_CITATION {"citationItems":[{"id":"ITEM-1","itemData":{"DOI":"10.1007/s11606-020-05979-9","author":[{"dropping-particle":"","family":"Lawrence","given":"K","non-dropping-particle":"","parse-names":false,"suffix":""},{"dropping-particle":"","family":"Hanley","given":"K","non-dropping-particle":"","parse-names":false,"suffix":""},{"dropping-particle":"","family":"Adams","given":"J","non-dropping-particle":"","parse-names":false,"suffix":""},{"dropping-particle":"","family":"Sartori","given":"D J","non-dropping-particle":"","parse-names":false,"suffix":""},{"dropping-particle":"","family":"Greene","given":"R","non-dropping-particle":"","parse-names":false,"suffix":""},{"dropping-particle":"","family":"Zabar","given":"S","non-dropping-particle":"","parse-names":false,"suffix":""}],"container-title":"Journal of General Internal Medicine","id":"ITEM-1","issue":"9","issued":{"date-parts":[["2020"]]},"note":"Cited By :1\n\nExport Date: 2 January 2021","page":"2675-2679","title":"Building Telemedicine Capacity for Trainees During the Novel Coronavirus Outbreak: a Case Study and Lessons Learned","type":"article-journal","volume":"35"},"uris":["http://www.mendeley.com/documents/?uuid=79397e5e-5b6d-48e6-be5b-3e105cbf6eaf"]}],"mendeley":{"formattedCitation":"[10]","plainTextFormattedCitation":"[10]","previouslyFormattedCitation":"[10]"},"properties":{"noteIndex":0},"schema":"https://github.com/citation-style-language/schema/raw/master/csl-citation.json"}</w:instrText>
      </w:r>
      <w:r>
        <w:fldChar w:fldCharType="separate"/>
      </w:r>
      <w:r w:rsidRPr="00794CDD">
        <w:rPr>
          <w:noProof/>
        </w:rPr>
        <w:t>[10]</w:t>
      </w:r>
      <w:r>
        <w:fldChar w:fldCharType="end"/>
      </w:r>
      <w:r w:rsidRPr="00FF3D63">
        <w:t xml:space="preserve"> The domains identified were; technical proficiency, interpersonal skills (verbal and non-verbal) and virtual history taking, collateral information and physical examination.</w:t>
      </w:r>
      <w:r>
        <w:fldChar w:fldCharType="begin" w:fldLock="1"/>
      </w:r>
      <w:r>
        <w:instrText>ADDIN CSL_CITATION {"citationItems":[{"id":"ITEM-1","itemData":{"DOI":"10.2196/12515","ISSN":"14388871","abstract":"Background: Telemedicine has grown exponentially in the United States over the past few decades, and contemporary trends in the health care environment are serving to fuel this growth into the future. Therefore, medical schools are learning to incorporate telemedicine competencies into the undergraduate medical education of future physicians so that they can more effectively leverage telemedicine technologies for improving the quality of care, increasing patient access, and reducing health care expense. This review articulates the efforts of allopathic-degree-granting medical schools in the United States to characterize and systematize the learnings that have been generated thus far in the domain of telemedicine training in undergraduate medical education. Objective: The aim of this review was to collect and outline the current experiences and learnings that have been generated as medical schools have sought to implement telemedicine capacity-building into undergraduate medical education. Methods: We performed a mixed-methods review, starting with a literature review via SCOPUS, tracking with Excel, and an email outreach effort utilizing telemedicine curriculum data gathered by the Liaison Committee on Medical Education. This outreach included 70 institutions and yielded 7 interviews, 4 peer-reviewed research papers, 6 online documents, and 3 completed survey responses. Results: There is an emerging, rich international body of learning being generated in the field of telemedicine training in undergraduate medical education. The integration of telemedicine-based lessons, ethics case-studies, clinical rotations, and even teleassessments are being found to offer great value for medical schools and their students. Most medical students find such training to be a valuable component of their preclinical and clinical education for a variety of reasons, which include fostering greater familiarity with telemedicine and increased comfort with applying telemedical approaches in their future careers. Conclusions: These competencies are increasingly important in tackling the challenges facing health care in the 21st century, and further implementation of telemedicine curricula into undergraduate medical education is highly merited.","author":[{"dropping-particle":"","family":"Waseh","given":"Shayan","non-dropping-particle":"","parse-names":false,"suffix":""},{"dropping-particle":"","family":"Dicker","given":"Adam P.","non-dropping-particle":"","parse-names":false,"suffix":""}],"container-title":"Journal of Medical Internet Research","id":"ITEM-1","issued":{"date-parts":[["2019"]]},"title":"Telemedicine training in undergraduate medical education: Mixed-methods review","type":"article"},"uris":["http://www.mendeley.com/documents/?uuid=5671432a-9685-4a71-8c6e-fc3c5d3ad1fe"]}],"mendeley":{"formattedCitation":"[31]","plainTextFormattedCitation":"[31]","previouslyFormattedCitation":"[31]"},"properties":{"noteIndex":0},"schema":"https://github.com/citation-style-language/schema/raw/master/csl-citation.json"}</w:instrText>
      </w:r>
      <w:r>
        <w:fldChar w:fldCharType="separate"/>
      </w:r>
      <w:r w:rsidRPr="00656CB5">
        <w:rPr>
          <w:noProof/>
        </w:rPr>
        <w:t>[31]</w:t>
      </w:r>
      <w:r>
        <w:fldChar w:fldCharType="end"/>
      </w:r>
      <w:r w:rsidRPr="00FF3D63">
        <w:t xml:space="preserve"> Residents report concerns about preparedness for teleconsultation and expressed wishes for further education and learning for a great competency going forward. The following observations were made; a unique challenge of translating history taking and the physical exam into the virtual world. Providers may not have had current medication lists or recent vitals or investigations to hand. Although the physician may explain and instruct the basics of a physical exam for a patient to perform, the accuracy of this is not yet known.</w:t>
      </w:r>
    </w:p>
    <w:p w14:paraId="46652516" w14:textId="77777777" w:rsidR="00B17F1B" w:rsidRPr="00FF3D63" w:rsidRDefault="00B17F1B" w:rsidP="00B17F1B"/>
    <w:p w14:paraId="314C9629" w14:textId="77777777" w:rsidR="00B17F1B" w:rsidRDefault="00B17F1B" w:rsidP="00B17F1B">
      <w:r w:rsidRPr="00FF3D63">
        <w:t xml:space="preserve">Interestingly, in the cohort used, all learners completed a basic patient history and mental health screen. However,  not one candidate offered to discuss how a physical exam may be performed </w:t>
      </w:r>
      <w:r w:rsidRPr="00FF3D63">
        <w:lastRenderedPageBreak/>
        <w:t>in a virtual context. A printed recent discharge summary was given to the simulated patient – each candidate opted to further read during face to face consult, no learner asked for further details from the summary during the virtual consult.</w:t>
      </w:r>
      <w:r>
        <w:fldChar w:fldCharType="begin" w:fldLock="1"/>
      </w:r>
      <w:r>
        <w:instrText>ADDIN CSL_CITATION {"citationItems":[{"id":"ITEM-1","itemData":{"DOI":"10.1007/s11606-020-05979-9","author":[{"dropping-particle":"","family":"Lawrence","given":"K","non-dropping-particle":"","parse-names":false,"suffix":""},{"dropping-particle":"","family":"Hanley","given":"K","non-dropping-particle":"","parse-names":false,"suffix":""},{"dropping-particle":"","family":"Adams","given":"J","non-dropping-particle":"","parse-names":false,"suffix":""},{"dropping-particle":"","family":"Sartori","given":"D J","non-dropping-particle":"","parse-names":false,"suffix":""},{"dropping-particle":"","family":"Greene","given":"R","non-dropping-particle":"","parse-names":false,"suffix":""},{"dropping-particle":"","family":"Zabar","given":"S","non-dropping-particle":"","parse-names":false,"suffix":""}],"container-title":"Journal of General Internal Medicine","id":"ITEM-1","issue":"9","issued":{"date-parts":[["2020"]]},"note":"Cited By :1\n\nExport Date: 2 January 2021","page":"2675-2679","title":"Building Telemedicine Capacity for Trainees During the Novel Coronavirus Outbreak: a Case Study and Lessons Learned","type":"article-journal","volume":"35"},"uris":["http://www.mendeley.com/documents/?uuid=79397e5e-5b6d-48e6-be5b-3e105cbf6eaf"]}],"mendeley":{"formattedCitation":"[10]","plainTextFormattedCitation":"[10]","previouslyFormattedCitation":"[10]"},"properties":{"noteIndex":0},"schema":"https://github.com/citation-style-language/schema/raw/master/csl-citation.json"}</w:instrText>
      </w:r>
      <w:r>
        <w:fldChar w:fldCharType="separate"/>
      </w:r>
      <w:r w:rsidRPr="00794CDD">
        <w:rPr>
          <w:noProof/>
        </w:rPr>
        <w:t>[10]</w:t>
      </w:r>
      <w:r>
        <w:fldChar w:fldCharType="end"/>
      </w:r>
      <w:r w:rsidRPr="00FF3D63">
        <w:t xml:space="preserve"> This may highlight that certain visual cues are lost in the world of telemedicine.</w:t>
      </w:r>
    </w:p>
    <w:p w14:paraId="62296A99" w14:textId="77777777" w:rsidR="00B17F1B" w:rsidRDefault="00B17F1B" w:rsidP="00B17F1B"/>
    <w:p w14:paraId="69EB6943" w14:textId="77777777" w:rsidR="00B17F1B" w:rsidRDefault="00B17F1B" w:rsidP="00B17F1B">
      <w:r>
        <w:t>Communication is another challenging aspect within the telehealth environment. It has previously been noted that the virtual environment poses challenges for the classical patient-doctor communicative approach.</w:t>
      </w:r>
      <w:r>
        <w:fldChar w:fldCharType="begin" w:fldLock="1"/>
      </w:r>
      <w:r>
        <w:instrText>ADDIN CSL_CITATION {"citationItems":[{"id":"ITEM-1","itemData":{"DOI":"10.1258/1357633011936075","ISSN":"1357633X","PMID":"11265933","abstract":"The literature about the effect of telemedicine on doctor-patient communication was reviewed. A total of 38 studies were identified: six were surveys of provider and community attitudes; 21 were post-encounter surveys of participants in a medical consultation; and 11 were qualitative analyses of behaviour in a medical encounter. Twenty-one of the 38 investigations originated in the USA, six in the UK, four in Australia, three in Norway, two in Canada, one in Finland and one in Sweden. All were relatively recent. The findings from each study were coded according to 23 categories developed from the literature and a positive or negative rating was assigned to each of the 213 communication results. Approximately 80% of abstracted findings favoured telemedicine, with all but two of the 23 categories analysed (non-verbal behaviour and lack of touch) reporting more positive than negative results. Verbal content analysis is important for the development of interventions aimed at facilitating doctor-patient telecommunication. However, further research is necessary if the nature and content of the communication process are to be fully understood. © 2001, Royal Society of Medicine Press Limited. All rights reserved.","author":[{"dropping-particle":"","family":"Miller","given":"Edward Alan","non-dropping-particle":"","parse-names":false,"suffix":""}],"container-title":"Journal of Telemedicine and Telecare","id":"ITEM-1","issued":{"date-parts":[["2001"]]},"title":"Telemedicine and doctor-patient communication: An analytical survey of the literature","type":"article"},"uris":["http://www.mendeley.com/documents/?uuid=b8da7a84-bd42-412f-b290-cd2d3124468e"]}],"mendeley":{"formattedCitation":"[17]","plainTextFormattedCitation":"[17]","previouslyFormattedCitation":"[17]"},"properties":{"noteIndex":0},"schema":"https://github.com/citation-style-language/schema/raw/master/csl-citation.json"}</w:instrText>
      </w:r>
      <w:r>
        <w:fldChar w:fldCharType="separate"/>
      </w:r>
      <w:r w:rsidRPr="00794CDD">
        <w:rPr>
          <w:noProof/>
        </w:rPr>
        <w:t>[17]</w:t>
      </w:r>
      <w:r>
        <w:fldChar w:fldCharType="end"/>
      </w:r>
      <w:r>
        <w:t xml:space="preserve"> In addition, the use of  non-verbal cues such as silences, open posturing and empathetic touch are markedly limited.</w:t>
      </w:r>
    </w:p>
    <w:p w14:paraId="07322EF2" w14:textId="77777777" w:rsidR="00B17F1B" w:rsidRDefault="00B17F1B" w:rsidP="00B17F1B"/>
    <w:p w14:paraId="2B3FBA34" w14:textId="77777777" w:rsidR="00B17F1B" w:rsidRDefault="00B17F1B" w:rsidP="00B17F1B">
      <w:r>
        <w:t>Lawrence et al case study highlighted some interesting differences in both verbal and non-verbal communicative strategies. Natural disruption of conversation flow and “</w:t>
      </w:r>
      <w:r w:rsidRPr="00A45E68">
        <w:rPr>
          <w:i/>
          <w:iCs/>
        </w:rPr>
        <w:t>talking over one another</w:t>
      </w:r>
      <w:r>
        <w:t>” was present in both face to face and remote consultation, however, the response to interruption was noted to be less fluent and fluid during remote consultation with terms such as “</w:t>
      </w:r>
      <w:r w:rsidRPr="00A45E68">
        <w:rPr>
          <w:i/>
          <w:iCs/>
        </w:rPr>
        <w:t>I’ll shut up now</w:t>
      </w:r>
      <w:r>
        <w:t>” being used. The patient perception was that the physician spent more time talking “at” them during remote consultation than face to face. Trainees struggled with knowing how to maintain eye-contact through the remote consultation, admitting to distraction seeing themselves in the corner of the screen and not knowing whether to look direct at the camera or the patients face on the screen.</w:t>
      </w:r>
      <w:r>
        <w:fldChar w:fldCharType="begin" w:fldLock="1"/>
      </w:r>
      <w:r>
        <w:instrText>ADDIN CSL_CITATION {"citationItems":[{"id":"ITEM-1","itemData":{"DOI":"10.1007/s11606-020-05979-9","author":[{"dropping-particle":"","family":"Lawrence","given":"K","non-dropping-particle":"","parse-names":false,"suffix":""},{"dropping-particle":"","family":"Hanley","given":"K","non-dropping-particle":"","parse-names":false,"suffix":""},{"dropping-particle":"","family":"Adams","given":"J","non-dropping-particle":"","parse-names":false,"suffix":""},{"dropping-particle":"","family":"Sartori","given":"D J","non-dropping-particle":"","parse-names":false,"suffix":""},{"dropping-particle":"","family":"Greene","given":"R","non-dropping-particle":"","parse-names":false,"suffix":""},{"dropping-particle":"","family":"Zabar","given":"S","non-dropping-particle":"","parse-names":false,"suffix":""}],"container-title":"Journal of General Internal Medicine","id":"ITEM-1","issue":"9","issued":{"date-parts":[["2020"]]},"note":"Cited By :1\n\nExport Date: 2 January 2021","page":"2675-2679","title":"Building Telemedicine Capacity for Trainees During the Novel Coronavirus Outbreak: a Case Study and Lessons Learned","type":"article-journal","volume":"35"},"uris":["http://www.mendeley.com/documents/?uuid=79397e5e-5b6d-48e6-be5b-3e105cbf6eaf"]}],"mendeley":{"formattedCitation":"[10]","plainTextFormattedCitation":"[10]","previouslyFormattedCitation":"[10]"},"properties":{"noteIndex":0},"schema":"https://github.com/citation-style-language/schema/raw/master/csl-citation.json"}</w:instrText>
      </w:r>
      <w:r>
        <w:fldChar w:fldCharType="separate"/>
      </w:r>
      <w:r w:rsidRPr="00794CDD">
        <w:rPr>
          <w:noProof/>
        </w:rPr>
        <w:t>[10]</w:t>
      </w:r>
      <w:r>
        <w:fldChar w:fldCharType="end"/>
      </w:r>
    </w:p>
    <w:p w14:paraId="46D730E3" w14:textId="77777777" w:rsidR="00B17F1B" w:rsidRDefault="00B17F1B" w:rsidP="00B17F1B">
      <w:pPr>
        <w:rPr>
          <w:b/>
          <w:bCs/>
        </w:rPr>
      </w:pPr>
    </w:p>
    <w:p w14:paraId="487B3FB1" w14:textId="77777777" w:rsidR="00B17F1B" w:rsidRPr="00103E93" w:rsidRDefault="00B17F1B" w:rsidP="00B17F1B">
      <w:r w:rsidRPr="00103E93">
        <w:t xml:space="preserve">This is mirrored in a conceptual piece by </w:t>
      </w:r>
      <w:r w:rsidRPr="00CB03E4">
        <w:rPr>
          <w:i/>
          <w:iCs/>
        </w:rPr>
        <w:t>Glick et al</w:t>
      </w:r>
      <w:r>
        <w:rPr>
          <w:i/>
          <w:iCs/>
        </w:rPr>
        <w:t>.</w:t>
      </w:r>
      <w:r w:rsidRPr="00CB03E4">
        <w:rPr>
          <w:i/>
          <w:iCs/>
        </w:rPr>
        <w:t xml:space="preserve"> </w:t>
      </w:r>
      <w:r w:rsidRPr="00103E93">
        <w:t>in which it was felt that the distance created via remote consultation between patient and trainee undermines the patient-doctor relationship. This disconnect may further impede a trainee longitudinal learning of medical illness.</w:t>
      </w:r>
      <w:r>
        <w:fldChar w:fldCharType="begin" w:fldLock="1"/>
      </w:r>
      <w:r>
        <w:instrText>ADDIN CSL_CITATION {"citationItems":[{"id":"ITEM-1","itemData":{"DOI":"10.1046/j.1365-2923.2001.00935.x","ISSN":"03080110","PMID":"11328522","abstract":"Background: Major forces in society and within health systems are fragmenting patient care and clinical learning. The distancing of physician and trainee from the patient undermines learning about the patient-doctor relationship. The disconnection of care and learning from one successive venue to another impedes the ability of trainees to learn about illness longitudinally. Methods: As a conceptual piece, our methods have been those of witnessing the experiences of patients, practitioners, and students over time and observing the impact of fragmented systems and changing expectations on care and learning. We have reflected on the opportunities created by digital information systems and interactive telemedicine to help renew essential relationships. Results: Although there is, as yet, little in the literature on educational or health outcomes of this kind of technological enablement, we anticipate opportunities for a renewed focus on the patient in that patient's own space and time. Multimedia applications can achieve not only real-time connections, but can help construct a \"virtual patient\" as a platform for supervision and assessment, permitting preceptors to evaluate trainee-patient interactions, utilization of Web-based data and human resources, and on-line professionalism. Conclusions: Just as diverse elements in society are capitalizing upon digital technology to create advantageous relationships, all of the elements in the complex systems of health care and medical training can be better connected, so as to put the patient back in the centre of care and the trainee's ongoing relationship to the patient back in the centre of education.","author":[{"dropping-particle":"","family":"Glick","given":"Thomas H.","non-dropping-particle":"","parse-names":false,"suffix":""},{"dropping-particle":"","family":"Moore","given":"Gordon T.","non-dropping-particle":"","parse-names":false,"suffix":""}],"container-title":"Medical Education","id":"ITEM-1","issued":{"date-parts":[["2001"]]},"title":"Time to learn: The outlook for renewal of patient-centred education in the digital age","type":"article-journal"},"uris":["http://www.mendeley.com/documents/?uuid=0ad67311-7c97-4283-8229-025c8156c5dd"]}],"mendeley":{"formattedCitation":"[37]","plainTextFormattedCitation":"[37]","previouslyFormattedCitation":"[36]"},"properties":{"noteIndex":0},"schema":"https://github.com/citation-style-language/schema/raw/master/csl-citation.json"}</w:instrText>
      </w:r>
      <w:r>
        <w:fldChar w:fldCharType="separate"/>
      </w:r>
      <w:r w:rsidRPr="00656CB5">
        <w:rPr>
          <w:noProof/>
        </w:rPr>
        <w:t>[37]</w:t>
      </w:r>
      <w:r>
        <w:fldChar w:fldCharType="end"/>
      </w:r>
      <w:r w:rsidRPr="00103E93">
        <w:t xml:space="preserve"> </w:t>
      </w:r>
    </w:p>
    <w:p w14:paraId="3B47513A" w14:textId="77777777" w:rsidR="00B17F1B" w:rsidRDefault="00B17F1B" w:rsidP="00B17F1B">
      <w:pPr>
        <w:rPr>
          <w:b/>
          <w:bCs/>
        </w:rPr>
      </w:pPr>
    </w:p>
    <w:p w14:paraId="3A03F570" w14:textId="77777777" w:rsidR="00B17F1B" w:rsidRDefault="00B17F1B" w:rsidP="00B17F1B">
      <w:pPr>
        <w:rPr>
          <w:b/>
          <w:bCs/>
        </w:rPr>
      </w:pPr>
      <w:r w:rsidRPr="009A37C7">
        <w:rPr>
          <w:b/>
          <w:bCs/>
        </w:rPr>
        <w:t>Conclusion</w:t>
      </w:r>
    </w:p>
    <w:p w14:paraId="44EB9B96" w14:textId="77777777" w:rsidR="00B17F1B" w:rsidRDefault="00B17F1B" w:rsidP="00B17F1B">
      <w:r>
        <w:t>By review of the literature it is clear there are many recognised advantages of telehealth and the worldwide accelerated adoption of its use. It positive impact on vulnerable patient groups, rural geographics, specialty department waiting times, hospital and health service costs are well investigated. Trainee experiences recorded to date have highlighted a lack of confidence toward its practice and a further need for educational programmes.</w:t>
      </w:r>
    </w:p>
    <w:p w14:paraId="1DBC916D" w14:textId="77777777" w:rsidR="00B17F1B" w:rsidRDefault="00B17F1B" w:rsidP="00B17F1B"/>
    <w:p w14:paraId="6623C475" w14:textId="77777777" w:rsidR="00B17F1B" w:rsidRPr="000B5CF4" w:rsidRDefault="00B17F1B" w:rsidP="00B17F1B">
      <w:r>
        <w:t xml:space="preserve">What is not yet clear is the impact of the implementation of telehealth on trainee experience; development of clinical skills, communication skills, knowledge of disease and management, peer and senior reviews and advice. Although there have been studies looking into the attitudes towards telehealth there is a paucity of data on its specific impact on training schemes. The renowned marketing textbook </w:t>
      </w:r>
      <w:r w:rsidRPr="004A64C3">
        <w:rPr>
          <w:i/>
          <w:iCs/>
        </w:rPr>
        <w:t>Crossing the Chasm</w:t>
      </w:r>
      <w:r>
        <w:t xml:space="preserve"> by Geoffrey Moore published in 1991 describes the adoption of disruptive innovations.</w:t>
      </w:r>
      <w:r>
        <w:fldChar w:fldCharType="begin" w:fldLock="1"/>
      </w:r>
      <w:r>
        <w:instrText>ADDIN CSL_CITATION {"citationItems":[{"id":"ITEM-1","itemData":{"DOI":"10.1017/CBO9781107415324.004","ISBN":"0066620023","ISSN":"00246301","PMID":"193","abstract":"Here is the bestselling guide that created a new game plan for marketing in high-tech industries. Crossing the Chasm has become the bible for bringing cutting-edge products to progressively larger markets. This edition provides new insights into the realities of high-tech marketing, with special emphasis on the Internet. It's essential reading for anyone with a stake in the world's most exciting marketplace.","author":[{"dropping-particle":"","family":"Moore","given":"Geoffrey A","non-dropping-particle":"","parse-names":false,"suffix":""}],"container-title":"New York HarperBusiness","id":"ITEM-1","issued":{"date-parts":[["1999"]]},"title":"Crossing the Chasm: Marketing and Selling High-Tech Products to Mainstream Customers","type":"book"},"uris":["http://www.mendeley.com/documents/?uuid=ebb73ef7-828c-4b6f-9fe0-694c5bbc9256"]}],"mendeley":{"formattedCitation":"[18]","plainTextFormattedCitation":"[18]","previouslyFormattedCitation":"[18]"},"properties":{"noteIndex":0},"schema":"https://github.com/citation-style-language/schema/raw/master/csl-citation.json"}</w:instrText>
      </w:r>
      <w:r>
        <w:fldChar w:fldCharType="separate"/>
      </w:r>
      <w:r w:rsidRPr="00794CDD">
        <w:rPr>
          <w:noProof/>
        </w:rPr>
        <w:t>[18]</w:t>
      </w:r>
      <w:r>
        <w:fldChar w:fldCharType="end"/>
      </w:r>
      <w:r>
        <w:t xml:space="preserve"> This last decade has seen telehealth cross that chasm.</w:t>
      </w:r>
      <w:r>
        <w:fldChar w:fldCharType="begin" w:fldLock="1"/>
      </w:r>
      <w:r>
        <w:instrText>ADDIN CSL_CITATION {"citationItems":[{"id":"ITEM-1","itemData":{"DOI":"10.1016/S0140-6736(20)30424-4","ISSN":"1474547X","PMID":"32171399","author":[{"dropping-particle":"","family":"Dorsey","given":"E. Ray","non-dropping-particle":"","parse-names":false,"suffix":""},{"dropping-particle":"","family":"Topol","given":"Eric J.","non-dropping-particle":"","parse-names":false,"suffix":""}],"container-title":"The Lancet","id":"ITEM-1","issued":{"date-parts":[["2020"]]},"title":"Telemedicine 2020 and the next decade","type":"article-journal"},"uris":["http://www.mendeley.com/documents/?uuid=36ef7297-033e-404d-83a3-8d7f8eb837eb"]}],"mendeley":{"formattedCitation":"[19]","plainTextFormattedCitation":"[19]","previouslyFormattedCitation":"[19]"},"properties":{"noteIndex":0},"schema":"https://github.com/citation-style-language/schema/raw/master/csl-citation.json"}</w:instrText>
      </w:r>
      <w:r>
        <w:fldChar w:fldCharType="separate"/>
      </w:r>
      <w:r w:rsidRPr="00794CDD">
        <w:rPr>
          <w:noProof/>
        </w:rPr>
        <w:t>[19]</w:t>
      </w:r>
      <w:r>
        <w:fldChar w:fldCharType="end"/>
      </w:r>
      <w:r>
        <w:t xml:space="preserve"> Given the further 2020 boom of telehealth hat better time to access the impact on the future figures of healthcare?</w:t>
      </w:r>
    </w:p>
    <w:p w14:paraId="0534AFBF" w14:textId="77777777" w:rsidR="00B17F1B" w:rsidRDefault="00B17F1B" w:rsidP="00B17F1B">
      <w:pPr>
        <w:rPr>
          <w:b/>
          <w:bCs/>
        </w:rPr>
      </w:pPr>
    </w:p>
    <w:p w14:paraId="5146F3CC" w14:textId="77777777" w:rsidR="00B17F1B" w:rsidRDefault="00B17F1B" w:rsidP="00B17F1B">
      <w:pPr>
        <w:spacing w:line="259" w:lineRule="auto"/>
        <w:rPr>
          <w:b/>
        </w:rPr>
      </w:pPr>
    </w:p>
    <w:p w14:paraId="2A03C8E7" w14:textId="77777777" w:rsidR="00B17F1B" w:rsidRDefault="00B17F1B" w:rsidP="00B17F1B">
      <w:pPr>
        <w:spacing w:line="259" w:lineRule="auto"/>
        <w:rPr>
          <w:b/>
        </w:rPr>
      </w:pPr>
    </w:p>
    <w:p w14:paraId="6E3F200E" w14:textId="77777777" w:rsidR="00B17F1B" w:rsidRDefault="00B17F1B" w:rsidP="00B17F1B">
      <w:pPr>
        <w:spacing w:line="259" w:lineRule="auto"/>
        <w:rPr>
          <w:b/>
        </w:rPr>
      </w:pPr>
    </w:p>
    <w:p w14:paraId="06BDA6A3" w14:textId="77777777" w:rsidR="00B17F1B" w:rsidRDefault="00B17F1B" w:rsidP="00B17F1B">
      <w:pPr>
        <w:spacing w:line="259" w:lineRule="auto"/>
        <w:rPr>
          <w:b/>
        </w:rPr>
      </w:pPr>
    </w:p>
    <w:p w14:paraId="34AE5DE8" w14:textId="77777777" w:rsidR="00B17F1B" w:rsidRDefault="00B17F1B" w:rsidP="00B17F1B">
      <w:pPr>
        <w:spacing w:line="259" w:lineRule="auto"/>
        <w:rPr>
          <w:b/>
        </w:rPr>
      </w:pPr>
    </w:p>
    <w:p w14:paraId="20556AF2" w14:textId="77777777" w:rsidR="00B17F1B" w:rsidRDefault="00B17F1B" w:rsidP="00B17F1B">
      <w:pPr>
        <w:spacing w:line="259" w:lineRule="auto"/>
        <w:rPr>
          <w:b/>
        </w:rPr>
      </w:pPr>
    </w:p>
    <w:p w14:paraId="07F47B57" w14:textId="77777777" w:rsidR="00B17F1B" w:rsidRDefault="00B17F1B" w:rsidP="00B17F1B">
      <w:pPr>
        <w:rPr>
          <w:b/>
          <w:bCs/>
        </w:rPr>
      </w:pPr>
    </w:p>
    <w:p w14:paraId="492C7FA3" w14:textId="77777777" w:rsidR="00B17F1B" w:rsidRDefault="00B17F1B" w:rsidP="00B17F1B">
      <w:pPr>
        <w:rPr>
          <w:b/>
          <w:bCs/>
        </w:rPr>
      </w:pPr>
    </w:p>
    <w:p w14:paraId="4B29718C" w14:textId="77777777" w:rsidR="00B17F1B" w:rsidRDefault="00B17F1B" w:rsidP="00B17F1B">
      <w:pPr>
        <w:rPr>
          <w:b/>
          <w:bCs/>
        </w:rPr>
      </w:pPr>
    </w:p>
    <w:p w14:paraId="0FF5DFD4" w14:textId="77777777" w:rsidR="00B17F1B" w:rsidRDefault="00B17F1B" w:rsidP="00B17F1B">
      <w:pPr>
        <w:rPr>
          <w:b/>
          <w:bCs/>
        </w:rPr>
      </w:pPr>
    </w:p>
    <w:p w14:paraId="669884EE" w14:textId="77777777" w:rsidR="00B17F1B" w:rsidRDefault="00B17F1B" w:rsidP="00B17F1B">
      <w:pPr>
        <w:rPr>
          <w:b/>
          <w:bCs/>
        </w:rPr>
      </w:pPr>
    </w:p>
    <w:p w14:paraId="04309227" w14:textId="77777777" w:rsidR="00B17F1B" w:rsidRDefault="00B17F1B" w:rsidP="00B17F1B">
      <w:pPr>
        <w:rPr>
          <w:b/>
          <w:bCs/>
        </w:rPr>
      </w:pPr>
    </w:p>
    <w:p w14:paraId="5663A707" w14:textId="77777777" w:rsidR="00B17F1B" w:rsidRDefault="00B17F1B" w:rsidP="00B17F1B">
      <w:pPr>
        <w:rPr>
          <w:b/>
          <w:bCs/>
        </w:rPr>
      </w:pPr>
    </w:p>
    <w:p w14:paraId="480B8E9C" w14:textId="77777777" w:rsidR="00B17F1B" w:rsidRDefault="00B17F1B" w:rsidP="00B17F1B">
      <w:pPr>
        <w:rPr>
          <w:b/>
          <w:bCs/>
        </w:rPr>
      </w:pPr>
    </w:p>
    <w:p w14:paraId="7E6AD30E" w14:textId="77777777" w:rsidR="00B17F1B" w:rsidRDefault="00B17F1B" w:rsidP="00B17F1B">
      <w:pPr>
        <w:rPr>
          <w:b/>
          <w:bCs/>
        </w:rPr>
      </w:pPr>
    </w:p>
    <w:p w14:paraId="632FBEDD" w14:textId="77777777" w:rsidR="00B17F1B" w:rsidRDefault="00B17F1B" w:rsidP="00B17F1B">
      <w:pPr>
        <w:rPr>
          <w:b/>
          <w:bCs/>
        </w:rPr>
      </w:pPr>
    </w:p>
    <w:p w14:paraId="39BA0B03" w14:textId="77777777" w:rsidR="00B17F1B" w:rsidRDefault="00B17F1B" w:rsidP="00B17F1B">
      <w:pPr>
        <w:rPr>
          <w:b/>
          <w:bCs/>
        </w:rPr>
      </w:pPr>
    </w:p>
    <w:p w14:paraId="31454D0E" w14:textId="77777777" w:rsidR="00B17F1B" w:rsidRDefault="00B17F1B" w:rsidP="00B17F1B">
      <w:pPr>
        <w:rPr>
          <w:b/>
          <w:bCs/>
        </w:rPr>
      </w:pPr>
    </w:p>
    <w:p w14:paraId="4AA9D931" w14:textId="77777777" w:rsidR="00B17F1B" w:rsidRPr="00B73266" w:rsidRDefault="00B17F1B" w:rsidP="00B17F1B">
      <w:pPr>
        <w:pBdr>
          <w:bottom w:val="single" w:sz="2" w:space="1" w:color="461344"/>
        </w:pBdr>
        <w:rPr>
          <w:b/>
          <w:bCs/>
        </w:rPr>
      </w:pPr>
      <w:r w:rsidRPr="00B73266">
        <w:rPr>
          <w:b/>
          <w:bCs/>
        </w:rPr>
        <w:t>Appendix 2 – Methodology</w:t>
      </w:r>
    </w:p>
    <w:p w14:paraId="70FE1519" w14:textId="77777777" w:rsidR="00B17F1B" w:rsidRDefault="00B17F1B" w:rsidP="00B17F1B">
      <w:pPr>
        <w:rPr>
          <w:b/>
          <w:bCs/>
        </w:rPr>
      </w:pPr>
    </w:p>
    <w:p w14:paraId="5E7C5A4A" w14:textId="77777777" w:rsidR="00B17F1B" w:rsidRDefault="00B17F1B" w:rsidP="00B17F1B">
      <w:pPr>
        <w:rPr>
          <w:b/>
          <w:bCs/>
        </w:rPr>
      </w:pPr>
      <w:r>
        <w:rPr>
          <w:b/>
          <w:bCs/>
        </w:rPr>
        <w:t>Introduction</w:t>
      </w:r>
    </w:p>
    <w:p w14:paraId="63A0AC9C" w14:textId="77777777" w:rsidR="00B17F1B" w:rsidRDefault="00B17F1B" w:rsidP="00B17F1B">
      <w:r w:rsidRPr="0015018B">
        <w:t>Qualitative research is the systematic inquiry into social phenomena in natural settings, involving how individuals experiences aspects of their lives, how people or groups of people behave and how interactions shape relationships.</w:t>
      </w:r>
      <w:r>
        <w:fldChar w:fldCharType="begin" w:fldLock="1"/>
      </w:r>
      <w:r>
        <w:instrText>ADDIN CSL_CITATION {"citationItems":[{"id":"ITEM-1","itemData":{"DOI":"10.4300/JGME-D-15-00414.1","ISSN":"19498357","PMID":"26692985","author":[{"dropping-particle":"","family":"Teherani","given":"Arianne","non-dropping-particle":"","parse-names":false,"suffix":""},{"dropping-particle":"","family":"Martimianakis","given":"Tina","non-dropping-particle":"","parse-names":false,"suffix":""},{"dropping-particle":"","family":"Stenfors-Hayes","given":"Terese","non-dropping-particle":"","parse-names":false,"suffix":""},{"dropping-particle":"","family":"Wadhwa","given":"Anupma","non-dropping-particle":"","parse-names":false,"suffix":""},{"dropping-particle":"","family":"Varpio","given":"Lara","non-dropping-particle":"","parse-names":false,"suffix":""}],"container-title":"Journal of graduate medical education","id":"ITEM-1","issued":{"date-parts":[["2015"]]},"title":"Choosing a Qualitative Research Approach","type":"article-journal"},"uris":["http://www.mendeley.com/documents/?uuid=7faa90cf-557d-4e97-b432-7d66e23d17ea"]}],"mendeley":{"formattedCitation":"[41]","plainTextFormattedCitation":"[41]","previouslyFormattedCitation":"[40]"},"properties":{"noteIndex":0},"schema":"https://github.com/citation-style-language/schema/raw/master/csl-citation.json"}</w:instrText>
      </w:r>
      <w:r>
        <w:fldChar w:fldCharType="separate"/>
      </w:r>
      <w:r w:rsidRPr="00656CB5">
        <w:rPr>
          <w:noProof/>
        </w:rPr>
        <w:t>[41]</w:t>
      </w:r>
      <w:r>
        <w:fldChar w:fldCharType="end"/>
      </w:r>
      <w:r w:rsidRPr="0015018B">
        <w:t xml:space="preserve"> </w:t>
      </w:r>
      <w:r>
        <w:t>In the qualitative research setting the researcher is the main point of data collection – looking at the what, the why and the what this means to the participants studied.</w:t>
      </w:r>
      <w:r>
        <w:fldChar w:fldCharType="begin" w:fldLock="1"/>
      </w:r>
      <w:r>
        <w:instrText>ADDIN CSL_CITATION {"citationItems":[{"id":"ITEM-1","itemData":{"DOI":"10.4135/9781452230153","abstract":"The Third Edition of the bestselling Basics of Qualitative Research:Techniques and Procedures for Developing Grounded Theory continues to offer immensely practical advice and technical expertise to aid researchers in making sense of their collected data. Authors Juliet Corbin and the late Anselm Strauss (co-creator of Grounded Theory) present methods that enable researchers to analyze and interpret their data, and ultimately build theory from it. Highly accessible in their approach, Corbin and Strauss provide a step-by-step guide to the research act--from the formation of the research question through several approaches to coding and analysis, to reporting on the research. Full of definitions and illustrative examples, this book concludes with chapters that present criteria for evaluating a study, as well as responses to common questions posed by students of qualitative research. Significantly revised, Basics of Qualitative Research remains a landmark volume in the study of qualitative methods. Key Features of the Third Edition: Allows for students to develop their critical thinking skills in the \"Critical Issues\" section at the end of each chapter. Shows the actual steps involved in data analysis (from description to grounded theory) and data gathering by means of theoretical sampling. Provides exercises for thinking, writing and group discussion that reinforces material presented in the text.","author":[{"dropping-particle":"","family":"Corbin","given":"Juliet","non-dropping-particle":"","parse-names":false,"suffix":""},{"dropping-particle":"","family":"Strauss","given":"Anselm","non-dropping-particle":"","parse-names":false,"suffix":""}],"container-title":"Basics of Qualitative Research (3rd ed.): Techniques and Procedures for Developing Grounded Theory","id":"ITEM-1","issued":{"date-parts":[["2012"]]},"title":"Basics of Qualitative Research (3rd ed.): Techniques and Procedures for Developing Grounded Theory","type":"book"},"uris":["http://www.mendeley.com/documents/?uuid=455d7739-4163-4713-a173-97ce109a51c7"]}],"mendeley":{"formattedCitation":"[42]","plainTextFormattedCitation":"[42]","previouslyFormattedCitation":"[41]"},"properties":{"noteIndex":0},"schema":"https://github.com/citation-style-language/schema/raw/master/csl-citation.json"}</w:instrText>
      </w:r>
      <w:r>
        <w:fldChar w:fldCharType="separate"/>
      </w:r>
      <w:r w:rsidRPr="00656CB5">
        <w:rPr>
          <w:noProof/>
        </w:rPr>
        <w:t>[42]</w:t>
      </w:r>
      <w:r>
        <w:fldChar w:fldCharType="end"/>
      </w:r>
      <w:r>
        <w:t xml:space="preserve"> Translating this into this research piece, telehealth measures have been more widely adopted internationally to help curb the spread of COVID19 (</w:t>
      </w:r>
      <w:r w:rsidRPr="001D20C1">
        <w:rPr>
          <w:i/>
          <w:iCs/>
        </w:rPr>
        <w:t>the what</w:t>
      </w:r>
      <w:r>
        <w:t>). By review of the literature it is clear there are many recognised advantages of telehealth and the worldwide accelerated adoption of its use (</w:t>
      </w:r>
      <w:r w:rsidRPr="001D20C1">
        <w:rPr>
          <w:i/>
          <w:iCs/>
        </w:rPr>
        <w:t>the why</w:t>
      </w:r>
      <w:r>
        <w:t>). Its positive impact on vulnerable patient groups, rural geographics, specialty department waiting times and health service costs are well investigated. What is not yet clear is the impact of the implementation of telehealth on the quality of NCHD trainee experience; workload, development of clinical and communication skills, knowledge of disease and management, peer and senior reviews and advice (</w:t>
      </w:r>
      <w:r w:rsidRPr="004B361A">
        <w:rPr>
          <w:i/>
          <w:iCs/>
        </w:rPr>
        <w:t>the what this means</w:t>
      </w:r>
      <w:r>
        <w:t xml:space="preserve">). </w:t>
      </w:r>
    </w:p>
    <w:p w14:paraId="260AD3CF" w14:textId="77777777" w:rsidR="00B17F1B" w:rsidRPr="00A71795" w:rsidRDefault="00B17F1B" w:rsidP="00B17F1B"/>
    <w:p w14:paraId="086C7EB3" w14:textId="77777777" w:rsidR="00B17F1B" w:rsidRDefault="00B17F1B" w:rsidP="00B17F1B">
      <w:r>
        <w:t xml:space="preserve">This study aims to explore the impact of telehealth on trainee experience. I am interested to find out has trainee experience changed overall? And if so, in what way? Has training been enhanced or hindered? </w:t>
      </w:r>
      <w:r w:rsidRPr="0068320D">
        <w:t xml:space="preserve">Examining their experience may influence future </w:t>
      </w:r>
      <w:r>
        <w:t xml:space="preserve">understanding, </w:t>
      </w:r>
      <w:r w:rsidRPr="0068320D">
        <w:t>practice</w:t>
      </w:r>
      <w:r>
        <w:t xml:space="preserve"> and outlook</w:t>
      </w:r>
      <w:r w:rsidRPr="0068320D">
        <w:t>.</w:t>
      </w:r>
    </w:p>
    <w:p w14:paraId="45454BFB" w14:textId="77777777" w:rsidR="00B17F1B" w:rsidRPr="0068320D" w:rsidRDefault="00B17F1B" w:rsidP="00B17F1B">
      <w:pPr>
        <w:rPr>
          <w:b/>
          <w:bCs/>
        </w:rPr>
      </w:pPr>
    </w:p>
    <w:p w14:paraId="0E80A372" w14:textId="77777777" w:rsidR="00B17F1B" w:rsidRDefault="00B17F1B" w:rsidP="00B17F1B">
      <w:pPr>
        <w:rPr>
          <w:b/>
          <w:bCs/>
        </w:rPr>
      </w:pPr>
      <w:r w:rsidRPr="0068320D">
        <w:rPr>
          <w:b/>
          <w:bCs/>
        </w:rPr>
        <w:t>Research Design</w:t>
      </w:r>
    </w:p>
    <w:p w14:paraId="780AF5EC" w14:textId="77777777" w:rsidR="00B17F1B" w:rsidRPr="00B769AB" w:rsidRDefault="00B17F1B" w:rsidP="00B17F1B">
      <w:pPr>
        <w:rPr>
          <w:b/>
          <w:bCs/>
          <w:color w:val="000000" w:themeColor="text1"/>
        </w:rPr>
      </w:pPr>
      <w:r w:rsidRPr="00B769AB">
        <w:rPr>
          <w:b/>
          <w:bCs/>
          <w:color w:val="000000" w:themeColor="text1"/>
        </w:rPr>
        <w:t>QUALITATIVE APPROACH</w:t>
      </w:r>
    </w:p>
    <w:p w14:paraId="578950B3" w14:textId="77777777" w:rsidR="00B17F1B" w:rsidRDefault="00B17F1B" w:rsidP="00B17F1B">
      <w:r>
        <w:t>This study will be completed using a qualitative approach which views the world to be a socially constructed reality and bases itself on the foundation of naturalistic enquiry.</w:t>
      </w:r>
      <w:r>
        <w:fldChar w:fldCharType="begin" w:fldLock="1"/>
      </w:r>
      <w:r>
        <w:instrText>ADDIN CSL_CITATION {"citationItems":[{"id":"ITEM-1","itemData":{"ISBN":"9780323261722","abstract":"Bridge the gap between research and practice with Introduction to Research: Understanding and Applying Multiple Strategies, 5th Edition. This easy-to-read edition covers all the major research design strategies: qualitative, quantitative, naturalistic, experimental-type, and mixed method. And with the text's up-to-date research information and references, you will have a solid foundation from which to critique and understand research designs and their applications to healthcare and human service settings.","author":[{"dropping-particle":"","family":"Poy","given":"Elizabeth","non-dropping-particle":"De","parse-names":false,"suffix":""},{"dropping-particle":"","family":"Gitlin","given":"Laura N.","non-dropping-particle":"","parse-names":false,"suffix":""}],"container-title":"Introduction to Research: Understanding and Applying Multiple Strategies","id":"ITEM-1","issued":{"date-parts":[["2015"]]},"title":"Introduction to research: Understanding and applying multiple strategies","type":"book"},"uris":["http://www.mendeley.com/documents/?uuid=cd4cc2c6-6455-4fea-9c10-9f2b19f962b9"]}],"mendeley":{"formattedCitation":"[20]","plainTextFormattedCitation":"[20]","previouslyFormattedCitation":"[20]"},"properties":{"noteIndex":0},"schema":"https://github.com/citation-style-language/schema/raw/master/csl-citation.json"}</w:instrText>
      </w:r>
      <w:r>
        <w:fldChar w:fldCharType="separate"/>
      </w:r>
      <w:r w:rsidRPr="00794CDD">
        <w:rPr>
          <w:noProof/>
        </w:rPr>
        <w:t>[20]</w:t>
      </w:r>
      <w:r>
        <w:fldChar w:fldCharType="end"/>
      </w:r>
      <w:r>
        <w:t xml:space="preserve"> My original research proposal looked at a quantitative survey approach, however, this changed after  achieving a greater understanding of qualitative educational research and the benefits and avenues it can offer. A qualitative research design provides great opportunity to explore the in-depth insights of participants, their interpretations and experience on the topic under study, in this case, telehealth.</w:t>
      </w:r>
      <w:r>
        <w:fldChar w:fldCharType="begin" w:fldLock="1"/>
      </w:r>
      <w:r>
        <w:instrText>ADDIN CSL_CITATION {"citationItems":[{"id":"ITEM-1","itemData":{"ISBN":"1476-7058","ISSN":"14764954","PMID":"26372677","abstract":"PURPOSE: The purpose of this study was to evaluate the labor characteristics and maternal/perinatal consequences following indicated induction of labor. METHODS: This retrospective study examined all of the indicated inductions over 24 months and at two institutions evaluated mode of delivery (vaginal versus cesarean) as well as a comprehensive list of labor characteristics and maternal/perinatal outcomes. RESULTS: There were 1577 indicated inductions with 1097/1577 (69.6%) delivering vaginally. Women with a cesarean delivery had lower parity (p &lt; (0).0001) and Bishop's score (p &lt; (0).0001), and higher body mass indices (p = 0.022). Indication for induction due to preeclampsia increased the risk of a cesarean delivery (p = 0.008). Chorioamnionitis, post-partum complications and NICU admissions were greater in the women delivered by cesarean section. CONCLUSIONS: Indicated inductions which result in cesarean delivery were more likely in women with higher body mass indexes, lower parity, and Bishops scores, as well as preeclampsia.","author":[{"dropping-particle":"","family":"Savin-Baden","given":"Maggi","non-dropping-particle":"","parse-names":false,"suffix":""},{"dropping-particle":"","family":"Major","given":"C.M.","non-dropping-particle":"","parse-names":false,"suffix":""}],"container-title":"Routledge","id":"ITEM-1","issued":{"date-parts":[["2013"]]},"title":"Qualitative Research: An Essential Guide to Theory and Practice.","type":"article-journal"},"uris":["http://www.mendeley.com/documents/?uuid=89ecf050-074b-4317-b4b5-7b44f3b5e6f4"]}],"mendeley":{"formattedCitation":"[43]","plainTextFormattedCitation":"[43]","previouslyFormattedCitation":"[42]"},"properties":{"noteIndex":0},"schema":"https://github.com/citation-style-language/schema/raw/master/csl-citation.json"}</w:instrText>
      </w:r>
      <w:r>
        <w:fldChar w:fldCharType="separate"/>
      </w:r>
      <w:r w:rsidRPr="00656CB5">
        <w:rPr>
          <w:noProof/>
        </w:rPr>
        <w:t>[43]</w:t>
      </w:r>
      <w:r>
        <w:fldChar w:fldCharType="end"/>
      </w:r>
      <w:r>
        <w:t xml:space="preserve"> This approach will gain personal insights into medical NCHD trainee experiences of telehealth and their perceptions on its influence on training, echoing </w:t>
      </w:r>
      <w:r w:rsidRPr="00AD57A0">
        <w:rPr>
          <w:i/>
          <w:iCs/>
        </w:rPr>
        <w:t>Cohen et al.</w:t>
      </w:r>
      <w:r>
        <w:t xml:space="preserve"> in that those who live the experience, know the most about the experience.</w:t>
      </w:r>
      <w:r>
        <w:fldChar w:fldCharType="begin" w:fldLock="1"/>
      </w:r>
      <w:r>
        <w:instrText>ADDIN CSL_CITATION {"citationItems":[{"id":"ITEM-1","itemData":{"DOI":"10.4324/9781315456539-7","abstract":"Cohen, L., Manion, L., &amp; Morrison, K. (2011). The ethics of educational and social research. In Research methods in education (7th ed., pp. 75–104). London, UK: Routledge.","author":[{"dropping-particle":"","family":"Cohen","given":"Louis","non-dropping-particle":"","parse-names":false,"suffix":""},{"dropping-particle":"","family":"Manion","given":"Lawrence","non-dropping-particle":"","parse-names":false,"suffix":""},{"dropping-particle":"","family":"Morrison","given":"Keith","non-dropping-particle":"","parse-names":false,"suffix":""},{"dropping-particle":"","family":"Cohen","given":"Louis","non-dropping-particle":"","parse-names":false,"suffix":""},{"dropping-particle":"","family":"Manion","given":"Lawrence","non-dropping-particle":"","parse-names":false,"suffix":""},{"dropping-particle":"","family":"Morrison","given":"Keith","non-dropping-particle":"","parse-names":false,"suffix":""}],"container-title":"Research Methods in Education","id":"ITEM-1","issued":{"date-parts":[["2018"]]},"title":"The ethics of educational and social research","type":"chapter"},"uris":["http://www.mendeley.com/documents/?uuid=f9b84673-c7fa-4f92-a9a4-58b4b1de3c5c"]}],"mendeley":{"formattedCitation":"[44]","plainTextFormattedCitation":"[44]","previouslyFormattedCitation":"[43]"},"properties":{"noteIndex":0},"schema":"https://github.com/citation-style-language/schema/raw/master/csl-citation.json"}</w:instrText>
      </w:r>
      <w:r>
        <w:fldChar w:fldCharType="separate"/>
      </w:r>
      <w:r w:rsidRPr="00656CB5">
        <w:rPr>
          <w:noProof/>
        </w:rPr>
        <w:t>[44]</w:t>
      </w:r>
      <w:r>
        <w:fldChar w:fldCharType="end"/>
      </w:r>
      <w:r>
        <w:t xml:space="preserve"> Keeping this, time restraints and the ongoing COVID19 pandemic in mind, I have elected to conduct semi-structured Zoom interviews, as will be later discussed.</w:t>
      </w:r>
    </w:p>
    <w:p w14:paraId="49E9C782" w14:textId="77777777" w:rsidR="00B17F1B" w:rsidRPr="00A71795" w:rsidRDefault="00B17F1B" w:rsidP="00B17F1B"/>
    <w:p w14:paraId="28978FF5" w14:textId="77777777" w:rsidR="00B17F1B" w:rsidRDefault="00B17F1B" w:rsidP="00B17F1B">
      <w:r>
        <w:t xml:space="preserve">An </w:t>
      </w:r>
      <w:r w:rsidRPr="00A33AC8">
        <w:rPr>
          <w:i/>
          <w:iCs/>
        </w:rPr>
        <w:t>interpretivist paradigm</w:t>
      </w:r>
      <w:r>
        <w:t xml:space="preserve"> has been chosen for its recognisable advantages; it is a flexible approach with associated research strategy such as qualitative interview, which will generate a wealth of rich information and outcomes to gain a deeper understanding.</w:t>
      </w:r>
      <w:r>
        <w:fldChar w:fldCharType="begin" w:fldLock="1"/>
      </w:r>
      <w:r>
        <w:instrText>ADDIN CSL_CITATION {"citationItems":[{"id":"ITEM-1","itemData":{"DOI":"10.5539/jel.v6n1p102","ISSN":"1927-5250","abstract":"The researchers of various disciplines often use qualitative and quantitative research methods and approaches for their studies. Some of these researchers like to be known as qualitative researchers; others like to be regarded as quantitative researchers. The researchers, thus, are sharply polarised; and they involve in a competition of pointing out the benefits of their own preferred methods and approaches. But, both the methods and approaches (qualitative and quantitative) have pros and cons. This study, therefore, aims to discuss the advantages and disadvantages of using qualitative and quantitative research approaches and methods in language testing and assessment research. There is a focus on ethical considerations too. The study found some strengths of using qualitative methods for language “assessment and testing” research—such as, eliciting deeper insights into designing, administering, and interpreting assessment and testing; and exploring test-takers’ behaviour, perceptions, feelings, and understanding. Some weaknesses are, for instance, smaller sample size and time consuming. Quantitative research methods, on the other hand, involve a larger sample, and do not require relatively a longer time for data collection. Some limitations are that quantitative research methods take snapshots of a phenomenon: not in-depth, and overlook test-takers’ and testers’ experiences as well as what they mean by something. Among these two research paradigms, the quantitative one is dominant in the context of language testing and assessment research.","author":[{"dropping-particle":"","family":"Rahman","given":"Md Shidur","non-dropping-particle":"","parse-names":false,"suffix":""}],"container-title":"Journal of Education and Learning","id":"ITEM-1","issued":{"date-parts":[["2016"]]},"title":"The Advantages and Disadvantages of Using Qualitative and Quantitative Approaches and Methods in Language “Testing and Assessment” Research: A Literature Review","type":"article-journal"},"uris":["http://www.mendeley.com/documents/?uuid=e280fd34-04a7-4430-aa19-a6784c80b898"]}],"mendeley":{"formattedCitation":"[21]","plainTextFormattedCitation":"[21]","previouslyFormattedCitation":"[21]"},"properties":{"noteIndex":0},"schema":"https://github.com/citation-style-language/schema/raw/master/csl-citation.json"}</w:instrText>
      </w:r>
      <w:r>
        <w:fldChar w:fldCharType="separate"/>
      </w:r>
      <w:r w:rsidRPr="00794CDD">
        <w:rPr>
          <w:noProof/>
        </w:rPr>
        <w:t>[21]</w:t>
      </w:r>
      <w:r>
        <w:fldChar w:fldCharType="end"/>
      </w:r>
      <w:r>
        <w:t xml:space="preserve"> Interpreting human perspectives of a topic entails examining individuals reality which in turn invites an advanced level of enquiry for the individual.</w:t>
      </w:r>
      <w:r>
        <w:fldChar w:fldCharType="begin" w:fldLock="1"/>
      </w:r>
      <w:r>
        <w:instrText>ADDIN CSL_CITATION {"citationItems":[{"id":"ITEM-1","itemData":{"DOI":"10.4324/9781315456539-7","abstract":"Cohen, L., Manion, L., &amp; Morrison, K. (2011). The ethics of educational and social research. In Research methods in education (7th ed., pp. 75–104). London, UK: Routledge.","author":[{"dropping-particle":"","family":"Cohen","given":"Louis","non-dropping-particle":"","parse-names":false,"suffix":""},{"dropping-particle":"","family":"Manion","given":"Lawrence","non-dropping-particle":"","parse-names":false,"suffix":""},{"dropping-particle":"","family":"Morrison","given":"Keith","non-dropping-particle":"","parse-names":false,"suffix":""},{"dropping-particle":"","family":"Cohen","given":"Louis","non-dropping-particle":"","parse-names":false,"suffix":""},{"dropping-particle":"","family":"Manion","given":"Lawrence","non-dropping-particle":"","parse-names":false,"suffix":""},{"dropping-particle":"","family":"Morrison","given":"Keith","non-dropping-particle":"","parse-names":false,"suffix":""}],"container-title":"Research Methods in Education","id":"ITEM-1","issued":{"date-parts":[["2018"]]},"title":"The ethics of educational and social research","type":"chapter"},"uris":["http://www.mendeley.com/documents/?uuid=f9b84673-c7fa-4f92-a9a4-58b4b1de3c5c"]}],"mendeley":{"formattedCitation":"[44]","plainTextFormattedCitation":"[44]","previouslyFormattedCitation":"[43]"},"properties":{"noteIndex":0},"schema":"https://github.com/citation-style-language/schema/raw/master/csl-citation.json"}</w:instrText>
      </w:r>
      <w:r>
        <w:fldChar w:fldCharType="separate"/>
      </w:r>
      <w:r w:rsidRPr="00656CB5">
        <w:rPr>
          <w:noProof/>
        </w:rPr>
        <w:t>[44]</w:t>
      </w:r>
      <w:r>
        <w:fldChar w:fldCharType="end"/>
      </w:r>
      <w:r>
        <w:t xml:space="preserve"> </w:t>
      </w:r>
    </w:p>
    <w:p w14:paraId="597A79A7" w14:textId="77777777" w:rsidR="00B17F1B" w:rsidRDefault="00B17F1B" w:rsidP="00B17F1B"/>
    <w:p w14:paraId="4A99D8BB" w14:textId="77777777" w:rsidR="00B17F1B" w:rsidRPr="00B769AB" w:rsidRDefault="00B17F1B" w:rsidP="00B17F1B">
      <w:pPr>
        <w:rPr>
          <w:b/>
          <w:bCs/>
          <w:color w:val="000000" w:themeColor="text1"/>
        </w:rPr>
      </w:pPr>
      <w:r w:rsidRPr="00B769AB">
        <w:rPr>
          <w:b/>
          <w:bCs/>
          <w:color w:val="000000" w:themeColor="text1"/>
        </w:rPr>
        <w:t xml:space="preserve">ETHICAL APPROVAL </w:t>
      </w:r>
    </w:p>
    <w:p w14:paraId="0B1C4857" w14:textId="77777777" w:rsidR="00B17F1B" w:rsidRPr="003229F0" w:rsidRDefault="00B17F1B" w:rsidP="00B17F1B">
      <w:pPr>
        <w:rPr>
          <w:color w:val="000000" w:themeColor="text1"/>
        </w:rPr>
      </w:pPr>
      <w:r w:rsidRPr="003229F0">
        <w:rPr>
          <w:color w:val="000000" w:themeColor="text1"/>
        </w:rPr>
        <w:t>The need to respect participants and data is central to any research study.</w:t>
      </w:r>
      <w:r>
        <w:rPr>
          <w:color w:val="000000" w:themeColor="text1"/>
        </w:rPr>
        <w:fldChar w:fldCharType="begin" w:fldLock="1"/>
      </w:r>
      <w:r>
        <w:rPr>
          <w:color w:val="000000" w:themeColor="text1"/>
        </w:rPr>
        <w:instrText>ADDIN CSL_CITATION {"citationItems":[{"id":"ITEM-1","itemData":{"DOI":"10.4324/9781315456539-32","abstract":" Fox, N.J. (2004) Qualitative Data Analysis:HAR6010. (Taught unit from MSc in Health and Social Care Research). Sheffield: University of Sheffield","author":[{"dropping-particle":"","family":"Cohen","given":"Louis","non-dropping-particle":"","parse-names":false,"suffix":""},{"dropping-particle":"","family":"Manion","given":"Lawrence","non-dropping-particle":"","parse-names":false,"suffix":""},{"dropping-particle":"","family":"Morrison","given":"Keith","non-dropping-particle":"","parse-names":false,"suffix":""},{"dropping-particle":"","family":"Cohen","given":"Louis","non-dropping-particle":"","parse-names":false,"suffix":""},{"dropping-particle":"","family":"Manion","given":"Lawrence","non-dropping-particle":"","parse-names":false,"suffix":""},{"dropping-particle":"","family":"Morrison","given":"Keith","non-dropping-particle":"","parse-names":false,"suffix":""}],"container-title":"Research Methods in Education","id":"ITEM-1","issued":{"date-parts":[["2018"]]},"title":"Approaches to qualitative data analysis","type":"chapter"},"uris":["http://www.mendeley.com/documents/?uuid=5f5bb3f8-2376-4d45-af45-45dd766d424a"]}],"mendeley":{"formattedCitation":"[45]","plainTextFormattedCitation":"[45]","previouslyFormattedCitation":"[44]"},"properties":{"noteIndex":0},"schema":"https://github.com/citation-style-language/schema/raw/master/csl-citation.json"}</w:instrText>
      </w:r>
      <w:r>
        <w:rPr>
          <w:color w:val="000000" w:themeColor="text1"/>
        </w:rPr>
        <w:fldChar w:fldCharType="separate"/>
      </w:r>
      <w:r w:rsidRPr="00656CB5">
        <w:rPr>
          <w:noProof/>
          <w:color w:val="000000" w:themeColor="text1"/>
        </w:rPr>
        <w:t>[45]</w:t>
      </w:r>
      <w:r>
        <w:rPr>
          <w:color w:val="000000" w:themeColor="text1"/>
        </w:rPr>
        <w:fldChar w:fldCharType="end"/>
      </w:r>
      <w:r w:rsidRPr="003229F0">
        <w:rPr>
          <w:color w:val="000000" w:themeColor="text1"/>
        </w:rPr>
        <w:t xml:space="preserve"> Ethical approval for this study was sought from the </w:t>
      </w:r>
      <w:r w:rsidRPr="001D20C1">
        <w:rPr>
          <w:i/>
          <w:iCs/>
          <w:color w:val="000000" w:themeColor="text1"/>
        </w:rPr>
        <w:t>Royal College of Physicians, Ireland</w:t>
      </w:r>
      <w:r w:rsidRPr="003229F0">
        <w:rPr>
          <w:color w:val="000000" w:themeColor="text1"/>
        </w:rPr>
        <w:t xml:space="preserve"> prior to commencement of the study.</w:t>
      </w:r>
      <w:r>
        <w:rPr>
          <w:color w:val="000000" w:themeColor="text1"/>
        </w:rPr>
        <w:t xml:space="preserve"> Review is at the final stages and approval is awaited. I completed a Security Awareness Certificate (</w:t>
      </w:r>
      <w:r w:rsidRPr="00510543">
        <w:rPr>
          <w:i/>
          <w:iCs/>
          <w:color w:val="000000" w:themeColor="text1"/>
        </w:rPr>
        <w:t>Appendix 3</w:t>
      </w:r>
      <w:r>
        <w:rPr>
          <w:color w:val="000000" w:themeColor="text1"/>
        </w:rPr>
        <w:t>) to ensure I understood GDPR, safe data collection and storage strategies.</w:t>
      </w:r>
    </w:p>
    <w:p w14:paraId="570FF33E" w14:textId="77777777" w:rsidR="00B17F1B" w:rsidRDefault="00B17F1B" w:rsidP="00B17F1B">
      <w:pPr>
        <w:rPr>
          <w:b/>
          <w:bCs/>
          <w:color w:val="631C5F"/>
        </w:rPr>
      </w:pPr>
    </w:p>
    <w:p w14:paraId="19F36FDC" w14:textId="77777777" w:rsidR="00B17F1B" w:rsidRPr="00B769AB" w:rsidRDefault="00B17F1B" w:rsidP="00B17F1B">
      <w:pPr>
        <w:rPr>
          <w:b/>
          <w:bCs/>
          <w:color w:val="000000" w:themeColor="text1"/>
        </w:rPr>
      </w:pPr>
      <w:r w:rsidRPr="00B769AB">
        <w:rPr>
          <w:b/>
          <w:bCs/>
          <w:color w:val="000000" w:themeColor="text1"/>
        </w:rPr>
        <w:t>SAMPLING</w:t>
      </w:r>
    </w:p>
    <w:p w14:paraId="2B1718B3" w14:textId="77777777" w:rsidR="00B17F1B" w:rsidRDefault="00B17F1B" w:rsidP="00B17F1B">
      <w:pPr>
        <w:rPr>
          <w:color w:val="000000" w:themeColor="text1"/>
        </w:rPr>
      </w:pPr>
      <w:r w:rsidRPr="0068320D">
        <w:t xml:space="preserve">The </w:t>
      </w:r>
      <w:r>
        <w:t xml:space="preserve">estimated </w:t>
      </w:r>
      <w:r w:rsidRPr="0068320D">
        <w:t xml:space="preserve">sample size will be small, at 15 individuals, using purposeful sampling from the hospital </w:t>
      </w:r>
      <w:r>
        <w:t xml:space="preserve">NCHD </w:t>
      </w:r>
      <w:r w:rsidRPr="0068320D">
        <w:t xml:space="preserve">cohort. </w:t>
      </w:r>
      <w:r>
        <w:rPr>
          <w:color w:val="000000" w:themeColor="text1"/>
        </w:rPr>
        <w:t>As relevant gatekeeper, the Education Co-Ordinator within the hospital body will be contacted to help facilitate recruitment and appropriate sampling to provide the most credible interviews for the research question.</w:t>
      </w:r>
      <w:r>
        <w:rPr>
          <w:color w:val="000000" w:themeColor="text1"/>
        </w:rPr>
        <w:fldChar w:fldCharType="begin" w:fldLock="1"/>
      </w:r>
      <w:r>
        <w:rPr>
          <w:color w:val="000000" w:themeColor="text1"/>
        </w:rPr>
        <w:instrText>ADDIN CSL_CITATION {"citationItems":[{"id":"ITEM-1","itemData":{"ISBN":"1412916062","ISSN":"15746267","PMID":"20739247","abstract":"The Second Edition of this bestselling text once again explores the philosophical underpinnings, history, and key elements of each of five qualitative inquiry traditions: narrative research, phenomenology, grounded theory, ethnography, and case study. Written in an accessible style, this book relates research designs to each of the traditions of inquiry. The author compares theoretical frameworks, ways to employ standards of quality, and strategies for writing introductions to studies, collecting data, analyzing data, writing a narrative, and verifying results. New to the Second Edition: - Broader coverage of narrative research - Updated coverage of data analysis, which accounts for programs like Atlas.ti and NVivo, and discusses counting codes more fully - More specific steps for doing research within each tradition","author":[{"dropping-particle":"","family":"Creswell","given":"John W","non-dropping-particle":"","parse-names":false,"suffix":""}],"container-title":"Book","id":"ITEM-1","issued":{"date-parts":[["2007"]]},"title":"Qualitative enquiry &amp; research design, choosing among five approaches","type":"book"},"uris":["http://www.mendeley.com/documents/?uuid=0101858f-a10b-48a9-abec-0cc2e320eb4f"]},{"id":"ITEM-2","itemData":{"PMID":"4014761","abstract":"Rodgers reviews \"Qualitative Inquiry and Research Design: Choosing Among Five Traditions\" by J. W. Creswell.","author":[{"dropping-particle":"","family":"Creswell","given":"John W","non-dropping-particle":"","parse-names":false,"suffix":""}],"container-title":"Qualitative Health Research","id":"ITEM-2","issued":{"date-parts":[["1998"]]},"title":"Qualitative inquiry and research design: Choosing among five traditions","type":"book"},"uris":["http://www.mendeley.com/documents/?uuid=7499cb52-662f-4735-9884-ef441acfa582"]}],"mendeley":{"formattedCitation":"[22], [23]","plainTextFormattedCitation":"[22], [23]","previouslyFormattedCitation":"[22], [23]"},"properties":{"noteIndex":0},"schema":"https://github.com/citation-style-language/schema/raw/master/csl-citation.json"}</w:instrText>
      </w:r>
      <w:r>
        <w:rPr>
          <w:color w:val="000000" w:themeColor="text1"/>
        </w:rPr>
        <w:fldChar w:fldCharType="separate"/>
      </w:r>
      <w:r w:rsidRPr="00794CDD">
        <w:rPr>
          <w:noProof/>
          <w:color w:val="000000" w:themeColor="text1"/>
        </w:rPr>
        <w:t>[22], [23]</w:t>
      </w:r>
      <w:r>
        <w:rPr>
          <w:color w:val="000000" w:themeColor="text1"/>
        </w:rPr>
        <w:fldChar w:fldCharType="end"/>
      </w:r>
      <w:r>
        <w:rPr>
          <w:color w:val="000000" w:themeColor="text1"/>
        </w:rPr>
        <w:t xml:space="preserve"> The recruitment strategy will include sending communication, via gatekeeper, with my email to interested persons who will contact me directly. With such a small sample size the focus will be to obtain rich descriptions of the phenomena under study.</w:t>
      </w:r>
      <w:r>
        <w:rPr>
          <w:color w:val="000000" w:themeColor="text1"/>
        </w:rPr>
        <w:fldChar w:fldCharType="begin" w:fldLock="1"/>
      </w:r>
      <w:r>
        <w:rPr>
          <w:color w:val="000000" w:themeColor="text1"/>
        </w:rPr>
        <w:instrText>ADDIN CSL_CITATION {"citationItems":[{"id":"ITEM-1","itemData":{"DOI":"10.1007/978-1-349-14559-1_7","author":[{"dropping-particle":"","family":"Parahoo","given":"Kader","non-dropping-particle":"","parse-names":false,"suffix":""},{"dropping-particle":"","family":"Parahoo","given":"Kader","non-dropping-particle":"","parse-names":false,"suffix":""}],"container-title":"Nursing Research","id":"ITEM-1","issued":{"date-parts":[["1997"]]},"title":"Research and theory","type":"chapter"},"uris":["http://www.mendeley.com/documents/?uuid=4d4d3caf-8718-4256-9cb7-354706af7cd0"]}],"mendeley":{"formattedCitation":"[24]","plainTextFormattedCitation":"[24]","previouslyFormattedCitation":"[24]"},"properties":{"noteIndex":0},"schema":"https://github.com/citation-style-language/schema/raw/master/csl-citation.json"}</w:instrText>
      </w:r>
      <w:r>
        <w:rPr>
          <w:color w:val="000000" w:themeColor="text1"/>
        </w:rPr>
        <w:fldChar w:fldCharType="separate"/>
      </w:r>
      <w:r w:rsidRPr="00794CDD">
        <w:rPr>
          <w:noProof/>
          <w:color w:val="000000" w:themeColor="text1"/>
        </w:rPr>
        <w:t>[24]</w:t>
      </w:r>
      <w:r>
        <w:rPr>
          <w:color w:val="000000" w:themeColor="text1"/>
        </w:rPr>
        <w:fldChar w:fldCharType="end"/>
      </w:r>
      <w:r>
        <w:rPr>
          <w:color w:val="000000" w:themeColor="text1"/>
        </w:rPr>
        <w:t xml:space="preserve"> </w:t>
      </w:r>
    </w:p>
    <w:p w14:paraId="301B5356" w14:textId="77777777" w:rsidR="00B17F1B" w:rsidRDefault="00B17F1B" w:rsidP="00B17F1B">
      <w:pPr>
        <w:rPr>
          <w:color w:val="000000" w:themeColor="text1"/>
        </w:rPr>
      </w:pPr>
    </w:p>
    <w:p w14:paraId="2358C896" w14:textId="77777777" w:rsidR="00B17F1B" w:rsidRPr="00467EED" w:rsidRDefault="00B17F1B" w:rsidP="00B17F1B">
      <w:r>
        <w:rPr>
          <w:color w:val="000000" w:themeColor="text1"/>
        </w:rPr>
        <w:t>The sample of NCHD participants chosen will involve a range of individuals completing the Medical Basic Specialist Training (BST) scheme and others completing a variety of Higher Specialist Training (HST) schemes to ensure both junior and senior level NCHDs are appropriately represented. Surgical trainees have been excluded given the wealth of studies into their experience with telehealth and its impact on theatre time and surgical training.</w:t>
      </w:r>
    </w:p>
    <w:p w14:paraId="2013DAC4" w14:textId="77777777" w:rsidR="00B17F1B" w:rsidRPr="00467EED" w:rsidRDefault="00B17F1B" w:rsidP="00B17F1B">
      <w:pPr>
        <w:rPr>
          <w:color w:val="000000" w:themeColor="text1"/>
        </w:rPr>
      </w:pPr>
    </w:p>
    <w:p w14:paraId="34BC547D" w14:textId="77777777" w:rsidR="00B17F1B" w:rsidRPr="00467EED" w:rsidRDefault="00B17F1B" w:rsidP="00B17F1B">
      <w:pPr>
        <w:rPr>
          <w:color w:val="000000" w:themeColor="text1"/>
        </w:rPr>
      </w:pPr>
      <w:r w:rsidRPr="00467EED">
        <w:rPr>
          <w:color w:val="000000" w:themeColor="text1"/>
        </w:rPr>
        <w:t>The sample of NCHDs identified will be sent an email of invitation with information leaflet attached (</w:t>
      </w:r>
      <w:r w:rsidRPr="00C4780C">
        <w:rPr>
          <w:i/>
          <w:iCs/>
          <w:color w:val="000000" w:themeColor="text1"/>
        </w:rPr>
        <w:t>Appendix 1</w:t>
      </w:r>
      <w:r w:rsidRPr="00467EED">
        <w:rPr>
          <w:color w:val="000000" w:themeColor="text1"/>
        </w:rPr>
        <w:t>). An invitation to participate poster will also placed on notice boards in lobby areas, the hospital cafeteria and the doctors res</w:t>
      </w:r>
      <w:r>
        <w:rPr>
          <w:color w:val="000000" w:themeColor="text1"/>
        </w:rPr>
        <w:t>idence</w:t>
      </w:r>
      <w:r w:rsidRPr="00467EED">
        <w:rPr>
          <w:color w:val="000000" w:themeColor="text1"/>
        </w:rPr>
        <w:t xml:space="preserve"> (</w:t>
      </w:r>
      <w:r w:rsidRPr="00C4780C">
        <w:rPr>
          <w:i/>
          <w:iCs/>
          <w:color w:val="000000" w:themeColor="text1"/>
        </w:rPr>
        <w:t xml:space="preserve">Appendix </w:t>
      </w:r>
      <w:r>
        <w:rPr>
          <w:i/>
          <w:iCs/>
          <w:color w:val="000000" w:themeColor="text1"/>
        </w:rPr>
        <w:t>4</w:t>
      </w:r>
      <w:r w:rsidRPr="00C4780C">
        <w:rPr>
          <w:i/>
          <w:iCs/>
          <w:color w:val="000000" w:themeColor="text1"/>
        </w:rPr>
        <w:t>).</w:t>
      </w:r>
      <w:r w:rsidRPr="00467EED">
        <w:rPr>
          <w:color w:val="000000" w:themeColor="text1"/>
        </w:rPr>
        <w:t xml:space="preserve"> If </w:t>
      </w:r>
      <w:r>
        <w:rPr>
          <w:color w:val="000000" w:themeColor="text1"/>
        </w:rPr>
        <w:t>interested</w:t>
      </w:r>
      <w:r w:rsidRPr="00467EED">
        <w:rPr>
          <w:color w:val="000000" w:themeColor="text1"/>
        </w:rPr>
        <w:t xml:space="preserve"> to take part participants </w:t>
      </w:r>
      <w:r>
        <w:rPr>
          <w:color w:val="000000" w:themeColor="text1"/>
        </w:rPr>
        <w:t xml:space="preserve">will </w:t>
      </w:r>
      <w:r w:rsidRPr="00467EED">
        <w:rPr>
          <w:color w:val="000000" w:themeColor="text1"/>
        </w:rPr>
        <w:t xml:space="preserve">email interest and an information leaflet </w:t>
      </w:r>
      <w:r>
        <w:rPr>
          <w:color w:val="000000" w:themeColor="text1"/>
        </w:rPr>
        <w:t xml:space="preserve">- with details describing the study and confidentiality - </w:t>
      </w:r>
      <w:r w:rsidRPr="00467EED">
        <w:rPr>
          <w:color w:val="000000" w:themeColor="text1"/>
        </w:rPr>
        <w:t xml:space="preserve">and consent form </w:t>
      </w:r>
      <w:r>
        <w:rPr>
          <w:color w:val="000000" w:themeColor="text1"/>
        </w:rPr>
        <w:t>will be</w:t>
      </w:r>
      <w:r w:rsidRPr="00467EED">
        <w:rPr>
          <w:color w:val="000000" w:themeColor="text1"/>
        </w:rPr>
        <w:t xml:space="preserve"> provided in advance of Zoom interview</w:t>
      </w:r>
      <w:r>
        <w:rPr>
          <w:color w:val="000000" w:themeColor="text1"/>
        </w:rPr>
        <w:t>s (</w:t>
      </w:r>
      <w:r w:rsidRPr="00A73488">
        <w:rPr>
          <w:i/>
          <w:iCs/>
          <w:color w:val="000000" w:themeColor="text1"/>
        </w:rPr>
        <w:t>Appendix 1 and 2, respectively</w:t>
      </w:r>
      <w:r>
        <w:rPr>
          <w:color w:val="000000" w:themeColor="text1"/>
        </w:rPr>
        <w:t>)</w:t>
      </w:r>
      <w:r w:rsidRPr="00467EED">
        <w:rPr>
          <w:color w:val="000000" w:themeColor="text1"/>
        </w:rPr>
        <w:t>.</w:t>
      </w:r>
      <w:r>
        <w:rPr>
          <w:color w:val="000000" w:themeColor="text1"/>
        </w:rPr>
        <w:t xml:space="preserve"> Participants will be informed on the research study results and findings.</w:t>
      </w:r>
    </w:p>
    <w:p w14:paraId="38021D99" w14:textId="77777777" w:rsidR="00B17F1B" w:rsidRDefault="00B17F1B" w:rsidP="00B17F1B">
      <w:pPr>
        <w:rPr>
          <w:b/>
          <w:bCs/>
          <w:color w:val="631C5F"/>
        </w:rPr>
      </w:pPr>
    </w:p>
    <w:p w14:paraId="4436366C" w14:textId="77777777" w:rsidR="00B17F1B" w:rsidRPr="00B769AB" w:rsidRDefault="00B17F1B" w:rsidP="00B17F1B">
      <w:pPr>
        <w:rPr>
          <w:b/>
          <w:bCs/>
          <w:color w:val="000000" w:themeColor="text1"/>
        </w:rPr>
      </w:pPr>
      <w:r w:rsidRPr="00B769AB">
        <w:rPr>
          <w:b/>
          <w:bCs/>
          <w:color w:val="000000" w:themeColor="text1"/>
        </w:rPr>
        <w:t xml:space="preserve">DATA COLLECTION </w:t>
      </w:r>
    </w:p>
    <w:p w14:paraId="6ED29DC8" w14:textId="77777777" w:rsidR="00B17F1B" w:rsidRPr="0068320D" w:rsidRDefault="00B17F1B" w:rsidP="00B17F1B">
      <w:r>
        <w:t xml:space="preserve">The survey strategy will involve semi-structured Zoom platform interviews. The interviews will be recorded, transcribed and analysed using thematic analysis. I will be adopting an </w:t>
      </w:r>
      <w:r w:rsidRPr="002A0409">
        <w:rPr>
          <w:i/>
          <w:iCs/>
        </w:rPr>
        <w:t>inductive approach</w:t>
      </w:r>
      <w:r>
        <w:t xml:space="preserve"> in order to explore the participants perceptions of teleconsultation and factors that may have influenced these perceptions.</w:t>
      </w:r>
      <w:r>
        <w:fldChar w:fldCharType="begin" w:fldLock="1"/>
      </w:r>
      <w:r>
        <w:instrText>ADDIN CSL_CITATION {"citationItems":[{"id":"ITEM-1","itemData":{"DOI":"10.4324/9781315456539-32","abstract":" Fox, N.J. (2004) Qualitative Data Analysis:HAR6010. (Taught unit from MSc in Health and Social Care Research). Sheffield: University of Sheffield","author":[{"dropping-particle":"","family":"Cohen","given":"Louis","non-dropping-particle":"","parse-names":false,"suffix":""},{"dropping-particle":"","family":"Manion","given":"Lawrence","non-dropping-particle":"","parse-names":false,"suffix":""},{"dropping-particle":"","family":"Morrison","given":"Keith","non-dropping-particle":"","parse-names":false,"suffix":""},{"dropping-particle":"","family":"Cohen","given":"Louis","non-dropping-particle":"","parse-names":false,"suffix":""},{"dropping-particle":"","family":"Manion","given":"Lawrence","non-dropping-particle":"","parse-names":false,"suffix":""},{"dropping-particle":"","family":"Morrison","given":"Keith","non-dropping-particle":"","parse-names":false,"suffix":""}],"container-title":"Research Methods in Education","id":"ITEM-1","issued":{"date-parts":[["2018"]]},"title":"Approaches to qualitative data analysis","type":"chapter"},"uris":["http://www.mendeley.com/documents/?uuid=5f5bb3f8-2376-4d45-af45-45dd766d424a"]}],"mendeley":{"formattedCitation":"[45]","plainTextFormattedCitation":"[45]","previouslyFormattedCitation":"[44]"},"properties":{"noteIndex":0},"schema":"https://github.com/citation-style-language/schema/raw/master/csl-citation.json"}</w:instrText>
      </w:r>
      <w:r>
        <w:fldChar w:fldCharType="separate"/>
      </w:r>
      <w:r w:rsidRPr="00656CB5">
        <w:rPr>
          <w:noProof/>
        </w:rPr>
        <w:t>[45]</w:t>
      </w:r>
      <w:r>
        <w:fldChar w:fldCharType="end"/>
      </w:r>
      <w:r>
        <w:t xml:space="preserve"> The use of standardized interviews in this study was unsuitable due to the vast range of demographics and professional levels and stages of the participants.</w:t>
      </w:r>
      <w:r>
        <w:fldChar w:fldCharType="begin" w:fldLock="1"/>
      </w:r>
      <w:r>
        <w:instrText>ADDIN CSL_CITATION {"citationItems":[{"id":"ITEM-1","itemData":{"DOI":"10.18844/cjes.v11i3.625","ISSN":"1305-9076","abstract":"This report provides practical guidance for anyone, inside or outside the Air Force, interested in conducting interviews, especially for general data gathering and evaluation purposes. The report begins with a discussion of the advantages and disadvantages of interviews relative to survey or naturalistic observation and the skills and characteristics interviewers should possess. Then, interview ethics are discussed from free speech and privacy perspectives with emphasis upon the need for ensuring voluntary participation and maintaining confidentiality. Following this, discussion focuses on preparing for and conducting interviews. Issues such as sampling, selecting the type of interview, interview protocol development, and what to do to prepare for and conduct successful interviews are discussed. This includes practical suggestions on how to write questions, how to develop probes, and how to clarify understanding of what is being said. Finally, techniques for analyzing and reporting results are presented.","author":[{"dropping-particle":"","family":"McNamara","given":"C","non-dropping-particle":"","parse-names":false,"suffix":""}],"container-title":"Cypriot Journal of Educational Sciences","id":"ITEM-1","issued":{"date-parts":[["2016"]]},"title":"General Guideliness for Conducting Interview","type":"article-journal"},"uris":["http://www.mendeley.com/documents/?uuid=8969b357-6982-4726-b759-6881eee9b98f"]}],"mendeley":{"formattedCitation":"[46]","plainTextFormattedCitation":"[46]","previouslyFormattedCitation":"[45]"},"properties":{"noteIndex":0},"schema":"https://github.com/citation-style-language/schema/raw/master/csl-citation.json"}</w:instrText>
      </w:r>
      <w:r>
        <w:fldChar w:fldCharType="separate"/>
      </w:r>
      <w:r w:rsidRPr="00656CB5">
        <w:rPr>
          <w:noProof/>
        </w:rPr>
        <w:t>[46]</w:t>
      </w:r>
      <w:r>
        <w:fldChar w:fldCharType="end"/>
      </w:r>
      <w:r>
        <w:t xml:space="preserve"> </w:t>
      </w:r>
    </w:p>
    <w:p w14:paraId="20FBE59D" w14:textId="77777777" w:rsidR="00B17F1B" w:rsidRDefault="00B17F1B" w:rsidP="00B17F1B"/>
    <w:p w14:paraId="7AA4777F" w14:textId="77777777" w:rsidR="00B17F1B" w:rsidRDefault="00B17F1B" w:rsidP="00B17F1B">
      <w:r>
        <w:lastRenderedPageBreak/>
        <w:t>Face to face interviews, albeit through Zoom platform, are a fantastic tool for gathering information, observing postural and non-verbal nuances.</w:t>
      </w:r>
      <w:r>
        <w:fldChar w:fldCharType="begin" w:fldLock="1"/>
      </w:r>
      <w:r>
        <w:instrText>ADDIN CSL_CITATION {"citationItems":[{"id":"ITEM-1","itemData":{"DOI":"10.4324/9781315456539-32","abstract":" Fox, N.J. (2004) Qualitative Data Analysis:HAR6010. (Taught unit from MSc in Health and Social Care Research). Sheffield: University of Sheffield","author":[{"dropping-particle":"","family":"Cohen","given":"Louis","non-dropping-particle":"","parse-names":false,"suffix":""},{"dropping-particle":"","family":"Manion","given":"Lawrence","non-dropping-particle":"","parse-names":false,"suffix":""},{"dropping-particle":"","family":"Morrison","given":"Keith","non-dropping-particle":"","parse-names":false,"suffix":""},{"dropping-particle":"","family":"Cohen","given":"Louis","non-dropping-particle":"","parse-names":false,"suffix":""},{"dropping-particle":"","family":"Manion","given":"Lawrence","non-dropping-particle":"","parse-names":false,"suffix":""},{"dropping-particle":"","family":"Morrison","given":"Keith","non-dropping-particle":"","parse-names":false,"suffix":""}],"container-title":"Research Methods in Education","id":"ITEM-1","issued":{"date-parts":[["2018"]]},"title":"Approaches to qualitative data analysis","type":"chapter"},"uris":["http://www.mendeley.com/documents/?uuid=5f5bb3f8-2376-4d45-af45-45dd766d424a"]}],"mendeley":{"formattedCitation":"[45]","plainTextFormattedCitation":"[45]","previouslyFormattedCitation":"[44]"},"properties":{"noteIndex":0},"schema":"https://github.com/citation-style-language/schema/raw/master/csl-citation.json"}</w:instrText>
      </w:r>
      <w:r>
        <w:fldChar w:fldCharType="separate"/>
      </w:r>
      <w:r w:rsidRPr="00656CB5">
        <w:rPr>
          <w:noProof/>
        </w:rPr>
        <w:t>[45]</w:t>
      </w:r>
      <w:r>
        <w:fldChar w:fldCharType="end"/>
      </w:r>
      <w:r>
        <w:t xml:space="preserve"> There are many recognised benefits to semi-structured interviews; allowing interviews to change words, but not meaning of a question while recognising that wording can impact an individual’s interpretation. They also allow for greater depth and understanding into participant response and give room to explore and clarify answers.</w:t>
      </w:r>
      <w:r>
        <w:fldChar w:fldCharType="begin" w:fldLock="1"/>
      </w:r>
      <w:r>
        <w:instrText>ADDIN CSL_CITATION {"citationItems":[{"id":"ITEM-1","itemData":{"DOI":"10.1111/j.1365-2648.1994.tb01088.x","ISSN":"13652648","PMID":"8188965","author":[{"dropping-particle":"","family":"Louise Barriball","given":"K.","non-dropping-particle":"","parse-names":false,"suffix":""},{"dropping-particle":"","family":"While","given":"Alison","non-dropping-particle":"","parse-names":false,"suffix":""}],"container-title":"Journal of Advanced Nursing","id":"ITEM-1","issued":{"date-parts":[["1994"]]},"title":"Collecting data using a semi‐structured interview: a discussion paper","type":"article-journal"},"uris":["http://www.mendeley.com/documents/?uuid=c00ae735-7699-4e13-b8d6-b28ee7ca2f52"]}],"mendeley":{"formattedCitation":"[47]","plainTextFormattedCitation":"[47]","previouslyFormattedCitation":"[46]"},"properties":{"noteIndex":0},"schema":"https://github.com/citation-style-language/schema/raw/master/csl-citation.json"}</w:instrText>
      </w:r>
      <w:r>
        <w:fldChar w:fldCharType="separate"/>
      </w:r>
      <w:r w:rsidRPr="00656CB5">
        <w:rPr>
          <w:noProof/>
        </w:rPr>
        <w:t>[47]</w:t>
      </w:r>
      <w:r>
        <w:fldChar w:fldCharType="end"/>
      </w:r>
      <w:r>
        <w:t xml:space="preserve"> As gestured by </w:t>
      </w:r>
      <w:r w:rsidRPr="009A15AB">
        <w:rPr>
          <w:i/>
          <w:iCs/>
        </w:rPr>
        <w:t>Cohen et al</w:t>
      </w:r>
      <w:r>
        <w:t>., one to one interviews can be conducive and offer a more comfortable environment to disclose information when compared to the group setting.</w:t>
      </w:r>
      <w:r>
        <w:fldChar w:fldCharType="begin" w:fldLock="1"/>
      </w:r>
      <w:r>
        <w:instrText>ADDIN CSL_CITATION {"citationItems":[{"id":"ITEM-1","itemData":{"DOI":"10.4324/9781315456539-15","author":[{"dropping-particle":"","family":"Cohen","given":"Louis","non-dropping-particle":"","parse-names":false,"suffix":""},{"dropping-particle":"","family":"Manion","given":"Lawrence","non-dropping-particle":"","parse-names":false,"suffix":""},{"dropping-particle":"","family":"Morrison","given":"Keith","non-dropping-particle":"","parse-names":false,"suffix":""},{"dropping-particle":"","family":"Cohen","given":"Louis","non-dropping-particle":"","parse-names":false,"suffix":""},{"dropping-particle":"","family":"Manion","given":"Lawrence","non-dropping-particle":"","parse-names":false,"suffix":""},{"dropping-particle":"","family":"Morrison","given":"Keith","non-dropping-particle":"","parse-names":false,"suffix":""}],"container-title":"Research Methods in Education","id":"ITEM-1","issued":{"date-parts":[["2018"]]},"title":"Qualitative, naturalistic and ethnographic research","type":"chapter"},"uris":["http://www.mendeley.com/documents/?uuid=b9c1a4f5-1435-4e53-b42d-75aad28b7d0a"]}],"mendeley":{"formattedCitation":"[48]","plainTextFormattedCitation":"[48]","previouslyFormattedCitation":"[47]"},"properties":{"noteIndex":0},"schema":"https://github.com/citation-style-language/schema/raw/master/csl-citation.json"}</w:instrText>
      </w:r>
      <w:r>
        <w:fldChar w:fldCharType="separate"/>
      </w:r>
      <w:r w:rsidRPr="00656CB5">
        <w:rPr>
          <w:noProof/>
        </w:rPr>
        <w:t>[48]</w:t>
      </w:r>
      <w:r>
        <w:fldChar w:fldCharType="end"/>
      </w:r>
      <w:r>
        <w:t xml:space="preserve"> Relevant sample size will be determined when data saturation has been met and no further new information is forthcoming.</w:t>
      </w:r>
      <w:r>
        <w:fldChar w:fldCharType="begin" w:fldLock="1"/>
      </w:r>
      <w:r>
        <w:instrText>ADDIN CSL_CITATION {"citationItems":[{"id":"ITEM-1","itemData":{"DOI":"10.4135/9781849208963","abstract":"Interviewing is an invaluable tool for the qualitative researcher. Steinar Kvale provides coverage of both the theoretical background and the practical aspects of the interview process, incorporating discussion of the wide variety of methods in interview based research and the different approaches to reading the data. Consideration is also given to the crucial issue of how to ensure scientific rigour.","author":[{"dropping-particle":"","family":"Kvale","given":"Steinar","non-dropping-particle":"","parse-names":false,"suffix":""}],"container-title":"Doing Interviews","id":"ITEM-1","issued":{"date-parts":[["2011"]]},"title":"Doing Interviews","type":"book"},"uris":["http://www.mendeley.com/documents/?uuid=70d07de6-7d63-4216-9ca1-5f8efcc43c59"]}],"mendeley":{"formattedCitation":"[25]","plainTextFormattedCitation":"[25]","previouslyFormattedCitation":"[25]"},"properties":{"noteIndex":0},"schema":"https://github.com/citation-style-language/schema/raw/master/csl-citation.json"}</w:instrText>
      </w:r>
      <w:r>
        <w:fldChar w:fldCharType="separate"/>
      </w:r>
      <w:r w:rsidRPr="00794CDD">
        <w:rPr>
          <w:noProof/>
        </w:rPr>
        <w:t>[25]</w:t>
      </w:r>
      <w:r>
        <w:fldChar w:fldCharType="end"/>
      </w:r>
      <w:r>
        <w:t xml:space="preserve"> On review of the literature, similar planned studies exhibited varied sample sizes, ranging from eleven to twenty participants.</w:t>
      </w:r>
      <w:r>
        <w:fldChar w:fldCharType="begin" w:fldLock="1"/>
      </w:r>
      <w:r>
        <w:instrText>ADDIN CSL_CITATION {"citationItems":[{"id":"ITEM-1","itemData":{"DOI":"10.1016/S2214-109X(20)30204-7","ISSN":"2214109X","PMID":"32573443","abstract":"Background: In the early stages of the outbreak of coronavirus disease 2019 (COVID-19) in Hubei, China, the local health-care system was overwhelmed. Physicians and nurses who had no infectious disease expertise were recruited to provide care to patients with COVID-19. To our knowledge, no studies on their experiences of combating COVID-19 have been published. We aimed to describe the experiences of these health-care providers in the early stages of the outbreak. Methods: We did a qualitative study using an empirical phenomenological approach. Nurses and physicians were recruited from five COVID-19-designated hospitals in Hubei province using purposive and snowball sampling. They participated in semi-structured, in-depth interviews by telephone from Feb 10 to Feb 15, 2020. Interviews were transcribed verbatim and analysed using Haase's adaptation of Colaizzi's phenomenological method. Findings: We recruited nine nurses and four physicians. Three theme categories emerged from data analysis. The first was “being fully responsible for patients' wellbeing—‘this is my duty’”. Health-care providers volunteered and tried their best to provide care for patients. Nurses had a crucial role in providing intensive care and assisting with activities of daily living. The second category was “challenges of working on COVID-19 wards”. Health-care providers were challenged by working in a totally new context, exhaustion due to heavy workloads and protective gear, the fear of becoming infected and infecting others, feeling powerless to handle patients' conditions, and managing relationships in this stressful situation. The third category was “resilience amid challenges”. Health-care providers identified many sources of social support and used self-management strategies to cope with the situation. They also achieved transcendence from this unique experience. Interpretation: The intensive work drained health-care providers physically and emotionally. Health-care providers showed their resilience and the spirit of professional dedication to overcome difficulties. Comprehensive support should be provided to safeguard the wellbeing of health-care providers. Regular and intensive training for all health-care providers is necessary to promote preparedness and efficacy in crisis management. Funding: National Key R&amp;D Program of China, Project of Humanities and Social Sciences of the Ministry of Education in China.","author":[{"dropping-particle":"","family":"Liu","given":"Qian","non-dropping-particle":"","parse-names":false,"suffix":""},{"dropping-particle":"","family":"Luo","given":"Dan","non-dropping-particle":"","parse-names":false,"suffix":""},{"dropping-particle":"","family":"Haase","given":"Joan E.","non-dropping-particle":"","parse-names":false,"suffix":""},{"dropping-particle":"","family":"Guo","given":"Qiaohong","non-dropping-particle":"","parse-names":false,"suffix":""},{"dropping-particle":"","family":"Wang","given":"Xiao Qin","non-dropping-particle":"","parse-names":false,"suffix":""},{"dropping-particle":"","family":"Liu","given":"Shuo","non-dropping-particle":"","parse-names":false,"suffix":""},{"dropping-particle":"","family":"Xia","given":"Lin","non-dropping-particle":"","parse-names":false,"suffix":""},{"dropping-particle":"","family":"Liu","given":"Zhongchun","non-dropping-particle":"","parse-names":false,"suffix":""},{"dropping-particle":"","family":"Yang","given":"Jiong","non-dropping-particle":"","parse-names":false,"suffix":""},{"dropping-particle":"","family":"Yang","given":"Bing Xiang","non-dropping-particle":"","parse-names":false,"suffix":""}],"container-title":"The Lancet Global Health","id":"ITEM-1","issued":{"date-parts":[["2020"]]},"title":"The experiences of health-care providers during the COVID-19 crisis in China: a qualitative study","type":"article-journal"},"uris":["http://www.mendeley.com/documents/?uuid=32e3569a-e287-4d9a-a6d5-891af9a1adeb"]},{"id":"ITEM-2","itemData":{"DOI":"10.1016/j.apnr.2021.151418","ISSN":"08971897","author":[{"dropping-particle":"","family":"Gordon","given":"Jacqueline M.","non-dropping-particle":"","parse-names":false,"suffix":""},{"dropping-particle":"","family":"Magbee","given":"Terry","non-dropping-particle":"","parse-names":false,"suffix":""},{"dropping-particle":"","family":"Yoder","given":"Linda H.","non-dropping-particle":"","parse-names":false,"suffix":""}],"container-title":"Applied Nursing Research","id":"ITEM-2","issued":{"date-parts":[["2021","3"]]},"page":"151418","title":"The experiences of critical care nurses caring for patients with COVID-19 during the 2020 pandemic: A qualitative study","type":"article-journal"},"uris":["http://www.mendeley.com/documents/?uuid=46361894-21bc-386c-a1e6-35454f0867bb"]},{"id":"ITEM-3","itemData":{"DOI":"10.1016/j.ajic.2020.03.018","ISSN":"15273296","PMID":"32334904","abstract":"Background: The coronavirus disease 2019 (COVID-19) is spreading rapidly, bringing pressure and challenges to nursing staff. Objective: To explore the psychology of nurses caring for COVID-19 patients. Methods: Using a phenomenological approach, we enrolled 20 nurses who provided care for COVID-19 patients in the First Affiliated Hospital of Henan University of Science and Technology from January 20, to February 10, 2020. The interviews were conducted face-to-face or by telephone and were analysed by Colaizzi's 7-step method. Results: The psychological experience of nurses caring for COVID-19 patients can be summarized into 4 themes. First, negative emotions present in early stage consisting of fatigue, discomfort, and helplessness was caused by high-intensity work, fear and anxiety, and concern for patients and family members. Second, self-coping styles included psychological and life adjustment, altruistic acts, team support, and rational cognition. Third, we found growth under pressure, which included increased affection and gratefulness, development of professional responsibility, and self-reflection. Finally, we showed that positive emotions occurred simultaneously with negative emotions. Conclusions: During an epidemic outbreak, positive and negative emotions of the front-line nurses interweaved and coexisted. In the early stage, negative emotions were dominant and positive emotions appeared gradually. Self-coping styles and psychological growth played an important role in maintaining mental health of nurses.","author":[{"dropping-particle":"","family":"Sun","given":"Niuniu","non-dropping-particle":"","parse-names":false,"suffix":""},{"dropping-particle":"","family":"Wei","given":"Luoqun","non-dropping-particle":"","parse-names":false,"suffix":""},{"dropping-particle":"","family":"Shi","given":"Suling","non-dropping-particle":"","parse-names":false,"suffix":""},{"dropping-particle":"","family":"Jiao","given":"Dandan","non-dropping-particle":"","parse-names":false,"suffix":""},{"dropping-particle":"","family":"Song","given":"Runluo","non-dropping-particle":"","parse-names":false,"suffix":""},{"dropping-particle":"","family":"Ma","given":"Lili","non-dropping-particle":"","parse-names":false,"suffix":""},{"dropping-particle":"","family":"Wang","given":"Hongwei","non-dropping-particle":"","parse-names":false,"suffix":""},{"dropping-particle":"","family":"Wang","given":"Chao","non-dropping-particle":"","parse-names":false,"suffix":""},{"dropping-particle":"","family":"Wang","given":"Zhaoguo","non-dropping-particle":"","parse-names":false,"suffix":""},{"dropping-particle":"","family":"You","given":"Yanli","non-dropping-particle":"","parse-names":false,"suffix":""},{"dropping-particle":"","family":"Liu","given":"Shuhua","non-dropping-particle":"","parse-names":false,"suffix":""},{"dropping-particle":"","family":"Wang","given":"Hongyun","non-dropping-particle":"","parse-names":false,"suffix":""}],"container-title":"American Journal of Infection Control","id":"ITEM-3","issued":{"date-parts":[["2020"]]},"title":"A qualitative study on the psychological experience of caregivers of COVID-19 patients","type":"article-journal"},"uris":["http://www.mendeley.com/documents/?uuid=765656d6-30d3-4d51-b54e-b016d6a6cc8b"]}],"mendeley":{"formattedCitation":"[26]–[28]","plainTextFormattedCitation":"[26]–[28]","previouslyFormattedCitation":"[26]–[28]"},"properties":{"noteIndex":0},"schema":"https://github.com/citation-style-language/schema/raw/master/csl-citation.json"}</w:instrText>
      </w:r>
      <w:r>
        <w:fldChar w:fldCharType="separate"/>
      </w:r>
      <w:r w:rsidRPr="00794CDD">
        <w:rPr>
          <w:noProof/>
        </w:rPr>
        <w:t>[26]–[28]</w:t>
      </w:r>
      <w:r>
        <w:fldChar w:fldCharType="end"/>
      </w:r>
      <w:r>
        <w:t xml:space="preserve"> The proposed sample for this study is for a minimum of eight and maximum of fifteen interviews.</w:t>
      </w:r>
    </w:p>
    <w:p w14:paraId="12893D93" w14:textId="77777777" w:rsidR="00B17F1B" w:rsidRPr="0068320D" w:rsidRDefault="00B17F1B" w:rsidP="00B17F1B">
      <w:r w:rsidRPr="0068320D">
        <w:t xml:space="preserve">Limitations </w:t>
      </w:r>
      <w:r>
        <w:t xml:space="preserve">of the data collection style </w:t>
      </w:r>
      <w:r w:rsidRPr="0068320D">
        <w:t xml:space="preserve">are that small sample size </w:t>
      </w:r>
      <w:r>
        <w:t>may impact generalisability of results</w:t>
      </w:r>
      <w:r w:rsidRPr="0068320D">
        <w:t xml:space="preserve"> and </w:t>
      </w:r>
      <w:r>
        <w:t xml:space="preserve">in person </w:t>
      </w:r>
      <w:r w:rsidRPr="0068320D">
        <w:t xml:space="preserve">face-to-face interview may, in theory, be more informative than </w:t>
      </w:r>
      <w:r>
        <w:t>via technology platform</w:t>
      </w:r>
      <w:r w:rsidRPr="0068320D">
        <w:t xml:space="preserve">. This method </w:t>
      </w:r>
      <w:r>
        <w:t>also</w:t>
      </w:r>
      <w:r w:rsidRPr="0068320D">
        <w:t xml:space="preserve"> exclude</w:t>
      </w:r>
      <w:r>
        <w:t>s</w:t>
      </w:r>
      <w:r w:rsidRPr="0068320D">
        <w:t xml:space="preserve"> participant</w:t>
      </w:r>
      <w:r>
        <w:t>s</w:t>
      </w:r>
      <w:r w:rsidRPr="0068320D">
        <w:t xml:space="preserve"> who do not have access to technology </w:t>
      </w:r>
      <w:r>
        <w:t xml:space="preserve">and </w:t>
      </w:r>
      <w:r w:rsidRPr="0068320D">
        <w:t>may result in a non-represent</w:t>
      </w:r>
      <w:r>
        <w:t>at</w:t>
      </w:r>
      <w:r w:rsidRPr="0068320D">
        <w:t>ive sample. Recruitment may be difficult given the time commitment needed by participants for interview. Keep</w:t>
      </w:r>
      <w:r>
        <w:t>ing</w:t>
      </w:r>
      <w:r w:rsidRPr="0068320D">
        <w:t xml:space="preserve"> focus during semi-structured interviews can be challenging with participants going off topic or focusing on one area/answer of the interview.</w:t>
      </w:r>
      <w:r>
        <w:t xml:space="preserve"> </w:t>
      </w:r>
    </w:p>
    <w:p w14:paraId="360BDC63" w14:textId="77777777" w:rsidR="00B17F1B" w:rsidRDefault="00B17F1B" w:rsidP="00B17F1B">
      <w:pPr>
        <w:rPr>
          <w:b/>
          <w:bCs/>
        </w:rPr>
      </w:pPr>
    </w:p>
    <w:p w14:paraId="00128D59" w14:textId="77777777" w:rsidR="00B17F1B" w:rsidRPr="00674AE9" w:rsidRDefault="00B17F1B" w:rsidP="00B17F1B">
      <w:pPr>
        <w:rPr>
          <w:color w:val="000000" w:themeColor="text1"/>
        </w:rPr>
      </w:pPr>
      <w:r w:rsidRPr="00674AE9">
        <w:t xml:space="preserve">Prior to commencement of interviews I plan to complete a pilot interview. A suitable participant will be sought and the aim of the interview will be to evaluate the topic guide and make appropriate chances and refinement. The topic guide includes </w:t>
      </w:r>
      <w:r w:rsidRPr="00674AE9">
        <w:rPr>
          <w:color w:val="000000" w:themeColor="text1"/>
        </w:rPr>
        <w:t>questions on perception</w:t>
      </w:r>
      <w:r>
        <w:rPr>
          <w:color w:val="000000" w:themeColor="text1"/>
        </w:rPr>
        <w:t>s and exposure to</w:t>
      </w:r>
      <w:r w:rsidRPr="00674AE9">
        <w:rPr>
          <w:color w:val="000000" w:themeColor="text1"/>
        </w:rPr>
        <w:t xml:space="preserve"> telehealth, barriers, impact on training as a medical NCHD</w:t>
      </w:r>
      <w:r>
        <w:rPr>
          <w:color w:val="000000" w:themeColor="text1"/>
        </w:rPr>
        <w:t xml:space="preserve"> (</w:t>
      </w:r>
      <w:r w:rsidRPr="00701C04">
        <w:rPr>
          <w:i/>
          <w:iCs/>
          <w:color w:val="000000" w:themeColor="text1"/>
        </w:rPr>
        <w:t>Appendix 5</w:t>
      </w:r>
      <w:r>
        <w:rPr>
          <w:color w:val="000000" w:themeColor="text1"/>
        </w:rPr>
        <w:t>).</w:t>
      </w:r>
    </w:p>
    <w:p w14:paraId="62C53877" w14:textId="77777777" w:rsidR="00B17F1B" w:rsidRDefault="00B17F1B" w:rsidP="00B17F1B">
      <w:pPr>
        <w:rPr>
          <w:color w:val="000000" w:themeColor="text1"/>
        </w:rPr>
      </w:pPr>
    </w:p>
    <w:p w14:paraId="431422B8" w14:textId="77777777" w:rsidR="00B17F1B" w:rsidRPr="00674AE9" w:rsidRDefault="00B17F1B" w:rsidP="00B17F1B">
      <w:pPr>
        <w:rPr>
          <w:color w:val="000000" w:themeColor="text1"/>
        </w:rPr>
      </w:pPr>
      <w:r w:rsidRPr="00674AE9">
        <w:rPr>
          <w:color w:val="000000" w:themeColor="text1"/>
        </w:rPr>
        <w:t xml:space="preserve">In an attempt to maximize the validity and data analysis, interviews will be transcribed to text. </w:t>
      </w:r>
      <w:r>
        <w:rPr>
          <w:color w:val="000000" w:themeColor="text1"/>
        </w:rPr>
        <w:t xml:space="preserve">Notes taken by the interviewer during interview will also be summarized and transcribed to text format. </w:t>
      </w:r>
      <w:r w:rsidRPr="00674AE9">
        <w:rPr>
          <w:color w:val="000000" w:themeColor="text1"/>
        </w:rPr>
        <w:t>All participants will be given the option to review their interview transcript and given the opportunity to change, omit or rectify errors or responses.</w:t>
      </w:r>
    </w:p>
    <w:p w14:paraId="7684CD20" w14:textId="77777777" w:rsidR="00B17F1B" w:rsidRDefault="00B17F1B" w:rsidP="00B17F1B">
      <w:pPr>
        <w:rPr>
          <w:b/>
          <w:bCs/>
          <w:color w:val="631C5F"/>
        </w:rPr>
      </w:pPr>
    </w:p>
    <w:p w14:paraId="5FBE2E1F" w14:textId="77777777" w:rsidR="00B17F1B" w:rsidRDefault="00B17F1B" w:rsidP="00B17F1B">
      <w:pPr>
        <w:rPr>
          <w:b/>
          <w:bCs/>
          <w:color w:val="631C5F"/>
        </w:rPr>
      </w:pPr>
    </w:p>
    <w:p w14:paraId="1DFC51E0" w14:textId="77777777" w:rsidR="00B17F1B" w:rsidRPr="00B769AB" w:rsidRDefault="00B17F1B" w:rsidP="00B17F1B">
      <w:pPr>
        <w:rPr>
          <w:b/>
          <w:bCs/>
          <w:color w:val="000000" w:themeColor="text1"/>
        </w:rPr>
      </w:pPr>
      <w:r w:rsidRPr="00B769AB">
        <w:rPr>
          <w:b/>
          <w:bCs/>
          <w:color w:val="000000" w:themeColor="text1"/>
        </w:rPr>
        <w:t>DATA ANALYSIS</w:t>
      </w:r>
    </w:p>
    <w:p w14:paraId="73DDC674" w14:textId="77777777" w:rsidR="00B17F1B" w:rsidRDefault="00B17F1B" w:rsidP="00B17F1B">
      <w:pPr>
        <w:ind w:left="10" w:hanging="10"/>
        <w:rPr>
          <w:color w:val="000000" w:themeColor="text1"/>
        </w:rPr>
      </w:pPr>
      <w:r>
        <w:rPr>
          <w:noProof/>
          <w:color w:val="000000" w:themeColor="text1"/>
          <w:lang w:eastAsia="en-IE"/>
        </w:rPr>
        <mc:AlternateContent>
          <mc:Choice Requires="wps">
            <w:drawing>
              <wp:anchor distT="0" distB="0" distL="114300" distR="114300" simplePos="0" relativeHeight="251660288" behindDoc="0" locked="0" layoutInCell="1" allowOverlap="1" wp14:anchorId="327428CD" wp14:editId="2D4E0B54">
                <wp:simplePos x="0" y="0"/>
                <wp:positionH relativeFrom="column">
                  <wp:posOffset>5437816</wp:posOffset>
                </wp:positionH>
                <wp:positionV relativeFrom="paragraph">
                  <wp:posOffset>3284855</wp:posOffset>
                </wp:positionV>
                <wp:extent cx="403122" cy="245807"/>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03122" cy="245807"/>
                        </a:xfrm>
                        <a:prstGeom prst="rect">
                          <a:avLst/>
                        </a:prstGeom>
                        <a:noFill/>
                        <a:ln w="6350">
                          <a:noFill/>
                        </a:ln>
                      </wps:spPr>
                      <wps:txbx>
                        <w:txbxContent>
                          <w:p w14:paraId="79261AB5" w14:textId="77777777" w:rsidR="00B17F1B" w:rsidRPr="00185ACD" w:rsidRDefault="00B17F1B" w:rsidP="00B17F1B">
                            <w:pPr>
                              <w:rPr>
                                <w:sz w:val="14"/>
                                <w:szCs w:val="14"/>
                              </w:rPr>
                            </w:pPr>
                            <w:r w:rsidRPr="00185ACD">
                              <w:rPr>
                                <w:sz w:val="14"/>
                                <w:szCs w:val="14"/>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428CD" id="_x0000_t202" coordsize="21600,21600" o:spt="202" path="m,l,21600r21600,l21600,xe">
                <v:stroke joinstyle="miter"/>
                <v:path gradientshapeok="t" o:connecttype="rect"/>
              </v:shapetype>
              <v:shape id="Text Box 11" o:spid="_x0000_s1026" type="#_x0000_t202" style="position:absolute;left:0;text-align:left;margin-left:428.15pt;margin-top:258.65pt;width:31.75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" filled="f" stroked="f" strokeweight=".5pt">
                <v:textbox>
                  <w:txbxContent>
                    <w:p w14:paraId="79261AB5" w14:textId="77777777" w:rsidR="00B17F1B" w:rsidRPr="00185ACD" w:rsidRDefault="00B17F1B" w:rsidP="00B17F1B">
                      <w:pPr>
                        <w:rPr>
                          <w:sz w:val="14"/>
                          <w:szCs w:val="14"/>
                        </w:rPr>
                      </w:pPr>
                      <w:r w:rsidRPr="00185ACD">
                        <w:rPr>
                          <w:sz w:val="14"/>
                          <w:szCs w:val="14"/>
                        </w:rPr>
                        <w:t>16</w:t>
                      </w:r>
                    </w:p>
                  </w:txbxContent>
                </v:textbox>
              </v:shape>
            </w:pict>
          </mc:Fallback>
        </mc:AlternateContent>
      </w:r>
      <w:r w:rsidRPr="00EB2982">
        <w:rPr>
          <w:noProof/>
          <w:lang w:eastAsia="en-IE"/>
        </w:rPr>
        <w:drawing>
          <wp:anchor distT="0" distB="0" distL="114300" distR="114300" simplePos="0" relativeHeight="251659264" behindDoc="1" locked="0" layoutInCell="1" allowOverlap="1" wp14:anchorId="26155A9A" wp14:editId="1C418B8E">
            <wp:simplePos x="0" y="0"/>
            <wp:positionH relativeFrom="column">
              <wp:posOffset>2427051</wp:posOffset>
            </wp:positionH>
            <wp:positionV relativeFrom="paragraph">
              <wp:posOffset>959485</wp:posOffset>
            </wp:positionV>
            <wp:extent cx="3485515" cy="2567940"/>
            <wp:effectExtent l="0" t="0" r="0" b="0"/>
            <wp:wrapTight wrapText="bothSides">
              <wp:wrapPolygon edited="0">
                <wp:start x="0" y="0"/>
                <wp:lineTo x="0" y="21472"/>
                <wp:lineTo x="21486" y="21472"/>
                <wp:lineTo x="21486" y="0"/>
                <wp:lineTo x="0" y="0"/>
              </wp:wrapPolygon>
            </wp:wrapTight>
            <wp:docPr id="4" name="Picture 4" descr="Thematic Analysis Dr. Rania Albsoul.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matic Analysis Dr. Rania Albsoul. - ppt download"/>
                    <pic:cNvPicPr>
                      <a:picLocks noChangeAspect="1" noChangeArrowheads="1"/>
                    </pic:cNvPicPr>
                  </pic:nvPicPr>
                  <pic:blipFill rotWithShape="1">
                    <a:blip r:embed="rId5">
                      <a:duotone>
                        <a:schemeClr val="accent2">
                          <a:shade val="45000"/>
                          <a:satMod val="135000"/>
                        </a:schemeClr>
                        <a:prstClr val="white"/>
                      </a:duotone>
                      <a:extLst>
                        <a:ext uri="{BEBA8EAE-BF5A-486C-A8C5-ECC9F3942E4B}">
                          <a14:imgProps xmlns:a14="http://schemas.microsoft.com/office/drawing/2010/main">
                            <a14:imgLayer r:embed="rId6">
                              <a14:imgEffect>
                                <a14:colorTemperature colorTemp="11200"/>
                              </a14:imgEffect>
                            </a14:imgLayer>
                          </a14:imgProps>
                        </a:ext>
                        <a:ext uri="{28A0092B-C50C-407E-A947-70E740481C1C}">
                          <a14:useLocalDpi xmlns:a14="http://schemas.microsoft.com/office/drawing/2010/main" val="0"/>
                        </a:ext>
                      </a:extLst>
                    </a:blip>
                    <a:srcRect l="39799" t="15252" b="16406"/>
                    <a:stretch/>
                  </pic:blipFill>
                  <pic:spPr bwMode="auto">
                    <a:xfrm>
                      <a:off x="0" y="0"/>
                      <a:ext cx="3485515" cy="2567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themeColor="text1"/>
        </w:rPr>
        <w:t>Data</w:t>
      </w:r>
      <w:r w:rsidRPr="00EB2982">
        <w:rPr>
          <w:color w:val="000000" w:themeColor="text1"/>
        </w:rPr>
        <w:t xml:space="preserve"> analysis </w:t>
      </w:r>
      <w:r>
        <w:rPr>
          <w:color w:val="000000" w:themeColor="text1"/>
        </w:rPr>
        <w:t xml:space="preserve">is central to credible, good quality research and </w:t>
      </w:r>
      <w:r w:rsidRPr="00EB2982">
        <w:rPr>
          <w:color w:val="000000" w:themeColor="text1"/>
        </w:rPr>
        <w:t>begins with reading and interpretating the data.</w:t>
      </w:r>
      <w:r>
        <w:rPr>
          <w:color w:val="000000" w:themeColor="text1"/>
        </w:rPr>
        <w:fldChar w:fldCharType="begin" w:fldLock="1"/>
      </w:r>
      <w:r>
        <w:rPr>
          <w:color w:val="000000" w:themeColor="text1"/>
        </w:rPr>
        <w:instrText>ADDIN CSL_CITATION {"citationItems":[{"id":"ITEM-1","itemData":{"ISBN":"9788578110796","ISSN":"1098-6596","PMID":"25246403","abstract":"Too often, qualitative researchers rely on the presentation of key themes supported by quotes from participants’ text as the primary form of analysis and reporting of their data. In this paper I argue that qualitative data require and support much deeper analysis. Strategies that might assist researchers to enrich their analysis of qualitative data are described. These strategies include improving interpretation and naming of categories; using comparison and pattern analysis to refine and relate categories or themes; using divergent views and negative cases to challenge generalisations; returning to substantive, theoretical or methodological literature; creating displays using matrices, graphs, flow charts and models; and using writing itself to prompt deeper thinking. Each strategy is illustrated by examples","author":[{"dropping-particle":"","family":"Bazeley","given":"Pat","non-dropping-particle":"","parse-names":false,"suffix":""}],"container-title":"Malaysian Journal of Qualitative Research,","id":"ITEM-1","issued":{"date-parts":[["2009"]]},"title":"Analysing Qualitative Data: More than Indentifying Themes","type":"article-journal"},"uris":["http://www.mendeley.com/documents/?uuid=861837eb-2b58-45dd-9ca7-e6264f6651fb"]}],"mendeley":{"formattedCitation":"[49]","plainTextFormattedCitation":"[49]","previouslyFormattedCitation":"[48]"},"properties":{"noteIndex":0},"schema":"https://github.com/citation-style-language/schema/raw/master/csl-citation.json"}</w:instrText>
      </w:r>
      <w:r>
        <w:rPr>
          <w:color w:val="000000" w:themeColor="text1"/>
        </w:rPr>
        <w:fldChar w:fldCharType="separate"/>
      </w:r>
      <w:r w:rsidRPr="00656CB5">
        <w:rPr>
          <w:noProof/>
          <w:color w:val="000000" w:themeColor="text1"/>
        </w:rPr>
        <w:t>[49]</w:t>
      </w:r>
      <w:r>
        <w:rPr>
          <w:color w:val="000000" w:themeColor="text1"/>
        </w:rPr>
        <w:fldChar w:fldCharType="end"/>
      </w:r>
      <w:r>
        <w:rPr>
          <w:color w:val="000000" w:themeColor="text1"/>
        </w:rPr>
        <w:t xml:space="preserve"> As aforementioned, data analysis will be conducted using </w:t>
      </w:r>
      <w:r w:rsidRPr="00387B95">
        <w:rPr>
          <w:i/>
          <w:iCs/>
          <w:color w:val="000000" w:themeColor="text1"/>
        </w:rPr>
        <w:t xml:space="preserve">Braun and Clarkes </w:t>
      </w:r>
      <w:r>
        <w:rPr>
          <w:color w:val="000000" w:themeColor="text1"/>
        </w:rPr>
        <w:t>phases of thematic analysis</w:t>
      </w:r>
      <w:r>
        <w:rPr>
          <w:color w:val="000000" w:themeColor="text1"/>
        </w:rPr>
        <w:fldChar w:fldCharType="begin" w:fldLock="1"/>
      </w:r>
      <w:r>
        <w:rPr>
          <w:color w:val="000000" w:themeColor="text1"/>
        </w:rPr>
        <w:instrText>ADDIN CSL_CITATION {"citationItems":[{"id":"ITEM-1","itemData":{"DOI":"10.1191/1478088706qp063oa","ISSN":"14780887","abstract":"Thematic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 © 2006 Edward Arnold (Publishers) Ltd.","author":[{"dropping-particle":"","family":"Braun","given":"Virginia","non-dropping-particle":"","parse-names":false,"suffix":""},{"dropping-particle":"","family":"Clarke","given":"Victoria","non-dropping-particle":"","parse-names":false,"suffix":""}],"container-title":"Qualitative Research in Psychology","id":"ITEM-1","issued":{"date-parts":[["2006"]]},"title":"Using thematic analysis in psychology","type":"article-journal"},"uris":["http://www.mendeley.com/documents/?uuid=abb998c7-ff4a-43f5-a641-5327b18ec9fb"]}],"mendeley":{"formattedCitation":"[29]","plainTextFormattedCitation":"[29]","previouslyFormattedCitation":"[29]"},"properties":{"noteIndex":0},"schema":"https://github.com/citation-style-language/schema/raw/master/csl-citation.json"}</w:instrText>
      </w:r>
      <w:r>
        <w:rPr>
          <w:color w:val="000000" w:themeColor="text1"/>
        </w:rPr>
        <w:fldChar w:fldCharType="separate"/>
      </w:r>
      <w:r w:rsidRPr="00794CDD">
        <w:rPr>
          <w:noProof/>
          <w:color w:val="000000" w:themeColor="text1"/>
        </w:rPr>
        <w:t>[29]</w:t>
      </w:r>
      <w:r>
        <w:rPr>
          <w:color w:val="000000" w:themeColor="text1"/>
        </w:rPr>
        <w:fldChar w:fldCharType="end"/>
      </w:r>
      <w:r>
        <w:rPr>
          <w:color w:val="000000" w:themeColor="text1"/>
        </w:rPr>
        <w:t>. I have learned that thematic analysis is the process of “identifying patterns or themes” within qualitative data.</w:t>
      </w:r>
      <w:r>
        <w:rPr>
          <w:color w:val="000000" w:themeColor="text1"/>
        </w:rPr>
        <w:fldChar w:fldCharType="begin" w:fldLock="1"/>
      </w:r>
      <w:r>
        <w:rPr>
          <w:color w:val="000000" w:themeColor="text1"/>
        </w:rPr>
        <w:instrText>ADDIN CSL_CITATION {"citationItems":[{"id":"ITEM-1","itemData":{"abstract":"Data analysis is central to credible qualitative research. Indeed the qualitative researcher is often described as the research instrument insofar as his or her ability to understand, describe and interpret experiences and perceptions is key to uncovering meaning in particular circumstances and contexts. While much has been written about qualitative analysis from a theoretical perspective we noticed that often novice, and even more experienced researchers, grapple with the ‘how’ of qualitative analysis. Here we draw on Braun and Clarke’s (2006) framework and apply it in a systematic manner to describe and explain the process of analysis within the context of learning and teaching research. We illustrate the process using a worked example based on (with permission) a short extract from a focus group interview, conducted with undergraduate students.","author":[{"dropping-particle":"","family":"Maguire","given":"Moira","non-dropping-particle":"","parse-names":false,"suffix":""},{"dropping-particle":"","family":"Delahunt","given":"Brid","non-dropping-particle":"","parse-names":false,"suffix":""}],"container-title":"All Ireland Journal of Teaching and Learning in Higher Education n (AISHE-J)","id":"ITEM-1","issued":{"date-parts":[["2017"]]},"title":"Doing a Thematic Analysis: A Practical, Step-by-Step Guide for Learning and Teaching Scholars. All Ireland Journal of Teaching and Learning in Higher Education","type":"article-journal"},"uris":["http://www.mendeley.com/documents/?uuid=9049ebfb-d2ae-4525-a3aa-17996545c114"]}],"mendeley":{"formattedCitation":"[50]","plainTextFormattedCitation":"[50]","previouslyFormattedCitation":"[49]"},"properties":{"noteIndex":0},"schema":"https://github.com/citation-style-language/schema/raw/master/csl-citation.json"}</w:instrText>
      </w:r>
      <w:r>
        <w:rPr>
          <w:color w:val="000000" w:themeColor="text1"/>
        </w:rPr>
        <w:fldChar w:fldCharType="separate"/>
      </w:r>
      <w:r w:rsidRPr="00656CB5">
        <w:rPr>
          <w:noProof/>
          <w:color w:val="000000" w:themeColor="text1"/>
        </w:rPr>
        <w:t>[50]</w:t>
      </w:r>
      <w:r>
        <w:rPr>
          <w:color w:val="000000" w:themeColor="text1"/>
        </w:rPr>
        <w:fldChar w:fldCharType="end"/>
      </w:r>
      <w:r>
        <w:rPr>
          <w:color w:val="000000" w:themeColor="text1"/>
        </w:rPr>
        <w:t xml:space="preserve"> This six phase framework is summarized in the neighbouring figure. </w:t>
      </w:r>
      <w:r w:rsidRPr="00EB2982">
        <w:fldChar w:fldCharType="begin"/>
      </w:r>
      <w:r w:rsidRPr="00EB2982">
        <w:instrText xml:space="preserve"> INCLUDEPICTURE "https://slideplayer.com/slide/17648124/105/images/6/Braun+%26+Clarke%E2%80%99s+six-phase+framework+for+doing+a+thematic+analysis.jpg" \* MERGEFORMATINET </w:instrText>
      </w:r>
      <w:r w:rsidRPr="00EB2982">
        <w:fldChar w:fldCharType="end"/>
      </w:r>
      <w:r>
        <w:rPr>
          <w:color w:val="000000" w:themeColor="text1"/>
        </w:rPr>
        <w:t xml:space="preserve">There are many advantages to this form of analysis. It is clear and user friendly and by familiarizing oneself with this framework it proves useful in future adoption of other </w:t>
      </w:r>
      <w:r>
        <w:rPr>
          <w:color w:val="000000" w:themeColor="text1"/>
        </w:rPr>
        <w:lastRenderedPageBreak/>
        <w:t>forms of analysis. In addition it can be described as a method rather than a methodology, in other words, it is not tied to any one particular theoretical or epistemological perspective, making it a very flexible.</w:t>
      </w:r>
      <w:r>
        <w:rPr>
          <w:color w:val="000000" w:themeColor="text1"/>
        </w:rPr>
        <w:fldChar w:fldCharType="begin" w:fldLock="1"/>
      </w:r>
      <w:r>
        <w:rPr>
          <w:color w:val="000000" w:themeColor="text1"/>
        </w:rPr>
        <w:instrText>ADDIN CSL_CITATION {"citationItems":[{"id":"ITEM-1","itemData":{"abstract":"Data analysis is central to credible qualitative research. Indeed the qualitative researcher is often described as the research instrument insofar as his or her ability to understand, describe and interpret experiences and perceptions is key to uncovering meaning in particular circumstances and contexts. While much has been written about qualitative analysis from a theoretical perspective we noticed that often novice, and even more experienced researchers, grapple with the ‘how’ of qualitative analysis. Here we draw on Braun and Clarke’s (2006) framework and apply it in a systematic manner to describe and explain the process of analysis within the context of learning and teaching research. We illustrate the process using a worked example based on (with permission) a short extract from a focus group interview, conducted with undergraduate students.","author":[{"dropping-particle":"","family":"Maguire","given":"Moira","non-dropping-particle":"","parse-names":false,"suffix":""},{"dropping-particle":"","family":"Delahunt","given":"Brid","non-dropping-particle":"","parse-names":false,"suffix":""}],"container-title":"All Ireland Journal of Teaching and Learning in Higher Education n (AISHE-J)","id":"ITEM-1","issued":{"date-parts":[["2017"]]},"title":"Doing a Thematic Analysis: A Practical, Step-by-Step Guide for Learning and Teaching Scholars. All Ireland Journal of Teaching and Learning in Higher Education","type":"article-journal"},"uris":["http://www.mendeley.com/documents/?uuid=9049ebfb-d2ae-4525-a3aa-17996545c114"]},{"id":"ITEM-2","itemData":{"DOI":"10.1080/2159676X.2019.1628806","ISSN":"1939845X","abstract":"Since initially writing on thematic analysis in 2006, the popularity of the method we outlined has exploded, the variety of TA approaches have expanded, and, not least, our thinking has developed and shifted. In this reflexive commentary, we look back at some of the unspoken assumptions that informed how we wrote our 2006 paper. We connect some of these un-identified assumptions, and developments in the method over the years, with some conceptual mismatches and confusions we see in published TA studies. In order to facilitate better TA practice, we reflect on how our thinking has evolved–and in some cases sedimented–since the publication of our 2006 paper, and clarify and revise some of the ways we phrased or conceptualised TA, and the elements of, and processes around, a method we now prefer to call reflexive TA.","author":[{"dropping-particle":"","family":"Braun","given":"Virginia","non-dropping-particle":"","parse-names":false,"suffix":""},{"dropping-particle":"","family":"Clarke","given":"Victoria","non-dropping-particle":"","parse-names":false,"suffix":""}],"container-title":"Qualitative Research in Sport, Exercise and Health","id":"ITEM-2","issued":{"date-parts":[["2019"]]},"title":"Reflecting on reflexive thematic analysis","type":"article"},"uris":["http://www.mendeley.com/documents/?uuid=49b1fb66-40b7-40a4-a0d3-d6b9a1b22466"]}],"mendeley":{"formattedCitation":"[50], [51]","plainTextFormattedCitation":"[50], [51]","previouslyFormattedCitation":"[49], [50]"},"properties":{"noteIndex":0},"schema":"https://github.com/citation-style-language/schema/raw/master/csl-citation.json"}</w:instrText>
      </w:r>
      <w:r>
        <w:rPr>
          <w:color w:val="000000" w:themeColor="text1"/>
        </w:rPr>
        <w:fldChar w:fldCharType="separate"/>
      </w:r>
      <w:r w:rsidRPr="00656CB5">
        <w:rPr>
          <w:noProof/>
          <w:color w:val="000000" w:themeColor="text1"/>
        </w:rPr>
        <w:t>[50], [51]</w:t>
      </w:r>
      <w:r>
        <w:rPr>
          <w:color w:val="000000" w:themeColor="text1"/>
        </w:rPr>
        <w:fldChar w:fldCharType="end"/>
      </w:r>
      <w:r>
        <w:rPr>
          <w:color w:val="000000" w:themeColor="text1"/>
        </w:rPr>
        <w:t xml:space="preserve"> A difficulty and pitfall to recognise prior to analysis is the utilization of main interview questions as themes, simply summarizing and organising data rather than analysing.</w:t>
      </w:r>
      <w:r>
        <w:rPr>
          <w:color w:val="000000" w:themeColor="text1"/>
        </w:rPr>
        <w:fldChar w:fldCharType="begin" w:fldLock="1"/>
      </w:r>
      <w:r>
        <w:rPr>
          <w:color w:val="000000" w:themeColor="text1"/>
        </w:rPr>
        <w:instrText>ADDIN CSL_CITATION {"citationItems":[{"id":"ITEM-1","itemData":{"DOI":"10.1080/17439760.2016.1262613","ISSN":"17439779","author":[{"dropping-particle":"","family":"Clarke","given":"Victoria","non-dropping-particle":"","parse-names":false,"suffix":""},{"dropping-particle":"","family":"Braun","given":"Virginia","non-dropping-particle":"","parse-names":false,"suffix":""}],"container-title":"Journal of Positive Psychology","id":"ITEM-1","issued":{"date-parts":[["2017"]]},"title":"Thematic analysis","type":"article"},"uris":["http://www.mendeley.com/documents/?uuid=6e3b6b44-c064-4d86-a737-b54ab78be8b7"]}],"mendeley":{"formattedCitation":"[52]","plainTextFormattedCitation":"[52]","previouslyFormattedCitation":"[51]"},"properties":{"noteIndex":0},"schema":"https://github.com/citation-style-language/schema/raw/master/csl-citation.json"}</w:instrText>
      </w:r>
      <w:r>
        <w:rPr>
          <w:color w:val="000000" w:themeColor="text1"/>
        </w:rPr>
        <w:fldChar w:fldCharType="separate"/>
      </w:r>
      <w:r w:rsidRPr="00656CB5">
        <w:rPr>
          <w:noProof/>
          <w:color w:val="000000" w:themeColor="text1"/>
        </w:rPr>
        <w:t>[52]</w:t>
      </w:r>
      <w:r>
        <w:rPr>
          <w:color w:val="000000" w:themeColor="text1"/>
        </w:rPr>
        <w:fldChar w:fldCharType="end"/>
      </w:r>
    </w:p>
    <w:p w14:paraId="1E13464E" w14:textId="77777777" w:rsidR="00B17F1B" w:rsidRDefault="00B17F1B" w:rsidP="00B17F1B">
      <w:pPr>
        <w:rPr>
          <w:color w:val="000000" w:themeColor="text1"/>
        </w:rPr>
      </w:pPr>
    </w:p>
    <w:p w14:paraId="647CE30B" w14:textId="77777777" w:rsidR="00B17F1B" w:rsidRDefault="00B17F1B" w:rsidP="00B17F1B">
      <w:pPr>
        <w:rPr>
          <w:color w:val="000000" w:themeColor="text1"/>
        </w:rPr>
      </w:pPr>
    </w:p>
    <w:p w14:paraId="261F0C7E" w14:textId="77777777" w:rsidR="00B17F1B" w:rsidRDefault="00B17F1B" w:rsidP="00B17F1B">
      <w:pPr>
        <w:rPr>
          <w:color w:val="000000" w:themeColor="text1"/>
        </w:rPr>
      </w:pPr>
    </w:p>
    <w:p w14:paraId="102EFC0B" w14:textId="77777777" w:rsidR="00B17F1B" w:rsidRDefault="00B17F1B" w:rsidP="00B17F1B">
      <w:pPr>
        <w:rPr>
          <w:color w:val="000000" w:themeColor="text1"/>
        </w:rPr>
      </w:pPr>
    </w:p>
    <w:p w14:paraId="7587E34C" w14:textId="77777777" w:rsidR="00B17F1B" w:rsidRDefault="00B17F1B" w:rsidP="00B17F1B">
      <w:pPr>
        <w:rPr>
          <w:color w:val="000000" w:themeColor="text1"/>
        </w:rPr>
      </w:pPr>
    </w:p>
    <w:p w14:paraId="7927C860" w14:textId="77777777" w:rsidR="00B17F1B" w:rsidRDefault="00B17F1B" w:rsidP="00B17F1B">
      <w:pPr>
        <w:rPr>
          <w:color w:val="000000" w:themeColor="text1"/>
        </w:rPr>
      </w:pPr>
    </w:p>
    <w:p w14:paraId="063F0F21" w14:textId="77777777" w:rsidR="00B17F1B" w:rsidRDefault="00B17F1B" w:rsidP="00B17F1B">
      <w:pPr>
        <w:rPr>
          <w:color w:val="000000" w:themeColor="text1"/>
        </w:rPr>
      </w:pPr>
    </w:p>
    <w:p w14:paraId="3C340908" w14:textId="77777777" w:rsidR="00B17F1B" w:rsidRDefault="00B17F1B" w:rsidP="00B17F1B">
      <w:pPr>
        <w:rPr>
          <w:color w:val="000000" w:themeColor="text1"/>
        </w:rPr>
      </w:pPr>
    </w:p>
    <w:p w14:paraId="334B398B" w14:textId="77777777" w:rsidR="00B17F1B" w:rsidRDefault="00B17F1B" w:rsidP="00B17F1B">
      <w:pPr>
        <w:rPr>
          <w:color w:val="000000" w:themeColor="text1"/>
        </w:rPr>
      </w:pPr>
    </w:p>
    <w:p w14:paraId="67EB67D4" w14:textId="77777777" w:rsidR="00B17F1B" w:rsidRDefault="00B17F1B" w:rsidP="00B17F1B">
      <w:pPr>
        <w:rPr>
          <w:color w:val="000000" w:themeColor="text1"/>
        </w:rPr>
      </w:pPr>
    </w:p>
    <w:p w14:paraId="4CFB2427" w14:textId="77777777" w:rsidR="00B17F1B" w:rsidRDefault="00B17F1B" w:rsidP="00B17F1B">
      <w:pPr>
        <w:rPr>
          <w:color w:val="000000" w:themeColor="text1"/>
        </w:rPr>
      </w:pPr>
    </w:p>
    <w:p w14:paraId="59A6DAD6" w14:textId="77777777" w:rsidR="00B17F1B" w:rsidRDefault="00B17F1B" w:rsidP="00B17F1B">
      <w:pPr>
        <w:rPr>
          <w:color w:val="000000" w:themeColor="text1"/>
        </w:rPr>
      </w:pPr>
    </w:p>
    <w:p w14:paraId="71262871" w14:textId="77777777" w:rsidR="00B17F1B" w:rsidRDefault="00B17F1B" w:rsidP="00B17F1B">
      <w:pPr>
        <w:rPr>
          <w:color w:val="000000" w:themeColor="text1"/>
        </w:rPr>
      </w:pPr>
    </w:p>
    <w:p w14:paraId="5FEA7C0C" w14:textId="77777777" w:rsidR="00B17F1B" w:rsidRDefault="00B17F1B" w:rsidP="00B17F1B">
      <w:pPr>
        <w:rPr>
          <w:color w:val="000000" w:themeColor="text1"/>
        </w:rPr>
      </w:pPr>
    </w:p>
    <w:p w14:paraId="41A5C215" w14:textId="77777777" w:rsidR="00B17F1B" w:rsidRPr="00B769AB" w:rsidRDefault="00B17F1B" w:rsidP="00B17F1B">
      <w:pPr>
        <w:rPr>
          <w:color w:val="000000" w:themeColor="text1"/>
        </w:rPr>
      </w:pPr>
      <w:r w:rsidRPr="00B769AB">
        <w:rPr>
          <w:b/>
          <w:bCs/>
          <w:color w:val="000000" w:themeColor="text1"/>
        </w:rPr>
        <w:t>STUDY RIGOUR</w:t>
      </w:r>
    </w:p>
    <w:p w14:paraId="0F1384C9" w14:textId="77777777" w:rsidR="00B17F1B" w:rsidRDefault="00B17F1B" w:rsidP="00B17F1B">
      <w:pPr>
        <w:rPr>
          <w:color w:val="000000" w:themeColor="text1"/>
        </w:rPr>
      </w:pPr>
      <w:r w:rsidRPr="00260741">
        <w:rPr>
          <w:color w:val="000000" w:themeColor="text1"/>
        </w:rPr>
        <w:t>To establish the rigour of research one must apply credibility, dependability, transferability and confirmability.</w:t>
      </w:r>
      <w:r>
        <w:rPr>
          <w:color w:val="000000" w:themeColor="text1"/>
        </w:rPr>
        <w:fldChar w:fldCharType="begin" w:fldLock="1"/>
      </w:r>
      <w:r>
        <w:rPr>
          <w:color w:val="000000" w:themeColor="text1"/>
        </w:rPr>
        <w:instrText>ADDIN CSL_CITATION {"citationItems":[{"id":"ITEM-1","itemData":{"DOI":"10.2307/2987760","ISSN":"00390526","abstract":"Lincoln, Y. S., &amp; Guba, E. (1985). Naturalistic enquiry","author":[{"dropping-particle":"","family":"Sheldon","given":"Neil A.","non-dropping-particle":"","parse-names":false,"suffix":""},{"dropping-particle":"","family":"Lincoln","given":"Yvonna S.","non-dropping-particle":"","parse-names":false,"suffix":""},{"dropping-particle":"","family":"Guba","given":"Egon G.","non-dropping-particle":"","parse-names":false,"suffix":""}],"container-title":"The Statistician","id":"ITEM-1","issued":{"date-parts":[["1986"]]},"title":"Naturalistic Enquiry.","type":"article-journal"},"uris":["http://www.mendeley.com/documents/?uuid=cb30722f-e434-42c7-945e-592b6caf98db"]}],"mendeley":{"formattedCitation":"[53]","plainTextFormattedCitation":"[53]","previouslyFormattedCitation":"[52]"},"properties":{"noteIndex":0},"schema":"https://github.com/citation-style-language/schema/raw/master/csl-citation.json"}</w:instrText>
      </w:r>
      <w:r>
        <w:rPr>
          <w:color w:val="000000" w:themeColor="text1"/>
        </w:rPr>
        <w:fldChar w:fldCharType="separate"/>
      </w:r>
      <w:r w:rsidRPr="00656CB5">
        <w:rPr>
          <w:noProof/>
          <w:color w:val="000000" w:themeColor="text1"/>
        </w:rPr>
        <w:t>[53]</w:t>
      </w:r>
      <w:r>
        <w:rPr>
          <w:color w:val="000000" w:themeColor="text1"/>
        </w:rPr>
        <w:fldChar w:fldCharType="end"/>
      </w:r>
      <w:r>
        <w:rPr>
          <w:color w:val="000000" w:themeColor="text1"/>
        </w:rPr>
        <w:t xml:space="preserve"> In order to apply this to my research I have strived to address the following areas.</w:t>
      </w:r>
    </w:p>
    <w:p w14:paraId="7AD9CEBC" w14:textId="77777777" w:rsidR="00B17F1B" w:rsidRDefault="00B17F1B" w:rsidP="00B17F1B">
      <w:pPr>
        <w:rPr>
          <w:color w:val="000000" w:themeColor="text1"/>
        </w:rPr>
      </w:pPr>
    </w:p>
    <w:p w14:paraId="10DCF996" w14:textId="77777777" w:rsidR="00B17F1B" w:rsidRDefault="00B17F1B" w:rsidP="00B17F1B">
      <w:pPr>
        <w:pStyle w:val="ListParagraph"/>
        <w:numPr>
          <w:ilvl w:val="0"/>
          <w:numId w:val="1"/>
        </w:numPr>
        <w:rPr>
          <w:color w:val="000000" w:themeColor="text1"/>
        </w:rPr>
      </w:pPr>
      <w:r w:rsidRPr="00C93200">
        <w:rPr>
          <w:color w:val="000000" w:themeColor="text1"/>
        </w:rPr>
        <w:t>Giving participants the opportunity to reflect and review the interview transcripts aims to minimise errors and inconsistency. This so called “member checking” will improve interpretive validity, verify accuracy and therefore optimize credibility.</w:t>
      </w:r>
      <w:r w:rsidRPr="00C93200">
        <w:rPr>
          <w:color w:val="000000" w:themeColor="text1"/>
        </w:rPr>
        <w:fldChar w:fldCharType="begin" w:fldLock="1"/>
      </w:r>
      <w:r>
        <w:rPr>
          <w:color w:val="000000" w:themeColor="text1"/>
        </w:rPr>
        <w:instrText>ADDIN CSL_CITATION {"citationItems":[{"id":"ITEM-1","itemData":{"ISBN":"9780323261722","abstract":"Bridge the gap between research and practice with Introduction to Research: Understanding and Applying Multiple Strategies, 5th Edition. This easy-to-read edition covers all the major research design strategies: qualitative, quantitative, naturalistic, experimental-type, and mixed method. And with the text's up-to-date research information and references, you will have a solid foundation from which to critique and understand research designs and their applications to healthcare and human service settings.","author":[{"dropping-particle":"","family":"Poy","given":"Elizabeth","non-dropping-particle":"De","parse-names":false,"suffix":""},{"dropping-particle":"","family":"Gitlin","given":"Laura N.","non-dropping-particle":"","parse-names":false,"suffix":""}],"container-title":"Introduction to Research: Understanding and Applying Multiple Strategies","id":"ITEM-1","issued":{"date-parts":[["2015"]]},"title":"Introduction to research: Understanding and applying multiple strategies","type":"book"},"uris":["http://www.mendeley.com/documents/?uuid=cd4cc2c6-6455-4fea-9c10-9f2b19f962b9"]}],"mendeley":{"formattedCitation":"[20]","plainTextFormattedCitation":"[20]","previouslyFormattedCitation":"[20]"},"properties":{"noteIndex":0},"schema":"https://github.com/citation-style-language/schema/raw/master/csl-citation.json"}</w:instrText>
      </w:r>
      <w:r w:rsidRPr="00C93200">
        <w:rPr>
          <w:color w:val="000000" w:themeColor="text1"/>
        </w:rPr>
        <w:fldChar w:fldCharType="separate"/>
      </w:r>
      <w:r w:rsidRPr="00794CDD">
        <w:rPr>
          <w:noProof/>
          <w:color w:val="000000" w:themeColor="text1"/>
        </w:rPr>
        <w:t>[20]</w:t>
      </w:r>
      <w:r w:rsidRPr="00C93200">
        <w:rPr>
          <w:color w:val="000000" w:themeColor="text1"/>
        </w:rPr>
        <w:fldChar w:fldCharType="end"/>
      </w:r>
      <w:r w:rsidRPr="00C93200">
        <w:rPr>
          <w:color w:val="000000" w:themeColor="text1"/>
        </w:rPr>
        <w:t xml:space="preserve"> </w:t>
      </w:r>
    </w:p>
    <w:p w14:paraId="085FA991" w14:textId="77777777" w:rsidR="00B17F1B" w:rsidRDefault="00B17F1B" w:rsidP="00B17F1B">
      <w:pPr>
        <w:pStyle w:val="ListParagraph"/>
        <w:numPr>
          <w:ilvl w:val="0"/>
          <w:numId w:val="1"/>
        </w:numPr>
        <w:rPr>
          <w:color w:val="000000" w:themeColor="text1"/>
        </w:rPr>
      </w:pPr>
      <w:r w:rsidRPr="00C93200">
        <w:rPr>
          <w:color w:val="000000" w:themeColor="text1"/>
        </w:rPr>
        <w:t>My thesis supervisor also provides a wealth of experience and helps me explore contextual backgrounds of data and rationale of decisions within the research process.</w:t>
      </w:r>
    </w:p>
    <w:p w14:paraId="58F8CA62" w14:textId="77777777" w:rsidR="00B17F1B" w:rsidRDefault="00B17F1B" w:rsidP="00B17F1B">
      <w:pPr>
        <w:pStyle w:val="ListParagraph"/>
        <w:numPr>
          <w:ilvl w:val="0"/>
          <w:numId w:val="1"/>
        </w:numPr>
        <w:rPr>
          <w:color w:val="000000" w:themeColor="text1"/>
        </w:rPr>
      </w:pPr>
      <w:r w:rsidRPr="00C93200">
        <w:rPr>
          <w:color w:val="000000" w:themeColor="text1"/>
        </w:rPr>
        <w:t xml:space="preserve">It is important to recognise personal biases, values and beliefs that may affect data analysis. I myself am the primary collector and analyser of data, I am also an NCHD on a training scheme with large exposures to teleconsultation. This is an obstacle I am best dealing with through the advice of </w:t>
      </w:r>
      <w:r w:rsidRPr="00C93200">
        <w:rPr>
          <w:i/>
          <w:iCs/>
          <w:color w:val="000000" w:themeColor="text1"/>
        </w:rPr>
        <w:t>Houghton et all.</w:t>
      </w:r>
      <w:r w:rsidRPr="00C93200">
        <w:rPr>
          <w:color w:val="000000" w:themeColor="text1"/>
        </w:rPr>
        <w:t>, maintaining a reflective journal.</w:t>
      </w:r>
      <w:r w:rsidRPr="00C93200">
        <w:rPr>
          <w:color w:val="000000" w:themeColor="text1"/>
        </w:rPr>
        <w:fldChar w:fldCharType="begin" w:fldLock="1"/>
      </w:r>
      <w:r>
        <w:rPr>
          <w:color w:val="000000" w:themeColor="text1"/>
        </w:rPr>
        <w:instrText>ADDIN CSL_CITATION {"citationItems":[{"id":"ITEM-1","itemData":{"DOI":"10.7748/nr2013.03.20.4.12.e326","ISSN":"20478992","PMID":"23520707","abstract":"Aim: To provide examples of a qualitative multiple case study to illustrate the specific strategies that can be used to ensure the credibility, dependability, confirmability and transferability of a study. Background: There is increasing recognition of the valuable contribution qualitative research can make to nursing knowledge. However, it is important that the research is conducted in a rigorous manner and that this is demonstrated in the final research report. Data sources: A multiple case study that explored the role of the clinical skills laboratory in preparing students for the real world of practice. Multiple sources of evidence were collected: semi-structured interviews (n=58), non-participant observations at five sites and documentary sources. Discussion: Strategies to ensure the rigour of this research were prolonged engagement and persistent observation, triangulation, peer debriefing, member checking, audit trail, reflexivity, and thick descriptions. Practical examples of how these strategies can be implemented are provided to guide researchers interested in conducting rigorous case study research. Conclusion: While the flexible nature of qualitative research should be embraced, strategies to ensure rigour must be in place. © Rcn Publishing / Nurse Researcher.","author":[{"dropping-particle":"","family":"Houghton","given":"C.","non-dropping-particle":"","parse-names":false,"suffix":""},{"dropping-particle":"","family":"Casey","given":"D.","non-dropping-particle":"","parse-names":false,"suffix":""},{"dropping-particle":"","family":"Shaw","given":"D.","non-dropping-particle":"","parse-names":false,"suffix":""},{"dropping-particle":"","family":"Murphy","given":"K.","non-dropping-particle":"","parse-names":false,"suffix":""}],"container-title":"Nurse Researcher","id":"ITEM-1","issued":{"date-parts":[["2013"]]},"title":"Rigour in qualitative case-study research","type":"article-journal"},"uris":["http://www.mendeley.com/documents/?uuid=2dd10f50-5062-448c-bd74-7fa17cfe525b"]}],"mendeley":{"formattedCitation":"[38]","plainTextFormattedCitation":"[38]","previouslyFormattedCitation":"[37]"},"properties":{"noteIndex":0},"schema":"https://github.com/citation-style-language/schema/raw/master/csl-citation.json"}</w:instrText>
      </w:r>
      <w:r w:rsidRPr="00C93200">
        <w:rPr>
          <w:color w:val="000000" w:themeColor="text1"/>
        </w:rPr>
        <w:fldChar w:fldCharType="separate"/>
      </w:r>
      <w:r w:rsidRPr="00656CB5">
        <w:rPr>
          <w:noProof/>
          <w:color w:val="000000" w:themeColor="text1"/>
        </w:rPr>
        <w:t>[38]</w:t>
      </w:r>
      <w:r w:rsidRPr="00C93200">
        <w:rPr>
          <w:color w:val="000000" w:themeColor="text1"/>
        </w:rPr>
        <w:fldChar w:fldCharType="end"/>
      </w:r>
      <w:r w:rsidRPr="00C93200">
        <w:rPr>
          <w:color w:val="000000" w:themeColor="text1"/>
        </w:rPr>
        <w:t xml:space="preserve"> Within this journal I am documenting when and how I came to a decision, how I reach understanding of the data and its meaning – this is turn will provide clarity for me as a researcher during the interpretative and analysis process, identifying and addressing possible research bias throughout.</w:t>
      </w:r>
      <w:r w:rsidRPr="00C93200">
        <w:rPr>
          <w:color w:val="000000" w:themeColor="text1"/>
        </w:rPr>
        <w:fldChar w:fldCharType="begin" w:fldLock="1"/>
      </w:r>
      <w:r>
        <w:rPr>
          <w:color w:val="000000" w:themeColor="text1"/>
        </w:rPr>
        <w:instrText>ADDIN CSL_CITATION {"citationItems":[{"id":"ITEM-1","itemData":{"abstract":"(from the book) deals with the inevitable dilemmas facing qualitative researchers who must record, analyze, and present an overwhelming amount of data argue that this process is constantly being shaped by the researcher's latent theories about the social system believe we must allow these theories an explicit role in the data reduction process so that both the theories and the reductive analysis can be scrutinized by the researcher and the research participants (PsycINFO Database Record (c) 2010 APA, all rights reserved) (book)","author":[{"dropping-particle":"","family":"Mays","given":"Nicholas","non-dropping-particle":"","parse-names":false,"suffix":""},{"dropping-particle":"","family":"Pope","given":"Catherine","non-dropping-particle":"","parse-names":false,"suffix":""}],"container-title":"British Medical Journal","id":"ITEM-1","issued":{"date-parts":[["2000"]]},"title":"Assessing quality in qualitative research","type":"article-journal"},"uris":["http://www.mendeley.com/documents/?uuid=80af2805-926a-4b13-ae6b-4cb7965702b1"]}],"mendeley":{"formattedCitation":"[54]","plainTextFormattedCitation":"[54]","previouslyFormattedCitation":"[53]"},"properties":{"noteIndex":0},"schema":"https://github.com/citation-style-language/schema/raw/master/csl-citation.json"}</w:instrText>
      </w:r>
      <w:r w:rsidRPr="00C93200">
        <w:rPr>
          <w:color w:val="000000" w:themeColor="text1"/>
        </w:rPr>
        <w:fldChar w:fldCharType="separate"/>
      </w:r>
      <w:r w:rsidRPr="00656CB5">
        <w:rPr>
          <w:noProof/>
          <w:color w:val="000000" w:themeColor="text1"/>
        </w:rPr>
        <w:t>[54]</w:t>
      </w:r>
      <w:r w:rsidRPr="00C93200">
        <w:rPr>
          <w:color w:val="000000" w:themeColor="text1"/>
        </w:rPr>
        <w:fldChar w:fldCharType="end"/>
      </w:r>
      <w:r w:rsidRPr="00C93200">
        <w:rPr>
          <w:color w:val="000000" w:themeColor="text1"/>
        </w:rPr>
        <w:t xml:space="preserve"> </w:t>
      </w:r>
    </w:p>
    <w:p w14:paraId="5B78FFF8" w14:textId="77777777" w:rsidR="00B17F1B" w:rsidRDefault="00B17F1B" w:rsidP="00B17F1B">
      <w:pPr>
        <w:pStyle w:val="ListParagraph"/>
        <w:numPr>
          <w:ilvl w:val="0"/>
          <w:numId w:val="1"/>
        </w:numPr>
        <w:rPr>
          <w:color w:val="000000" w:themeColor="text1"/>
        </w:rPr>
      </w:pPr>
      <w:r w:rsidRPr="00C93200">
        <w:rPr>
          <w:color w:val="000000" w:themeColor="text1"/>
        </w:rPr>
        <w:t>Descriptions, raw data, relevant literature and quotations will enable me to make informed decisions on the transferability of the data and the relevant findings.</w:t>
      </w:r>
      <w:r w:rsidRPr="00C93200">
        <w:rPr>
          <w:color w:val="000000" w:themeColor="text1"/>
        </w:rPr>
        <w:fldChar w:fldCharType="begin" w:fldLock="1"/>
      </w:r>
      <w:r>
        <w:rPr>
          <w:color w:val="000000" w:themeColor="text1"/>
        </w:rPr>
        <w:instrText>ADDIN CSL_CITATION {"citationItems":[{"id":"ITEM-1","itemData":{"DOI":"10.7748/nr2013.03.20.4.12.e326","ISSN":"20478992","PMID":"23520707","abstract":"Aim: To provide examples of a qualitative multiple case study to illustrate the specific strategies that can be used to ensure the credibility, dependability, confirmability and transferability of a study. Background: There is increasing recognition of the valuable contribution qualitative research can make to nursing knowledge. However, it is important that the research is conducted in a rigorous manner and that this is demonstrated in the final research report. Data sources: A multiple case study that explored the role of the clinical skills laboratory in preparing students for the real world of practice. Multiple sources of evidence were collected: semi-structured interviews (n=58), non-participant observations at five sites and documentary sources. Discussion: Strategies to ensure the rigour of this research were prolonged engagement and persistent observation, triangulation, peer debriefing, member checking, audit trail, reflexivity, and thick descriptions. Practical examples of how these strategies can be implemented are provided to guide researchers interested in conducting rigorous case study research. Conclusion: While the flexible nature of qualitative research should be embraced, strategies to ensure rigour must be in place. © Rcn Publishing / Nurse Researcher.","author":[{"dropping-particle":"","family":"Houghton","given":"C.","non-dropping-particle":"","parse-names":false,"suffix":""},{"dropping-particle":"","family":"Casey","given":"D.","non-dropping-particle":"","parse-names":false,"suffix":""},{"dropping-particle":"","family":"Shaw","given":"D.","non-dropping-particle":"","parse-names":false,"suffix":""},{"dropping-particle":"","family":"Murphy","given":"K.","non-dropping-particle":"","parse-names":false,"suffix":""}],"container-title":"Nurse Researcher","id":"ITEM-1","issued":{"date-parts":[["2013"]]},"title":"Rigour in qualitative case-study research","type":"article-journal"},"uris":["http://www.mendeley.com/documents/?uuid=2dd10f50-5062-448c-bd74-7fa17cfe525b"]}],"mendeley":{"formattedCitation":"[38]","plainTextFormattedCitation":"[38]","previouslyFormattedCitation":"[37]"},"properties":{"noteIndex":0},"schema":"https://github.com/citation-style-language/schema/raw/master/csl-citation.json"}</w:instrText>
      </w:r>
      <w:r w:rsidRPr="00C93200">
        <w:rPr>
          <w:color w:val="000000" w:themeColor="text1"/>
        </w:rPr>
        <w:fldChar w:fldCharType="separate"/>
      </w:r>
      <w:r w:rsidRPr="00656CB5">
        <w:rPr>
          <w:noProof/>
          <w:color w:val="000000" w:themeColor="text1"/>
        </w:rPr>
        <w:t>[38]</w:t>
      </w:r>
      <w:r w:rsidRPr="00C93200">
        <w:rPr>
          <w:color w:val="000000" w:themeColor="text1"/>
        </w:rPr>
        <w:fldChar w:fldCharType="end"/>
      </w:r>
      <w:r w:rsidRPr="00C93200">
        <w:rPr>
          <w:color w:val="000000" w:themeColor="text1"/>
        </w:rPr>
        <w:t xml:space="preserve"> </w:t>
      </w:r>
    </w:p>
    <w:p w14:paraId="4C00BC49" w14:textId="77777777" w:rsidR="00B17F1B" w:rsidRDefault="00B17F1B" w:rsidP="00B17F1B">
      <w:pPr>
        <w:pStyle w:val="ListParagraph"/>
        <w:numPr>
          <w:ilvl w:val="0"/>
          <w:numId w:val="1"/>
        </w:numPr>
        <w:rPr>
          <w:color w:val="000000" w:themeColor="text1"/>
        </w:rPr>
      </w:pPr>
      <w:r w:rsidRPr="00C93200">
        <w:rPr>
          <w:color w:val="000000" w:themeColor="text1"/>
        </w:rPr>
        <w:t>All outlier opinions will be examined with rigour and close scrutiny to ensure all perceptions are represented.</w:t>
      </w:r>
      <w:r w:rsidRPr="00C93200">
        <w:rPr>
          <w:color w:val="000000" w:themeColor="text1"/>
        </w:rPr>
        <w:fldChar w:fldCharType="begin" w:fldLock="1"/>
      </w:r>
      <w:r>
        <w:rPr>
          <w:color w:val="000000" w:themeColor="text1"/>
        </w:rPr>
        <w:instrText>ADDIN CSL_CITATION {"citationItems":[{"id":"ITEM-1","itemData":{"DOI":"10.1136/bmj.311.6997.109","ISSN":"09598146","PMID":"7613363","abstract":"Various strategies are available within qualitative research to protect against bias and enhance the reliability of findings. This paper gives examples of the principal approaches anti summarises them into a methodological checklist to help readers of reports of qualitative projects to assess the quality of the research.","author":[{"dropping-particle":"","family":"Mays","given":"N.","non-dropping-particle":"","parse-names":false,"suffix":""},{"dropping-particle":"","family":"Pope","given":"C.","non-dropping-particle":"","parse-names":false,"suffix":""}],"container-title":"British Medical Journal","id":"ITEM-1","issued":{"date-parts":[["1995"]]},"title":"Rigour and qualitative research","type":"article"},"uris":["http://www.mendeley.com/documents/?uuid=229697f6-244b-4245-96f1-b3de59f8a979"]}],"mendeley":{"formattedCitation":"[55]","plainTextFormattedCitation":"[55]","previouslyFormattedCitation":"[54]"},"properties":{"noteIndex":0},"schema":"https://github.com/citation-style-language/schema/raw/master/csl-citation.json"}</w:instrText>
      </w:r>
      <w:r w:rsidRPr="00C93200">
        <w:rPr>
          <w:color w:val="000000" w:themeColor="text1"/>
        </w:rPr>
        <w:fldChar w:fldCharType="separate"/>
      </w:r>
      <w:r w:rsidRPr="00656CB5">
        <w:rPr>
          <w:noProof/>
          <w:color w:val="000000" w:themeColor="text1"/>
        </w:rPr>
        <w:t>[55]</w:t>
      </w:r>
      <w:r w:rsidRPr="00C93200">
        <w:rPr>
          <w:color w:val="000000" w:themeColor="text1"/>
        </w:rPr>
        <w:fldChar w:fldCharType="end"/>
      </w:r>
    </w:p>
    <w:p w14:paraId="53442BA3" w14:textId="77777777" w:rsidR="00B17F1B" w:rsidRPr="00C93200" w:rsidRDefault="00B17F1B" w:rsidP="00B17F1B">
      <w:pPr>
        <w:pStyle w:val="ListParagraph"/>
        <w:numPr>
          <w:ilvl w:val="0"/>
          <w:numId w:val="1"/>
        </w:numPr>
        <w:rPr>
          <w:color w:val="000000" w:themeColor="text1"/>
        </w:rPr>
      </w:pPr>
      <w:r w:rsidRPr="00C93200">
        <w:rPr>
          <w:color w:val="000000" w:themeColor="text1"/>
        </w:rPr>
        <w:t>I aim to utilize NVIVO data analysis software, which will help facilitate an audit trail from reading to final themes and interpretation, as is deemed good practice. These tools will help maximize clarity of the transcript to theme journey.</w:t>
      </w:r>
      <w:r w:rsidRPr="00C93200">
        <w:rPr>
          <w:color w:val="000000" w:themeColor="text1"/>
        </w:rPr>
        <w:fldChar w:fldCharType="begin" w:fldLock="1"/>
      </w:r>
      <w:r>
        <w:rPr>
          <w:color w:val="000000" w:themeColor="text1"/>
        </w:rPr>
        <w:instrText>ADDIN CSL_CITATION {"citationItems":[{"id":"ITEM-1","itemData":{"DOI":"10.1002/9781118472361.ch26","ISBN":"9781118472361","abstract":"Qualitative research methods can contribute to theory building and to the study of complex social issues in medical education. Qualitative research encompasses multiple research methodologies, including case study, grounded theory, phenomenology, hermeneutics, narrative inquiry and action research. This chapter focuses on data collection methods (including interviews, focus groups, observations and assembly of textual documents). Data analysis methods (including thematic analysis and discourse analysis) are considered separately. Qualitative research has made important contributions to medical education research in the past few decades. This form of inquiry is situated within a particular set of paradigms and draws on recognisable approaches and methodological tools to build knowledge regarding the experiences and activities of teachers, trainees, patients and team members in medical education settings. Particular ethical issues must be considered in a qualitative project, as well as appropriate criteria for determining the most rigorous path for each individual study.","author":[{"dropping-particle":"","family":"Ng","given":"Stella","non-dropping-particle":"","parse-names":false,"suffix":""},{"dropping-particle":"","family":"Lingard","given":"Lorelei","non-dropping-particle":"","parse-names":false,"suffix":""},{"dropping-particle":"","family":"Kennedy","given":"Tara J.","non-dropping-particle":"","parse-names":false,"suffix":""}],"container-title":"Understanding Medical Education: Evidence, Theory and Practice: Second Edition","id":"ITEM-1","issued":{"date-parts":[["2013"]]},"title":"Qualitative Research in Medical Education: Methodologies and Methods","type":"chapter"},"uris":["http://www.mendeley.com/documents/?uuid=4c3a4e78-296c-4161-bb23-d2a46807c5ab"]},{"id":"ITEM-2","itemData":{"ISBN":"9780323261722","abstract":"Bridge the gap between research and practice with Introduction to Research: Understanding and Applying Multiple Strategies, 5th Edition. This easy-to-read edition covers all the major research design strategies: qualitative, quantitative, naturalistic, experimental-type, and mixed method. And with the text's up-to-date research information and references, you will have a solid foundation from which to critique and understand research designs and their applications to healthcare and human service settings.","author":[{"dropping-particle":"","family":"Poy","given":"Elizabeth","non-dropping-particle":"De","parse-names":false,"suffix":""},{"dropping-particle":"","family":"Gitlin","given":"Laura N.","non-dropping-particle":"","parse-names":false,"suffix":""}],"container-title":"Introduction to Research: Understanding and Applying Multiple Strategies","id":"ITEM-2","issued":{"date-parts":[["2015"]]},"title":"Introduction to research: Understanding and applying multiple strategies","type":"book"},"uris":["http://www.mendeley.com/documents/?uuid=cd4cc2c6-6455-4fea-9c10-9f2b19f962b9"]}],"mendeley":{"formattedCitation":"[20], [56]","plainTextFormattedCitation":"[20], [56]","previouslyFormattedCitation":"[20], [55]"},"properties":{"noteIndex":0},"schema":"https://github.com/citation-style-language/schema/raw/master/csl-citation.json"}</w:instrText>
      </w:r>
      <w:r w:rsidRPr="00C93200">
        <w:rPr>
          <w:color w:val="000000" w:themeColor="text1"/>
        </w:rPr>
        <w:fldChar w:fldCharType="separate"/>
      </w:r>
      <w:r w:rsidRPr="00656CB5">
        <w:rPr>
          <w:noProof/>
          <w:color w:val="000000" w:themeColor="text1"/>
        </w:rPr>
        <w:t>[20], [56]</w:t>
      </w:r>
      <w:r w:rsidRPr="00C93200">
        <w:rPr>
          <w:color w:val="000000" w:themeColor="text1"/>
        </w:rPr>
        <w:fldChar w:fldCharType="end"/>
      </w:r>
    </w:p>
    <w:p w14:paraId="794AF45D" w14:textId="77777777" w:rsidR="00B17F1B" w:rsidRDefault="00B17F1B" w:rsidP="00B17F1B">
      <w:pPr>
        <w:rPr>
          <w:b/>
          <w:bCs/>
          <w:color w:val="631C5F"/>
        </w:rPr>
      </w:pPr>
    </w:p>
    <w:p w14:paraId="4B8D800E" w14:textId="77777777" w:rsidR="00B17F1B" w:rsidRDefault="00B17F1B" w:rsidP="00B17F1B">
      <w:pPr>
        <w:rPr>
          <w:b/>
          <w:bCs/>
        </w:rPr>
      </w:pPr>
      <w:r>
        <w:rPr>
          <w:b/>
          <w:bCs/>
        </w:rPr>
        <w:t>Conclusion</w:t>
      </w:r>
    </w:p>
    <w:p w14:paraId="0E768510" w14:textId="77777777" w:rsidR="00B17F1B" w:rsidRPr="00CB47FE" w:rsidRDefault="00B17F1B" w:rsidP="00B17F1B">
      <w:r w:rsidRPr="00CB47FE">
        <w:lastRenderedPageBreak/>
        <w:t>In conclusion, I  hope to have highlighted the rationale, research design, sampling and theoretical underpinning of this very exciting and novel piece of qualitative research</w:t>
      </w:r>
      <w:r>
        <w:t xml:space="preserve">. </w:t>
      </w:r>
    </w:p>
    <w:p w14:paraId="73DB6078" w14:textId="77777777" w:rsidR="00B17F1B" w:rsidRDefault="00B17F1B" w:rsidP="00B17F1B">
      <w:pPr>
        <w:rPr>
          <w:b/>
          <w:bCs/>
        </w:rPr>
      </w:pPr>
    </w:p>
    <w:p w14:paraId="4210DB7F" w14:textId="77777777" w:rsidR="00B17F1B" w:rsidRDefault="00B17F1B" w:rsidP="00B17F1B">
      <w:pPr>
        <w:rPr>
          <w:b/>
          <w:bCs/>
        </w:rPr>
      </w:pPr>
    </w:p>
    <w:p w14:paraId="1BC17360" w14:textId="77777777" w:rsidR="00B17F1B" w:rsidRDefault="00B17F1B" w:rsidP="00B17F1B">
      <w:pPr>
        <w:rPr>
          <w:b/>
          <w:bCs/>
        </w:rPr>
      </w:pPr>
    </w:p>
    <w:p w14:paraId="6773F45A" w14:textId="77777777" w:rsidR="00B17F1B" w:rsidRDefault="00B17F1B" w:rsidP="00B17F1B">
      <w:pPr>
        <w:rPr>
          <w:b/>
          <w:bCs/>
        </w:rPr>
      </w:pPr>
    </w:p>
    <w:p w14:paraId="66720FA9" w14:textId="77777777" w:rsidR="00B17F1B" w:rsidRDefault="00B17F1B" w:rsidP="00B17F1B">
      <w:pPr>
        <w:rPr>
          <w:b/>
          <w:bCs/>
        </w:rPr>
      </w:pPr>
    </w:p>
    <w:p w14:paraId="40CFC6F9" w14:textId="77777777" w:rsidR="00B17F1B" w:rsidRDefault="00B17F1B" w:rsidP="00B17F1B">
      <w:pPr>
        <w:rPr>
          <w:b/>
          <w:bCs/>
        </w:rPr>
      </w:pPr>
    </w:p>
    <w:p w14:paraId="7E110C9B" w14:textId="77777777" w:rsidR="00B17F1B" w:rsidRDefault="00B17F1B" w:rsidP="00B17F1B">
      <w:pPr>
        <w:rPr>
          <w:b/>
          <w:bCs/>
        </w:rPr>
      </w:pPr>
    </w:p>
    <w:p w14:paraId="6F1D8174" w14:textId="77777777" w:rsidR="00B17F1B" w:rsidRDefault="00B17F1B" w:rsidP="00B17F1B">
      <w:pPr>
        <w:rPr>
          <w:b/>
          <w:bCs/>
        </w:rPr>
      </w:pPr>
    </w:p>
    <w:p w14:paraId="59FC35C0" w14:textId="77777777" w:rsidR="00B17F1B" w:rsidRDefault="00B17F1B" w:rsidP="00B17F1B">
      <w:pPr>
        <w:rPr>
          <w:b/>
          <w:bCs/>
        </w:rPr>
      </w:pPr>
    </w:p>
    <w:p w14:paraId="3BA6F545" w14:textId="77777777" w:rsidR="00B17F1B" w:rsidRDefault="00B17F1B" w:rsidP="00B17F1B">
      <w:pPr>
        <w:rPr>
          <w:b/>
          <w:bCs/>
        </w:rPr>
      </w:pPr>
    </w:p>
    <w:p w14:paraId="0F1C2ED6" w14:textId="77777777" w:rsidR="00B17F1B" w:rsidRDefault="00B17F1B" w:rsidP="00B17F1B">
      <w:pPr>
        <w:rPr>
          <w:b/>
          <w:bCs/>
        </w:rPr>
      </w:pPr>
    </w:p>
    <w:p w14:paraId="473D8841" w14:textId="77777777" w:rsidR="00B17F1B" w:rsidRDefault="00B17F1B" w:rsidP="00B17F1B">
      <w:pPr>
        <w:rPr>
          <w:b/>
          <w:bCs/>
        </w:rPr>
      </w:pPr>
    </w:p>
    <w:p w14:paraId="1EA10E84" w14:textId="77777777" w:rsidR="00B17F1B" w:rsidRDefault="00B17F1B" w:rsidP="00B17F1B">
      <w:pPr>
        <w:rPr>
          <w:b/>
          <w:bCs/>
        </w:rPr>
      </w:pPr>
    </w:p>
    <w:p w14:paraId="23B69CD2" w14:textId="77777777" w:rsidR="00B17F1B" w:rsidRDefault="00B17F1B" w:rsidP="00B17F1B">
      <w:pPr>
        <w:rPr>
          <w:b/>
          <w:bCs/>
        </w:rPr>
      </w:pPr>
    </w:p>
    <w:p w14:paraId="2FAAE6FA" w14:textId="77777777" w:rsidR="00B17F1B" w:rsidRDefault="00B17F1B" w:rsidP="00B17F1B">
      <w:pPr>
        <w:rPr>
          <w:b/>
          <w:bCs/>
        </w:rPr>
      </w:pPr>
    </w:p>
    <w:p w14:paraId="4A6BD19F" w14:textId="77777777" w:rsidR="00B17F1B" w:rsidRDefault="00B17F1B" w:rsidP="00B17F1B">
      <w:pPr>
        <w:rPr>
          <w:b/>
          <w:bCs/>
        </w:rPr>
      </w:pPr>
    </w:p>
    <w:p w14:paraId="2555A192" w14:textId="77777777" w:rsidR="00B17F1B" w:rsidRDefault="00B17F1B" w:rsidP="00B17F1B">
      <w:pPr>
        <w:rPr>
          <w:b/>
          <w:bCs/>
        </w:rPr>
      </w:pPr>
    </w:p>
    <w:p w14:paraId="61242B97" w14:textId="77777777" w:rsidR="00B17F1B" w:rsidRDefault="00B17F1B" w:rsidP="00B17F1B">
      <w:pPr>
        <w:rPr>
          <w:b/>
          <w:bCs/>
        </w:rPr>
      </w:pPr>
    </w:p>
    <w:p w14:paraId="43A9199F" w14:textId="77777777" w:rsidR="00B17F1B" w:rsidRDefault="00B17F1B" w:rsidP="00B17F1B">
      <w:pPr>
        <w:rPr>
          <w:b/>
          <w:bCs/>
        </w:rPr>
      </w:pPr>
    </w:p>
    <w:p w14:paraId="4948B377" w14:textId="77777777" w:rsidR="00B17F1B" w:rsidRDefault="00B17F1B" w:rsidP="00B17F1B">
      <w:pPr>
        <w:rPr>
          <w:b/>
          <w:bCs/>
        </w:rPr>
      </w:pPr>
    </w:p>
    <w:p w14:paraId="0519B9BF" w14:textId="77777777" w:rsidR="00B17F1B" w:rsidRPr="00871236" w:rsidRDefault="00B17F1B" w:rsidP="00B17F1B">
      <w:pPr>
        <w:pBdr>
          <w:bottom w:val="single" w:sz="2" w:space="1" w:color="461344"/>
        </w:pBdr>
        <w:spacing w:line="259" w:lineRule="auto"/>
        <w:rPr>
          <w:b/>
          <w:bCs/>
        </w:rPr>
      </w:pPr>
      <w:r w:rsidRPr="00871236">
        <w:rPr>
          <w:b/>
          <w:bCs/>
        </w:rPr>
        <w:t>Appendix 3</w:t>
      </w:r>
    </w:p>
    <w:p w14:paraId="46F77BE0" w14:textId="77777777" w:rsidR="00B17F1B" w:rsidRDefault="00B17F1B" w:rsidP="00B17F1B"/>
    <w:p w14:paraId="1F580FA7" w14:textId="77777777" w:rsidR="00B17F1B" w:rsidRDefault="00B17F1B" w:rsidP="00B17F1B">
      <w:r>
        <w:t>Hello and welcome. Many thanks for agreeing to participate in todays interview and signing the appropriate consent form. The purpose of this interview is to discuss and explore your own views, if any, on the impact of telehealth implementation on your own training experience as an NCHD. What I mean by telehealth for the purpose of this interview is</w:t>
      </w:r>
      <w:r w:rsidRPr="009822AE">
        <w:t xml:space="preserve"> the provision of health care services over a distance</w:t>
      </w:r>
      <w:r>
        <w:t xml:space="preserve"> that comprises</w:t>
      </w:r>
      <w:r w:rsidRPr="009822AE">
        <w:t xml:space="preserve"> </w:t>
      </w:r>
      <w:r>
        <w:t>of</w:t>
      </w:r>
      <w:r w:rsidRPr="009822AE">
        <w:t xml:space="preserve"> doctor-patient teleconsult</w:t>
      </w:r>
      <w:r>
        <w:t>ation</w:t>
      </w:r>
      <w:r w:rsidRPr="009822AE">
        <w:t xml:space="preserve"> via phone</w:t>
      </w:r>
      <w:r>
        <w:t>,</w:t>
      </w:r>
      <w:r w:rsidRPr="009822AE">
        <w:t xml:space="preserve"> video-linkage</w:t>
      </w:r>
      <w:r>
        <w:t>, instant messaging or web-based services. I want to try to explore and hear from you how you feel telehealth has impacted your training experience, if at all.</w:t>
      </w:r>
    </w:p>
    <w:p w14:paraId="105D33E4" w14:textId="77777777" w:rsidR="00B17F1B" w:rsidRDefault="00B17F1B" w:rsidP="00B17F1B"/>
    <w:p w14:paraId="629C6A79" w14:textId="77777777" w:rsidR="00B17F1B" w:rsidRDefault="00B17F1B" w:rsidP="00B17F1B">
      <w:pPr>
        <w:pStyle w:val="ListParagraph"/>
        <w:numPr>
          <w:ilvl w:val="0"/>
          <w:numId w:val="3"/>
        </w:numPr>
      </w:pPr>
      <w:r>
        <w:t>Can you tell me how much of your working week entails use of telehealth</w:t>
      </w:r>
    </w:p>
    <w:p w14:paraId="25AD8A16" w14:textId="77777777" w:rsidR="00B17F1B" w:rsidRDefault="00B17F1B" w:rsidP="00B17F1B">
      <w:pPr>
        <w:pStyle w:val="ListParagraph"/>
        <w:numPr>
          <w:ilvl w:val="0"/>
          <w:numId w:val="3"/>
        </w:numPr>
      </w:pPr>
      <w:r>
        <w:t>Has this experience changed since the COVID pandemic (or over the last 12 months)</w:t>
      </w:r>
    </w:p>
    <w:p w14:paraId="0D973793" w14:textId="77777777" w:rsidR="00B17F1B" w:rsidRDefault="00B17F1B" w:rsidP="00B17F1B">
      <w:pPr>
        <w:pStyle w:val="ListParagraph"/>
        <w:numPr>
          <w:ilvl w:val="0"/>
          <w:numId w:val="3"/>
        </w:numPr>
        <w:spacing w:line="276" w:lineRule="auto"/>
      </w:pPr>
      <w:r>
        <w:t>Can you describe your experience of teleconsultation as an NCHD</w:t>
      </w:r>
    </w:p>
    <w:p w14:paraId="7D3BC41C" w14:textId="77777777" w:rsidR="00B17F1B" w:rsidRDefault="00B17F1B" w:rsidP="00B17F1B">
      <w:pPr>
        <w:pStyle w:val="ListParagraph"/>
        <w:numPr>
          <w:ilvl w:val="0"/>
          <w:numId w:val="3"/>
        </w:numPr>
      </w:pPr>
      <w:r>
        <w:t>How do you feel telehealth has implemented your training experience</w:t>
      </w:r>
    </w:p>
    <w:p w14:paraId="78DF71D6" w14:textId="77777777" w:rsidR="00B17F1B" w:rsidRDefault="00B17F1B" w:rsidP="00B17F1B">
      <w:pPr>
        <w:pStyle w:val="ListParagraph"/>
        <w:numPr>
          <w:ilvl w:val="1"/>
          <w:numId w:val="3"/>
        </w:numPr>
      </w:pPr>
      <w:r>
        <w:t>Can you tell me why you hold that view</w:t>
      </w:r>
    </w:p>
    <w:p w14:paraId="2F1F0EC3" w14:textId="77777777" w:rsidR="00B17F1B" w:rsidRDefault="00B17F1B" w:rsidP="00B17F1B">
      <w:pPr>
        <w:pStyle w:val="ListParagraph"/>
        <w:numPr>
          <w:ilvl w:val="1"/>
          <w:numId w:val="3"/>
        </w:numPr>
      </w:pPr>
      <w:r>
        <w:t>To what extent has that changed, if at all</w:t>
      </w:r>
    </w:p>
    <w:p w14:paraId="55861798" w14:textId="77777777" w:rsidR="00B17F1B" w:rsidRDefault="00B17F1B" w:rsidP="00B17F1B">
      <w:pPr>
        <w:pStyle w:val="ListParagraph"/>
        <w:numPr>
          <w:ilvl w:val="0"/>
          <w:numId w:val="3"/>
        </w:numPr>
        <w:spacing w:line="276" w:lineRule="auto"/>
      </w:pPr>
      <w:r w:rsidRPr="009C5AED">
        <w:t>Have you had any prior training in telehealth prior to using it as an NCHD</w:t>
      </w:r>
      <w:r>
        <w:t xml:space="preserve"> – do you agree/disagree with that</w:t>
      </w:r>
    </w:p>
    <w:p w14:paraId="14440A5F" w14:textId="77777777" w:rsidR="00B17F1B" w:rsidRPr="009C5AED" w:rsidRDefault="00B17F1B" w:rsidP="00B17F1B">
      <w:pPr>
        <w:pStyle w:val="ListParagraph"/>
        <w:numPr>
          <w:ilvl w:val="0"/>
          <w:numId w:val="3"/>
        </w:numPr>
        <w:spacing w:line="276" w:lineRule="auto"/>
      </w:pPr>
      <w:r>
        <w:t xml:space="preserve">Have you noticed any change in the training you receive since using telehealth approach </w:t>
      </w:r>
    </w:p>
    <w:p w14:paraId="114EA46C" w14:textId="77777777" w:rsidR="00B17F1B" w:rsidRDefault="00B17F1B" w:rsidP="00B17F1B">
      <w:pPr>
        <w:pStyle w:val="ListParagraph"/>
        <w:numPr>
          <w:ilvl w:val="0"/>
          <w:numId w:val="3"/>
        </w:numPr>
        <w:spacing w:line="276" w:lineRule="auto"/>
      </w:pPr>
      <w:r>
        <w:t>What, if anything, do you think you have learned by using teleconsultation</w:t>
      </w:r>
    </w:p>
    <w:p w14:paraId="110688C5" w14:textId="77777777" w:rsidR="00B17F1B" w:rsidRDefault="00B17F1B" w:rsidP="00B17F1B">
      <w:pPr>
        <w:pStyle w:val="ListParagraph"/>
        <w:numPr>
          <w:ilvl w:val="0"/>
          <w:numId w:val="3"/>
        </w:numPr>
        <w:spacing w:line="276" w:lineRule="auto"/>
      </w:pPr>
      <w:r w:rsidRPr="009C5AED">
        <w:t>Would you advocate for further adoption of telehealth</w:t>
      </w:r>
    </w:p>
    <w:p w14:paraId="42B9B69F" w14:textId="77777777" w:rsidR="00B17F1B" w:rsidRDefault="00B17F1B" w:rsidP="00B17F1B"/>
    <w:p w14:paraId="699FCF6B" w14:textId="77777777" w:rsidR="00B17F1B" w:rsidRPr="000F6E96" w:rsidRDefault="00B17F1B" w:rsidP="00B17F1B">
      <w:pPr>
        <w:rPr>
          <w:b/>
          <w:bCs/>
        </w:rPr>
      </w:pPr>
      <w:r w:rsidRPr="000F6E96">
        <w:rPr>
          <w:b/>
          <w:bCs/>
        </w:rPr>
        <w:t>Prompts</w:t>
      </w:r>
      <w:r>
        <w:rPr>
          <w:b/>
          <w:bCs/>
        </w:rPr>
        <w:t xml:space="preserve"> if needed</w:t>
      </w:r>
    </w:p>
    <w:p w14:paraId="32E53E06" w14:textId="77777777" w:rsidR="00B17F1B" w:rsidRDefault="00B17F1B" w:rsidP="00B17F1B">
      <w:pPr>
        <w:pStyle w:val="ListParagraph"/>
        <w:numPr>
          <w:ilvl w:val="0"/>
          <w:numId w:val="4"/>
        </w:numPr>
      </w:pPr>
      <w:r>
        <w:lastRenderedPageBreak/>
        <w:t>That is very interesting – explain a bit more what you mean by that</w:t>
      </w:r>
    </w:p>
    <w:p w14:paraId="1F893337" w14:textId="77777777" w:rsidR="00B17F1B" w:rsidRDefault="00B17F1B" w:rsidP="00B17F1B">
      <w:pPr>
        <w:pStyle w:val="ListParagraph"/>
        <w:numPr>
          <w:ilvl w:val="0"/>
          <w:numId w:val="4"/>
        </w:numPr>
      </w:pPr>
      <w:r>
        <w:t>In what way</w:t>
      </w:r>
    </w:p>
    <w:p w14:paraId="6D7E7FF2" w14:textId="77777777" w:rsidR="00B17F1B" w:rsidRDefault="00B17F1B" w:rsidP="00B17F1B">
      <w:pPr>
        <w:pStyle w:val="ListParagraph"/>
        <w:numPr>
          <w:ilvl w:val="0"/>
          <w:numId w:val="4"/>
        </w:numPr>
      </w:pPr>
      <w:r>
        <w:t>Explain to me a bit more what you mean by that</w:t>
      </w:r>
    </w:p>
    <w:p w14:paraId="28FF653F" w14:textId="77777777" w:rsidR="00B17F1B" w:rsidRDefault="00B17F1B" w:rsidP="00B17F1B">
      <w:pPr>
        <w:pStyle w:val="ListParagraph"/>
        <w:numPr>
          <w:ilvl w:val="0"/>
          <w:numId w:val="4"/>
        </w:numPr>
      </w:pPr>
      <w:r>
        <w:t>Anything you think that might be of importance that might need to be addressed</w:t>
      </w:r>
    </w:p>
    <w:p w14:paraId="68DBDEF3" w14:textId="77777777" w:rsidR="00B17F1B" w:rsidRPr="009C5AED" w:rsidRDefault="00B17F1B" w:rsidP="00B17F1B">
      <w:pPr>
        <w:pStyle w:val="ListParagraph"/>
        <w:numPr>
          <w:ilvl w:val="0"/>
          <w:numId w:val="2"/>
        </w:numPr>
        <w:spacing w:line="276" w:lineRule="auto"/>
      </w:pPr>
      <w:r>
        <w:t>A</w:t>
      </w:r>
      <w:r w:rsidRPr="009C5AED">
        <w:t>re the</w:t>
      </w:r>
      <w:r>
        <w:t>re any advantages or disadvantages to</w:t>
      </w:r>
      <w:r w:rsidRPr="009C5AED">
        <w:t xml:space="preserve"> telehealth consultations</w:t>
      </w:r>
    </w:p>
    <w:p w14:paraId="560511E7" w14:textId="77777777" w:rsidR="00B17F1B" w:rsidRDefault="00B17F1B" w:rsidP="00B17F1B">
      <w:pPr>
        <w:pStyle w:val="ListParagraph"/>
        <w:numPr>
          <w:ilvl w:val="0"/>
          <w:numId w:val="2"/>
        </w:numPr>
        <w:spacing w:line="276" w:lineRule="auto"/>
      </w:pPr>
      <w:r>
        <w:t xml:space="preserve">Prompt areas if lack of flow; </w:t>
      </w:r>
    </w:p>
    <w:p w14:paraId="1B8CADE7" w14:textId="77777777" w:rsidR="00B17F1B" w:rsidRPr="009C5AED" w:rsidRDefault="00B17F1B" w:rsidP="00B17F1B">
      <w:pPr>
        <w:pStyle w:val="ListParagraph"/>
        <w:numPr>
          <w:ilvl w:val="1"/>
          <w:numId w:val="2"/>
        </w:numPr>
        <w:spacing w:line="276" w:lineRule="auto"/>
      </w:pPr>
      <w:r w:rsidRPr="009C5AED">
        <w:t>History taking</w:t>
      </w:r>
    </w:p>
    <w:p w14:paraId="7EF8285E" w14:textId="77777777" w:rsidR="00B17F1B" w:rsidRPr="009C5AED" w:rsidRDefault="00B17F1B" w:rsidP="00B17F1B">
      <w:pPr>
        <w:pStyle w:val="ListParagraph"/>
        <w:numPr>
          <w:ilvl w:val="1"/>
          <w:numId w:val="2"/>
        </w:numPr>
        <w:spacing w:line="276" w:lineRule="auto"/>
      </w:pPr>
      <w:r w:rsidRPr="009C5AED">
        <w:t>Clinical skills</w:t>
      </w:r>
    </w:p>
    <w:p w14:paraId="113199DC" w14:textId="77777777" w:rsidR="00B17F1B" w:rsidRPr="009C5AED" w:rsidRDefault="00B17F1B" w:rsidP="00B17F1B">
      <w:pPr>
        <w:pStyle w:val="ListParagraph"/>
        <w:numPr>
          <w:ilvl w:val="1"/>
          <w:numId w:val="2"/>
        </w:numPr>
        <w:spacing w:line="276" w:lineRule="auto"/>
      </w:pPr>
      <w:r w:rsidRPr="009C5AED">
        <w:t>Clinical acumen</w:t>
      </w:r>
    </w:p>
    <w:p w14:paraId="36E83C34" w14:textId="77777777" w:rsidR="00B17F1B" w:rsidRPr="009C5AED" w:rsidRDefault="00B17F1B" w:rsidP="00B17F1B">
      <w:pPr>
        <w:pStyle w:val="ListParagraph"/>
        <w:numPr>
          <w:ilvl w:val="1"/>
          <w:numId w:val="2"/>
        </w:numPr>
        <w:spacing w:line="276" w:lineRule="auto"/>
      </w:pPr>
      <w:r w:rsidRPr="009C5AED">
        <w:t>Personal confidence in consultation</w:t>
      </w:r>
    </w:p>
    <w:p w14:paraId="065A61F9" w14:textId="77777777" w:rsidR="00B17F1B" w:rsidRPr="009C5AED" w:rsidRDefault="00B17F1B" w:rsidP="00B17F1B">
      <w:pPr>
        <w:pStyle w:val="ListParagraph"/>
        <w:numPr>
          <w:ilvl w:val="1"/>
          <w:numId w:val="2"/>
        </w:numPr>
        <w:spacing w:line="276" w:lineRule="auto"/>
      </w:pPr>
      <w:r w:rsidRPr="009C5AED">
        <w:t>Experience in speciality</w:t>
      </w:r>
    </w:p>
    <w:p w14:paraId="546D4115" w14:textId="77777777" w:rsidR="00B17F1B" w:rsidRPr="009C5AED" w:rsidRDefault="00B17F1B" w:rsidP="00B17F1B">
      <w:pPr>
        <w:pStyle w:val="ListParagraph"/>
        <w:numPr>
          <w:ilvl w:val="1"/>
          <w:numId w:val="2"/>
        </w:numPr>
        <w:spacing w:line="276" w:lineRule="auto"/>
      </w:pPr>
      <w:r w:rsidRPr="009C5AED">
        <w:t>Understanding of disease</w:t>
      </w:r>
    </w:p>
    <w:p w14:paraId="7E66A23C" w14:textId="77777777" w:rsidR="00B17F1B" w:rsidRPr="009C5AED" w:rsidRDefault="00B17F1B" w:rsidP="00B17F1B">
      <w:pPr>
        <w:pStyle w:val="ListParagraph"/>
        <w:numPr>
          <w:ilvl w:val="1"/>
          <w:numId w:val="2"/>
        </w:numPr>
        <w:spacing w:line="276" w:lineRule="auto"/>
      </w:pPr>
      <w:r w:rsidRPr="009C5AED">
        <w:t>Relationship with patient</w:t>
      </w:r>
    </w:p>
    <w:p w14:paraId="426ACF4F" w14:textId="77777777" w:rsidR="00B17F1B" w:rsidRPr="009C5AED" w:rsidRDefault="00B17F1B" w:rsidP="00B17F1B">
      <w:pPr>
        <w:pStyle w:val="ListParagraph"/>
        <w:numPr>
          <w:ilvl w:val="1"/>
          <w:numId w:val="2"/>
        </w:numPr>
        <w:spacing w:line="276" w:lineRule="auto"/>
      </w:pPr>
      <w:r w:rsidRPr="009C5AED">
        <w:t>Relationship with colleagues</w:t>
      </w:r>
    </w:p>
    <w:p w14:paraId="169FD8C0" w14:textId="77777777" w:rsidR="00B17F1B" w:rsidRPr="009C5AED" w:rsidRDefault="00B17F1B" w:rsidP="00B17F1B">
      <w:pPr>
        <w:pStyle w:val="ListParagraph"/>
        <w:numPr>
          <w:ilvl w:val="1"/>
          <w:numId w:val="2"/>
        </w:numPr>
        <w:spacing w:line="276" w:lineRule="auto"/>
      </w:pPr>
      <w:r w:rsidRPr="009C5AED">
        <w:t>Relationship with supervisor</w:t>
      </w:r>
    </w:p>
    <w:p w14:paraId="0D4B096E" w14:textId="77777777" w:rsidR="00B17F1B" w:rsidRPr="009C5AED" w:rsidRDefault="00B17F1B" w:rsidP="00B17F1B">
      <w:pPr>
        <w:pStyle w:val="ListParagraph"/>
        <w:numPr>
          <w:ilvl w:val="1"/>
          <w:numId w:val="2"/>
        </w:numPr>
        <w:spacing w:line="276" w:lineRule="auto"/>
      </w:pPr>
      <w:r w:rsidRPr="009C5AED">
        <w:t>Personal goals for training scheme</w:t>
      </w:r>
    </w:p>
    <w:p w14:paraId="12B585F9" w14:textId="77777777" w:rsidR="00B17F1B" w:rsidRPr="009C5AED" w:rsidRDefault="00B17F1B" w:rsidP="00B17F1B">
      <w:pPr>
        <w:pStyle w:val="ListParagraph"/>
        <w:numPr>
          <w:ilvl w:val="1"/>
          <w:numId w:val="2"/>
        </w:numPr>
        <w:spacing w:line="276" w:lineRule="auto"/>
      </w:pPr>
      <w:r w:rsidRPr="009C5AED">
        <w:t>Focused curriculum for training scheme</w:t>
      </w:r>
    </w:p>
    <w:p w14:paraId="58E16019" w14:textId="77777777" w:rsidR="00B17F1B" w:rsidRDefault="00B17F1B" w:rsidP="00B17F1B">
      <w:pPr>
        <w:pStyle w:val="ListParagraph"/>
        <w:numPr>
          <w:ilvl w:val="1"/>
          <w:numId w:val="2"/>
        </w:numPr>
        <w:spacing w:line="276" w:lineRule="auto"/>
      </w:pPr>
      <w:r w:rsidRPr="009C5AED">
        <w:t>Own wellbeing</w:t>
      </w:r>
    </w:p>
    <w:p w14:paraId="5930733A" w14:textId="77777777" w:rsidR="00B17F1B" w:rsidRDefault="00B17F1B" w:rsidP="00B17F1B">
      <w:pPr>
        <w:widowControl w:val="0"/>
        <w:autoSpaceDE w:val="0"/>
        <w:autoSpaceDN w:val="0"/>
        <w:adjustRightInd w:val="0"/>
        <w:ind w:left="640" w:hanging="640"/>
        <w:rPr>
          <w:b/>
          <w:bCs/>
        </w:rPr>
      </w:pPr>
    </w:p>
    <w:p w14:paraId="32C1513C" w14:textId="77777777" w:rsidR="00B17F1B" w:rsidRDefault="00B17F1B" w:rsidP="00B17F1B">
      <w:pPr>
        <w:widowControl w:val="0"/>
        <w:autoSpaceDE w:val="0"/>
        <w:autoSpaceDN w:val="0"/>
        <w:adjustRightInd w:val="0"/>
        <w:ind w:left="640" w:hanging="640"/>
        <w:rPr>
          <w:b/>
          <w:bCs/>
        </w:rPr>
      </w:pPr>
      <w:r>
        <w:rPr>
          <w:b/>
          <w:bCs/>
        </w:rPr>
        <w:t>Estimated length of interview; 20-30 minutes</w:t>
      </w:r>
    </w:p>
    <w:p w14:paraId="3D564A7B" w14:textId="77777777" w:rsidR="00B17F1B" w:rsidRPr="00076480" w:rsidRDefault="00B17F1B" w:rsidP="00B17F1B">
      <w:pPr>
        <w:widowControl w:val="0"/>
        <w:autoSpaceDE w:val="0"/>
        <w:autoSpaceDN w:val="0"/>
        <w:adjustRightInd w:val="0"/>
        <w:ind w:left="640" w:hanging="640"/>
        <w:rPr>
          <w:i/>
          <w:iCs/>
        </w:rPr>
      </w:pPr>
      <w:r w:rsidRPr="00D06192">
        <w:rPr>
          <w:i/>
          <w:iCs/>
        </w:rPr>
        <w:t>Please note the topic guide is currently under revision and refinements are in proces</w:t>
      </w:r>
      <w:r>
        <w:rPr>
          <w:i/>
          <w:iCs/>
        </w:rPr>
        <w:t>s</w:t>
      </w:r>
    </w:p>
    <w:p w14:paraId="044D034B" w14:textId="77777777" w:rsidR="001760E5" w:rsidRDefault="00B17F1B"/>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1030DC"/>
    <w:multiLevelType w:val="hybridMultilevel"/>
    <w:tmpl w:val="69F2E8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225938"/>
    <w:multiLevelType w:val="hybridMultilevel"/>
    <w:tmpl w:val="EC4CE9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8C1F64"/>
    <w:multiLevelType w:val="hybridMultilevel"/>
    <w:tmpl w:val="5E1E0E7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D011F6"/>
    <w:multiLevelType w:val="hybridMultilevel"/>
    <w:tmpl w:val="A00468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F1B"/>
    <w:rsid w:val="006E225C"/>
    <w:rsid w:val="008A3324"/>
    <w:rsid w:val="0096107C"/>
    <w:rsid w:val="00996CDB"/>
    <w:rsid w:val="009B6A41"/>
    <w:rsid w:val="00B17F1B"/>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F6D6"/>
  <w15:chartTrackingRefBased/>
  <w15:docId w15:val="{80728F98-25E5-474B-AE62-807A81A1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F1B"/>
    <w:pPr>
      <w:spacing w:after="0" w:line="240" w:lineRule="auto"/>
    </w:pPr>
    <w:rPr>
      <w:rFonts w:ascii="Times New Roman" w:eastAsia="Times New Roman" w:hAnsi="Times New Roman" w:cs="Times New Roman"/>
      <w:sz w:val="24"/>
      <w:szCs w:val="24"/>
      <w:lang w:val="en-I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22257</Words>
  <Characters>126869</Characters>
  <Application>Microsoft Office Word</Application>
  <DocSecurity>0</DocSecurity>
  <Lines>1057</Lines>
  <Paragraphs>297</Paragraphs>
  <ScaleCrop>false</ScaleCrop>
  <Company>Springer Nature</Company>
  <LinksUpToDate>false</LinksUpToDate>
  <CharactersWithSpaces>148829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2023-07-25T04:44:00Z</dcterms:created>
  <dcterms:modified xsi:type="dcterms:W3CDTF">2023-07-25T04:45:00Z</dcterms:modified>
</cp:coreProperties>
</file>