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508B" w14:textId="4F33D9A5" w:rsidR="008D119C" w:rsidRPr="001B23BA" w:rsidRDefault="008D119C" w:rsidP="008D119C">
      <w:pPr>
        <w:pStyle w:val="Heading2"/>
        <w:spacing w:line="480" w:lineRule="auto"/>
        <w:rPr>
          <w:rFonts w:asciiTheme="majorBidi" w:hAnsiTheme="majorBidi"/>
          <w:b/>
          <w:bCs/>
          <w:i/>
          <w:iCs/>
          <w:sz w:val="24"/>
          <w:szCs w:val="24"/>
        </w:rPr>
      </w:pPr>
      <w:r w:rsidRPr="001B23BA">
        <w:rPr>
          <w:rFonts w:asciiTheme="majorBidi" w:hAnsiTheme="majorBidi"/>
          <w:b/>
          <w:bCs/>
          <w:i/>
          <w:iCs/>
          <w:sz w:val="24"/>
          <w:szCs w:val="24"/>
        </w:rPr>
        <w:t xml:space="preserve">Treatment </w:t>
      </w:r>
      <w:r>
        <w:rPr>
          <w:rFonts w:asciiTheme="majorBidi" w:hAnsiTheme="majorBidi"/>
          <w:b/>
          <w:bCs/>
          <w:i/>
          <w:iCs/>
          <w:sz w:val="24"/>
          <w:szCs w:val="24"/>
        </w:rPr>
        <w:t xml:space="preserve">Protocol </w:t>
      </w:r>
      <w:r>
        <w:rPr>
          <w:rFonts w:asciiTheme="majorBidi" w:hAnsiTheme="majorBidi"/>
          <w:b/>
          <w:bCs/>
          <w:i/>
          <w:iCs/>
          <w:sz w:val="24"/>
          <w:szCs w:val="24"/>
        </w:rPr>
        <w:t>-Supplementary data</w:t>
      </w:r>
    </w:p>
    <w:p w14:paraId="6DB8A8AE" w14:textId="77777777" w:rsidR="008D119C" w:rsidRPr="0092631E" w:rsidRDefault="008D119C" w:rsidP="008D119C">
      <w:pPr>
        <w:spacing w:line="480" w:lineRule="auto"/>
        <w:ind w:firstLine="720"/>
        <w:rPr>
          <w:rFonts w:asciiTheme="majorBidi" w:hAnsiTheme="majorBidi" w:cstheme="majorBidi"/>
          <w:sz w:val="24"/>
          <w:szCs w:val="24"/>
          <w:lang w:val="en-GB"/>
        </w:rPr>
      </w:pPr>
      <w:r w:rsidRPr="0092631E">
        <w:rPr>
          <w:rFonts w:asciiTheme="majorBidi" w:hAnsiTheme="majorBidi" w:cstheme="majorBidi"/>
          <w:sz w:val="24"/>
          <w:szCs w:val="24"/>
          <w:lang w:val="en-GB"/>
        </w:rPr>
        <w:t xml:space="preserve">All dogs included in the study </w:t>
      </w:r>
      <w:r>
        <w:rPr>
          <w:rFonts w:asciiTheme="majorBidi" w:hAnsiTheme="majorBidi" w:cstheme="majorBidi"/>
          <w:sz w:val="24"/>
          <w:szCs w:val="24"/>
          <w:lang w:val="en-GB"/>
        </w:rPr>
        <w:t>were</w:t>
      </w:r>
      <w:r w:rsidRPr="0092631E">
        <w:rPr>
          <w:rFonts w:asciiTheme="majorBidi" w:hAnsiTheme="majorBidi" w:cstheme="majorBidi"/>
          <w:sz w:val="24"/>
          <w:szCs w:val="24"/>
          <w:lang w:val="en-GB"/>
        </w:rPr>
        <w:t xml:space="preserve"> treated according to the HUVTH SP treatment protocol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; </w:t>
      </w:r>
      <w:r w:rsidRPr="00AA4DC3">
        <w:rPr>
          <w:rFonts w:asciiTheme="majorBidi" w:hAnsiTheme="majorBidi" w:cstheme="majorBidi"/>
          <w:sz w:val="24"/>
          <w:szCs w:val="24"/>
        </w:rPr>
        <w:t xml:space="preserve">at presentation, 2 </w:t>
      </w:r>
      <w:r>
        <w:rPr>
          <w:rFonts w:asciiTheme="majorBidi" w:hAnsiTheme="majorBidi" w:cstheme="majorBidi"/>
          <w:sz w:val="24"/>
          <w:szCs w:val="24"/>
        </w:rPr>
        <w:t>intravenous (IV)</w:t>
      </w:r>
      <w:r w:rsidRPr="00AA4DC3">
        <w:rPr>
          <w:rFonts w:asciiTheme="majorBidi" w:hAnsiTheme="majorBidi" w:cstheme="majorBidi"/>
          <w:sz w:val="24"/>
          <w:szCs w:val="24"/>
        </w:rPr>
        <w:t xml:space="preserve"> catheters were placed, one for IV fluids therapy and another for blood sampling. </w:t>
      </w:r>
      <w:r>
        <w:rPr>
          <w:rFonts w:asciiTheme="majorBidi" w:hAnsiTheme="majorBidi" w:cstheme="majorBidi"/>
          <w:sz w:val="24"/>
          <w:szCs w:val="24"/>
          <w:lang w:val="en-GB"/>
        </w:rPr>
        <w:t>Intravenous fluids contained Lactated Ringer’s Solution (LRS) administrated at a dosage of 5 ml/kg/hr and metoclopramide (S.A.L.F S.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p.A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GB"/>
        </w:rPr>
        <w:t>Cenate</w:t>
      </w:r>
      <w:proofErr w:type="spellEnd"/>
      <w:r>
        <w:rPr>
          <w:rFonts w:asciiTheme="majorBidi" w:hAnsiTheme="majorBidi" w:cstheme="majorBidi"/>
          <w:sz w:val="24"/>
          <w:szCs w:val="24"/>
          <w:lang w:val="en-GB"/>
        </w:rPr>
        <w:t xml:space="preserve"> Sotto, Italy) at 1 mg/kg/day constant rate infusion. In cases of hypoglycemi</w:t>
      </w:r>
      <w:r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(glucose levels &lt;60 mg/dl), dextrose 2.5% was added to the protocol, following a bolus injection of 50% dextrose, at 0.5 g/kg, diluted 1:1 with saline.</w:t>
      </w:r>
      <w:r>
        <w:rPr>
          <w:rFonts w:asciiTheme="majorBidi" w:hAnsiTheme="majorBidi" w:cstheme="majorBidi"/>
          <w:sz w:val="24"/>
          <w:szCs w:val="24"/>
        </w:rPr>
        <w:t xml:space="preserve"> In cases in which fluid protocol resuscitation was not sufficient to restore blood pressure and normal perfusion parameters (</w:t>
      </w:r>
      <w:proofErr w:type="spellStart"/>
      <w:r>
        <w:rPr>
          <w:rFonts w:asciiTheme="majorBidi" w:hAnsiTheme="majorBidi" w:cstheme="majorBidi"/>
          <w:sz w:val="24"/>
          <w:szCs w:val="24"/>
        </w:rPr>
        <w:t>e.g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normal capillary refill time, heart rate, temp, extremities), vasopressors and natural/ synthetic colloids were administrated individually to restore perfusion end points.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E37B8">
        <w:rPr>
          <w:rFonts w:asciiTheme="majorBidi" w:hAnsiTheme="majorBidi" w:cstheme="majorBidi"/>
          <w:sz w:val="24"/>
          <w:szCs w:val="24"/>
          <w:lang w:val="en-GB"/>
        </w:rPr>
        <w:t>All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dogs went through surgery within the first 24 hrs.</w:t>
      </w:r>
      <w:r>
        <w:rPr>
          <w:rFonts w:asciiTheme="majorBidi" w:hAnsiTheme="majorBidi" w:cstheme="majorBidi"/>
          <w:sz w:val="24"/>
          <w:szCs w:val="24"/>
        </w:rPr>
        <w:t xml:space="preserve"> If SP etiology included an abdominal mass, abdominal ultrasound and chest radiographs were performed to rule out metastases pre-operatively.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Medications received during hospitalization, pre-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op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and post-op, included: </w:t>
      </w:r>
      <w:r>
        <w:rPr>
          <w:rFonts w:asciiTheme="majorBidi" w:hAnsiTheme="majorBidi" w:cstheme="majorBidi"/>
          <w:sz w:val="24"/>
          <w:szCs w:val="24"/>
        </w:rPr>
        <w:t>a</w:t>
      </w:r>
      <w:r w:rsidRPr="00B25CAA">
        <w:rPr>
          <w:rFonts w:asciiTheme="majorBidi" w:hAnsiTheme="majorBidi" w:cstheme="majorBidi"/>
          <w:sz w:val="24"/>
          <w:szCs w:val="24"/>
        </w:rPr>
        <w:t>moxicillin</w:t>
      </w:r>
      <w:r>
        <w:rPr>
          <w:rFonts w:asciiTheme="majorBidi" w:hAnsiTheme="majorBidi" w:cstheme="majorBidi"/>
          <w:sz w:val="24"/>
          <w:szCs w:val="24"/>
        </w:rPr>
        <w:t xml:space="preserve"> + </w:t>
      </w:r>
      <w:r w:rsidRPr="00B25CAA">
        <w:rPr>
          <w:rFonts w:asciiTheme="majorBidi" w:hAnsiTheme="majorBidi" w:cstheme="majorBidi"/>
          <w:sz w:val="24"/>
          <w:szCs w:val="24"/>
        </w:rPr>
        <w:t>clavulanic acid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Augmentin®, </w:t>
      </w:r>
      <w:r>
        <w:rPr>
          <w:rFonts w:asciiTheme="majorBidi" w:hAnsiTheme="majorBidi" w:cstheme="majorBidi"/>
          <w:sz w:val="24"/>
          <w:szCs w:val="24"/>
        </w:rPr>
        <w:t xml:space="preserve">Laboratory </w:t>
      </w:r>
      <w:proofErr w:type="spellStart"/>
      <w:r>
        <w:rPr>
          <w:rFonts w:asciiTheme="majorBidi" w:hAnsiTheme="majorBidi" w:cstheme="majorBidi"/>
          <w:sz w:val="24"/>
          <w:szCs w:val="24"/>
        </w:rPr>
        <w:t>Reig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Jofre</w:t>
      </w:r>
      <w:proofErr w:type="spellEnd"/>
      <w:r>
        <w:rPr>
          <w:rFonts w:asciiTheme="majorBidi" w:hAnsiTheme="majorBidi" w:cstheme="majorBidi"/>
          <w:sz w:val="24"/>
          <w:szCs w:val="24"/>
        </w:rPr>
        <w:t>, Toledo</w:t>
      </w:r>
      <w:r>
        <w:rPr>
          <w:rFonts w:asciiTheme="majorBidi" w:hAnsiTheme="majorBidi" w:cstheme="majorBidi"/>
          <w:sz w:val="24"/>
          <w:szCs w:val="24"/>
          <w:lang w:val="en-GB"/>
        </w:rPr>
        <w:t>, Spain)</w:t>
      </w:r>
      <w:r w:rsidRPr="00A5158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15 mg/kg, IV, twice a day and metronidazole (B. Braun, </w:t>
      </w:r>
      <w:proofErr w:type="spellStart"/>
      <w:r>
        <w:rPr>
          <w:rFonts w:asciiTheme="majorBidi" w:hAnsiTheme="majorBidi" w:cstheme="majorBidi"/>
          <w:sz w:val="24"/>
          <w:szCs w:val="24"/>
        </w:rPr>
        <w:t>Melsungen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AG, Germany)15 mg/kg, IV, twice a day. Enrofloxacin (</w:t>
      </w:r>
      <w:proofErr w:type="spellStart"/>
      <w:r>
        <w:rPr>
          <w:rFonts w:asciiTheme="majorBidi" w:hAnsiTheme="majorBidi" w:cstheme="majorBidi"/>
          <w:sz w:val="24"/>
          <w:szCs w:val="24"/>
        </w:rPr>
        <w:t>Baytril</w:t>
      </w:r>
      <w:proofErr w:type="spellEnd"/>
      <w:r>
        <w:rPr>
          <w:rFonts w:asciiTheme="majorBidi" w:hAnsiTheme="majorBidi" w:cstheme="majorBidi"/>
          <w:sz w:val="24"/>
          <w:szCs w:val="24"/>
        </w:rPr>
        <w:t>®</w:t>
      </w:r>
      <w:r>
        <w:rPr>
          <w:rFonts w:asciiTheme="majorBidi" w:hAnsiTheme="majorBidi" w:cstheme="majorBidi"/>
          <w:sz w:val="24"/>
          <w:szCs w:val="24"/>
          <w:lang w:val="en-GB"/>
        </w:rPr>
        <w:t>, Bayer Animal Health, GmbH, Leverkusen, Germany)</w:t>
      </w:r>
      <w:r>
        <w:rPr>
          <w:rFonts w:asciiTheme="majorBidi" w:hAnsiTheme="majorBidi" w:cstheme="majorBidi"/>
          <w:sz w:val="24"/>
          <w:szCs w:val="24"/>
        </w:rPr>
        <w:t xml:space="preserve">10 mg/kg, IV, once daily. In severe cases of SP, combined with </w:t>
      </w:r>
      <w:r w:rsidRPr="00A826BF">
        <w:rPr>
          <w:rFonts w:asciiTheme="majorBidi" w:hAnsiTheme="majorBidi" w:cstheme="majorBidi"/>
          <w:sz w:val="24"/>
          <w:szCs w:val="24"/>
        </w:rPr>
        <w:t>DIC</w:t>
      </w:r>
      <w:r>
        <w:rPr>
          <w:rFonts w:asciiTheme="majorBidi" w:hAnsiTheme="majorBidi" w:cstheme="majorBidi"/>
          <w:sz w:val="24"/>
          <w:szCs w:val="24"/>
        </w:rPr>
        <w:t>, additional fresh frozen plasma was given IV at a dosage of 10 ml/kg and according to the attending clinician’s</w:t>
      </w:r>
      <w:r w:rsidRPr="005D3E74">
        <w:rPr>
          <w:rFonts w:asciiTheme="majorBidi" w:hAnsiTheme="majorBidi" w:cstheme="majorBidi"/>
          <w:sz w:val="24"/>
          <w:szCs w:val="24"/>
        </w:rPr>
        <w:t xml:space="preserve"> discretion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20CB48F6" w14:textId="77777777" w:rsidR="008D119C" w:rsidRPr="008D119C" w:rsidRDefault="008D119C">
      <w:pPr>
        <w:rPr>
          <w:lang w:val="en-GB"/>
        </w:rPr>
      </w:pPr>
    </w:p>
    <w:sectPr w:rsidR="008D119C" w:rsidRPr="008D11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9C"/>
    <w:rsid w:val="008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134BD"/>
  <w15:chartTrackingRefBased/>
  <w15:docId w15:val="{22509C38-343B-4B7B-85FF-CE72CFC5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19C"/>
    <w:pPr>
      <w:spacing w:after="200" w:line="276" w:lineRule="auto"/>
    </w:pPr>
    <w:rPr>
      <w:rFonts w:eastAsiaTheme="minorEastAsia"/>
      <w:kern w:val="0"/>
      <w:lang w:val="en-US" w:eastAsia="ii-C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1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119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 w:eastAsia="ii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Weiss</dc:creator>
  <cp:keywords/>
  <dc:description/>
  <cp:lastModifiedBy>Karin Weiss</cp:lastModifiedBy>
  <cp:revision>1</cp:revision>
  <dcterms:created xsi:type="dcterms:W3CDTF">2023-07-09T08:47:00Z</dcterms:created>
  <dcterms:modified xsi:type="dcterms:W3CDTF">2023-07-09T08:48:00Z</dcterms:modified>
</cp:coreProperties>
</file>