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7DC" w:rsidRPr="008A1665" w:rsidRDefault="00D062B8" w:rsidP="00E127DC">
      <w:pPr>
        <w:jc w:val="center"/>
        <w:rPr>
          <w:rFonts w:ascii="Arial" w:hAnsi="Arial" w:cs="Arial"/>
          <w:b/>
          <w:sz w:val="36"/>
          <w:szCs w:val="36"/>
        </w:rPr>
      </w:pPr>
      <w:r>
        <w:rPr>
          <w:rFonts w:ascii="Arial" w:hAnsi="Arial" w:cs="Arial"/>
          <w:b/>
          <w:sz w:val="36"/>
          <w:szCs w:val="36"/>
        </w:rPr>
        <w:t>Supplementary Information</w:t>
      </w:r>
    </w:p>
    <w:p w:rsidR="00E127DC" w:rsidRDefault="00E127DC" w:rsidP="00E127DC">
      <w:pPr>
        <w:rPr>
          <w:rFonts w:ascii="Arial" w:hAnsi="Arial" w:cs="Arial"/>
          <w:noProof/>
        </w:rPr>
      </w:pPr>
    </w:p>
    <w:p w:rsidR="003F06CC" w:rsidRDefault="003F06CC" w:rsidP="00085B19">
      <w:pPr>
        <w:tabs>
          <w:tab w:val="left" w:pos="8610"/>
        </w:tabs>
        <w:spacing w:after="0" w:line="480" w:lineRule="auto"/>
        <w:jc w:val="both"/>
        <w:rPr>
          <w:rFonts w:ascii="Arial" w:hAnsi="Arial" w:cs="Arial"/>
          <w:b/>
        </w:rPr>
      </w:pPr>
    </w:p>
    <w:p w:rsidR="009C4E9E" w:rsidRPr="003F06CC" w:rsidRDefault="003F06CC" w:rsidP="00085B19">
      <w:pPr>
        <w:tabs>
          <w:tab w:val="left" w:pos="8610"/>
        </w:tabs>
        <w:spacing w:after="0" w:line="480" w:lineRule="auto"/>
        <w:jc w:val="both"/>
        <w:rPr>
          <w:rFonts w:ascii="Arial" w:hAnsi="Arial" w:cs="Arial"/>
          <w:bCs/>
        </w:rPr>
      </w:pPr>
      <w:r>
        <w:rPr>
          <w:rFonts w:ascii="Arial" w:hAnsi="Arial" w:cs="Arial"/>
          <w:b/>
        </w:rPr>
        <w:t xml:space="preserve">Supplemental Figure 1.  </w:t>
      </w:r>
      <w:r w:rsidRPr="003F06CC">
        <w:rPr>
          <w:rFonts w:ascii="Arial" w:hAnsi="Arial" w:cs="Arial"/>
          <w:bCs/>
        </w:rPr>
        <w:t xml:space="preserve">Validation of Whole Blood Transcriptome Data using a Targeted Gene Array.  </w:t>
      </w:r>
    </w:p>
    <w:p w:rsidR="003F06CC" w:rsidRDefault="003F06CC" w:rsidP="00085B19">
      <w:pPr>
        <w:tabs>
          <w:tab w:val="left" w:pos="8610"/>
        </w:tabs>
        <w:spacing w:after="0" w:line="480" w:lineRule="auto"/>
        <w:jc w:val="both"/>
        <w:rPr>
          <w:rFonts w:ascii="Arial" w:hAnsi="Arial" w:cs="Arial"/>
          <w:b/>
          <w:bCs/>
        </w:rPr>
      </w:pPr>
    </w:p>
    <w:p w:rsidR="00C14B44" w:rsidRPr="00043607" w:rsidRDefault="00C14B44" w:rsidP="00085B19">
      <w:pPr>
        <w:tabs>
          <w:tab w:val="left" w:pos="8610"/>
        </w:tabs>
        <w:spacing w:after="0" w:line="480" w:lineRule="auto"/>
        <w:jc w:val="both"/>
        <w:rPr>
          <w:rFonts w:ascii="Arial" w:hAnsi="Arial" w:cs="Arial"/>
          <w:bCs/>
        </w:rPr>
      </w:pPr>
      <w:r>
        <w:rPr>
          <w:rFonts w:ascii="Arial" w:hAnsi="Arial" w:cs="Arial"/>
          <w:b/>
          <w:bCs/>
        </w:rPr>
        <w:t xml:space="preserve">Supplemental </w:t>
      </w:r>
      <w:r w:rsidR="00C76508">
        <w:rPr>
          <w:rFonts w:ascii="Arial" w:hAnsi="Arial" w:cs="Arial"/>
          <w:b/>
          <w:bCs/>
        </w:rPr>
        <w:t>Figure</w:t>
      </w:r>
      <w:r>
        <w:rPr>
          <w:rFonts w:ascii="Arial" w:hAnsi="Arial" w:cs="Arial"/>
          <w:b/>
          <w:bCs/>
        </w:rPr>
        <w:t xml:space="preserve"> </w:t>
      </w:r>
      <w:r w:rsidR="003F06CC">
        <w:rPr>
          <w:rFonts w:ascii="Arial" w:hAnsi="Arial" w:cs="Arial"/>
          <w:b/>
          <w:bCs/>
        </w:rPr>
        <w:t>2</w:t>
      </w:r>
      <w:r w:rsidR="003F06CC">
        <w:rPr>
          <w:rFonts w:ascii="Arial" w:hAnsi="Arial" w:cs="Arial"/>
          <w:b/>
        </w:rPr>
        <w:t xml:space="preserve">.  </w:t>
      </w:r>
      <w:r w:rsidR="00043607" w:rsidRPr="00043607">
        <w:rPr>
          <w:rFonts w:ascii="Arial" w:hAnsi="Arial" w:cs="Arial"/>
          <w:bCs/>
        </w:rPr>
        <w:t xml:space="preserve">Differential Gene Expression and Central Regulatory Features in SMA, excluding children </w:t>
      </w:r>
      <w:r w:rsidR="00043607" w:rsidRPr="00043607">
        <w:rPr>
          <w:rFonts w:ascii="Arial" w:hAnsi="Arial" w:cs="Arial"/>
        </w:rPr>
        <w:t>presenting with sickle cell disease (SCD)</w:t>
      </w:r>
    </w:p>
    <w:p w:rsidR="00C14B44" w:rsidRDefault="00C14B44" w:rsidP="00085B19">
      <w:pPr>
        <w:tabs>
          <w:tab w:val="left" w:pos="8610"/>
        </w:tabs>
        <w:spacing w:after="0" w:line="480" w:lineRule="auto"/>
        <w:jc w:val="both"/>
        <w:rPr>
          <w:rFonts w:ascii="Arial" w:hAnsi="Arial" w:cs="Arial"/>
          <w:b/>
          <w:bCs/>
        </w:rPr>
      </w:pPr>
    </w:p>
    <w:p w:rsidR="00C76508" w:rsidRDefault="00C76508" w:rsidP="00085B19">
      <w:pPr>
        <w:tabs>
          <w:tab w:val="left" w:pos="8610"/>
        </w:tabs>
        <w:spacing w:after="0" w:line="480" w:lineRule="auto"/>
        <w:jc w:val="both"/>
        <w:rPr>
          <w:rFonts w:ascii="Arial" w:hAnsi="Arial" w:cs="Arial"/>
          <w:b/>
          <w:bCs/>
        </w:rPr>
      </w:pPr>
    </w:p>
    <w:p w:rsidR="003B4463" w:rsidRDefault="003B4463" w:rsidP="00085B19">
      <w:pPr>
        <w:tabs>
          <w:tab w:val="left" w:pos="8610"/>
        </w:tabs>
        <w:spacing w:after="0" w:line="480" w:lineRule="auto"/>
        <w:jc w:val="both"/>
        <w:rPr>
          <w:rFonts w:ascii="Arial" w:hAnsi="Arial" w:cs="Arial"/>
          <w:b/>
          <w:bCs/>
        </w:rPr>
      </w:pPr>
    </w:p>
    <w:p w:rsidR="00E127DC" w:rsidRDefault="00E127DC" w:rsidP="00E127DC">
      <w:pPr>
        <w:rPr>
          <w:rFonts w:ascii="Arial" w:hAnsi="Arial" w:cs="Arial"/>
          <w:noProof/>
        </w:rPr>
      </w:pPr>
    </w:p>
    <w:p w:rsidR="00570908" w:rsidRDefault="00570908" w:rsidP="00E127DC">
      <w:pPr>
        <w:rPr>
          <w:rFonts w:ascii="Arial" w:hAnsi="Arial" w:cs="Arial"/>
        </w:rPr>
        <w:sectPr w:rsidR="00570908" w:rsidSect="00570908">
          <w:pgSz w:w="11909" w:h="16834" w:code="9"/>
          <w:pgMar w:top="1080" w:right="1080" w:bottom="994" w:left="1267" w:header="720" w:footer="706" w:gutter="0"/>
          <w:cols w:space="720"/>
          <w:docGrid w:linePitch="326"/>
        </w:sectPr>
      </w:pPr>
    </w:p>
    <w:p w:rsidR="00D15CED" w:rsidRPr="00591A0F" w:rsidRDefault="00995614" w:rsidP="00D15CED">
      <w:pPr>
        <w:pStyle w:val="Heading4"/>
        <w:jc w:val="center"/>
        <w:rPr>
          <w:rFonts w:ascii="Arial" w:hAnsi="Arial" w:cs="Arial"/>
          <w:sz w:val="36"/>
          <w:szCs w:val="36"/>
        </w:rPr>
      </w:pPr>
      <w:r>
        <w:rPr>
          <w:rFonts w:ascii="Arial" w:hAnsi="Arial" w:cs="Arial"/>
          <w:sz w:val="36"/>
          <w:szCs w:val="36"/>
        </w:rPr>
        <w:lastRenderedPageBreak/>
        <w:t>Supplementa</w:t>
      </w:r>
      <w:r w:rsidR="005B165E">
        <w:rPr>
          <w:rFonts w:ascii="Arial" w:hAnsi="Arial" w:cs="Arial"/>
          <w:sz w:val="36"/>
          <w:szCs w:val="36"/>
        </w:rPr>
        <w:t>l</w:t>
      </w:r>
      <w:r>
        <w:rPr>
          <w:rFonts w:ascii="Arial" w:hAnsi="Arial" w:cs="Arial"/>
          <w:sz w:val="36"/>
          <w:szCs w:val="36"/>
        </w:rPr>
        <w:t xml:space="preserve"> F</w:t>
      </w:r>
      <w:r w:rsidR="00D15CED" w:rsidRPr="00591A0F">
        <w:rPr>
          <w:rFonts w:ascii="Arial" w:hAnsi="Arial" w:cs="Arial"/>
          <w:sz w:val="36"/>
          <w:szCs w:val="36"/>
        </w:rPr>
        <w:t xml:space="preserve">igure </w:t>
      </w:r>
      <w:r w:rsidR="004253DC">
        <w:rPr>
          <w:rFonts w:ascii="Arial" w:hAnsi="Arial" w:cs="Arial"/>
          <w:sz w:val="36"/>
          <w:szCs w:val="36"/>
        </w:rPr>
        <w:t>1</w:t>
      </w:r>
    </w:p>
    <w:p w:rsidR="00D15CED" w:rsidRDefault="007537CB" w:rsidP="00D15CED">
      <w:pPr>
        <w:pStyle w:val="Heading4"/>
        <w:jc w:val="center"/>
        <w:rPr>
          <w:rFonts w:ascii="Arial" w:hAnsi="Arial" w:cs="Arial"/>
        </w:rPr>
      </w:pPr>
      <w:r>
        <w:rPr>
          <w:rFonts w:ascii="Arial" w:hAnsi="Arial" w:cs="Arial"/>
          <w:noProof/>
        </w:rPr>
        <w:drawing>
          <wp:anchor distT="0" distB="0" distL="114300" distR="114300" simplePos="0" relativeHeight="251670528" behindDoc="0" locked="0" layoutInCell="1" allowOverlap="1">
            <wp:simplePos x="0" y="0"/>
            <wp:positionH relativeFrom="column">
              <wp:posOffset>-324485</wp:posOffset>
            </wp:positionH>
            <wp:positionV relativeFrom="paragraph">
              <wp:posOffset>659130</wp:posOffset>
            </wp:positionV>
            <wp:extent cx="6804660" cy="5720080"/>
            <wp:effectExtent l="0" t="0" r="0" b="0"/>
            <wp:wrapSquare wrapText="bothSides"/>
            <wp:docPr id="7" name="Picture 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screenshot of a computer&#10;&#10;Description automatically generated with medium confidence"/>
                    <pic:cNvPicPr>
                      <a:picLocks noChangeAspect="1" noChangeArrowheads="1"/>
                    </pic:cNvPicPr>
                  </pic:nvPicPr>
                  <pic:blipFill>
                    <a:blip r:embed="rId6" cstate="print"/>
                    <a:srcRect/>
                    <a:stretch>
                      <a:fillRect/>
                    </a:stretch>
                  </pic:blipFill>
                  <pic:spPr bwMode="auto">
                    <a:xfrm>
                      <a:off x="0" y="0"/>
                      <a:ext cx="6804660" cy="5720080"/>
                    </a:xfrm>
                    <a:prstGeom prst="rect">
                      <a:avLst/>
                    </a:prstGeom>
                    <a:noFill/>
                  </pic:spPr>
                </pic:pic>
              </a:graphicData>
            </a:graphic>
          </wp:anchor>
        </w:drawing>
      </w: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074E2F" w:rsidRDefault="00074E2F" w:rsidP="00D15CED">
      <w:pPr>
        <w:pStyle w:val="Heading4"/>
        <w:jc w:val="center"/>
        <w:rPr>
          <w:rFonts w:ascii="Arial" w:hAnsi="Arial" w:cs="Arial"/>
        </w:rPr>
      </w:pPr>
    </w:p>
    <w:p w:rsidR="00E333AB" w:rsidRDefault="002E7DFA" w:rsidP="00D15CED">
      <w:pPr>
        <w:pStyle w:val="Heading4"/>
        <w:jc w:val="center"/>
        <w:rPr>
          <w:rFonts w:ascii="Arial" w:hAnsi="Arial" w:cs="Arial"/>
        </w:rPr>
      </w:pPr>
      <w:r>
        <w:rPr>
          <w:rFonts w:ascii="Arial" w:hAnsi="Arial" w:cs="Arial"/>
          <w:noProof/>
        </w:rPr>
        <w:drawing>
          <wp:anchor distT="0" distB="0" distL="114300" distR="114300" simplePos="0" relativeHeight="251676672" behindDoc="0" locked="0" layoutInCell="1" allowOverlap="1">
            <wp:simplePos x="0" y="0"/>
            <wp:positionH relativeFrom="column">
              <wp:posOffset>-123190</wp:posOffset>
            </wp:positionH>
            <wp:positionV relativeFrom="paragraph">
              <wp:posOffset>782320</wp:posOffset>
            </wp:positionV>
            <wp:extent cx="6229350" cy="5214620"/>
            <wp:effectExtent l="0" t="0" r="0" b="0"/>
            <wp:wrapSquare wrapText="bothSides"/>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6229350" cy="5214620"/>
                    </a:xfrm>
                    <a:prstGeom prst="rect">
                      <a:avLst/>
                    </a:prstGeom>
                    <a:noFill/>
                    <a:ln w="9525">
                      <a:noFill/>
                      <a:miter lim="800000"/>
                      <a:headEnd/>
                      <a:tailEnd/>
                    </a:ln>
                  </pic:spPr>
                </pic:pic>
              </a:graphicData>
            </a:graphic>
          </wp:anchor>
        </w:drawing>
      </w:r>
    </w:p>
    <w:p w:rsidR="00B30219" w:rsidRDefault="00B30219" w:rsidP="00B30219">
      <w:pPr>
        <w:pStyle w:val="Heading4"/>
        <w:jc w:val="center"/>
        <w:rPr>
          <w:noProof/>
        </w:rPr>
      </w:pPr>
    </w:p>
    <w:p w:rsidR="00B30219" w:rsidRDefault="00B30219">
      <w:pPr>
        <w:spacing w:after="200" w:line="276" w:lineRule="auto"/>
        <w:rPr>
          <w:rFonts w:ascii="Times New Roman" w:eastAsia="Times New Roman" w:hAnsi="Times New Roman" w:cs="Times New Roman"/>
          <w:b/>
          <w:bCs/>
          <w:noProof/>
          <w:sz w:val="24"/>
          <w:szCs w:val="24"/>
        </w:rPr>
      </w:pPr>
      <w:r>
        <w:rPr>
          <w:noProof/>
        </w:rPr>
        <w:br w:type="page"/>
      </w:r>
    </w:p>
    <w:p w:rsidR="00B30219" w:rsidRDefault="00B30219">
      <w:pPr>
        <w:spacing w:after="200" w:line="276" w:lineRule="auto"/>
        <w:rPr>
          <w:noProof/>
        </w:rPr>
        <w:sectPr w:rsidR="00B30219" w:rsidSect="00B30219">
          <w:pgSz w:w="11909" w:h="16834" w:code="9"/>
          <w:pgMar w:top="994" w:right="1267" w:bottom="1080" w:left="1080" w:header="720" w:footer="706" w:gutter="0"/>
          <w:cols w:space="720"/>
          <w:docGrid w:linePitch="326"/>
        </w:sectPr>
      </w:pPr>
    </w:p>
    <w:p w:rsidR="00B30219" w:rsidRDefault="00B30219" w:rsidP="00B30219">
      <w:pPr>
        <w:spacing w:line="480" w:lineRule="auto"/>
        <w:jc w:val="both"/>
        <w:rPr>
          <w:noProof/>
        </w:rPr>
      </w:pPr>
      <w:r>
        <w:rPr>
          <w:rFonts w:ascii="Arial" w:eastAsia="Times New Roman" w:hAnsi="Arial" w:cs="Arial"/>
          <w:b/>
          <w:bCs/>
          <w:noProof/>
        </w:rPr>
        <w:lastRenderedPageBreak/>
        <w:drawing>
          <wp:anchor distT="0" distB="0" distL="114300" distR="114300" simplePos="0" relativeHeight="251674624" behindDoc="0" locked="0" layoutInCell="1" allowOverlap="1">
            <wp:simplePos x="0" y="0"/>
            <wp:positionH relativeFrom="column">
              <wp:posOffset>-230505</wp:posOffset>
            </wp:positionH>
            <wp:positionV relativeFrom="paragraph">
              <wp:posOffset>150124</wp:posOffset>
            </wp:positionV>
            <wp:extent cx="9801225" cy="3476625"/>
            <wp:effectExtent l="0" t="0" r="9525" b="952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9801225" cy="3476625"/>
                    </a:xfrm>
                    <a:prstGeom prst="rect">
                      <a:avLst/>
                    </a:prstGeom>
                    <a:noFill/>
                    <a:ln w="9525">
                      <a:noFill/>
                      <a:miter lim="800000"/>
                      <a:headEnd/>
                      <a:tailEnd/>
                    </a:ln>
                  </pic:spPr>
                </pic:pic>
              </a:graphicData>
            </a:graphic>
          </wp:anchor>
        </w:drawing>
      </w:r>
    </w:p>
    <w:p w:rsidR="00B30219" w:rsidRPr="008D282F" w:rsidRDefault="00B30219" w:rsidP="00A23DFB">
      <w:pPr>
        <w:spacing w:after="0" w:line="480" w:lineRule="auto"/>
        <w:jc w:val="both"/>
        <w:rPr>
          <w:rFonts w:ascii="Arial" w:eastAsia="Times New Roman" w:hAnsi="Arial" w:cs="Arial"/>
          <w:bCs/>
        </w:rPr>
      </w:pPr>
      <w:r>
        <w:rPr>
          <w:rFonts w:ascii="Arial" w:hAnsi="Arial" w:cs="Arial"/>
          <w:b/>
        </w:rPr>
        <w:t xml:space="preserve">Supplemental Figure </w:t>
      </w:r>
      <w:r w:rsidR="00673DB5">
        <w:rPr>
          <w:rFonts w:ascii="Arial" w:hAnsi="Arial" w:cs="Arial"/>
          <w:b/>
        </w:rPr>
        <w:t>1</w:t>
      </w:r>
      <w:r>
        <w:rPr>
          <w:rFonts w:ascii="Arial" w:hAnsi="Arial" w:cs="Arial"/>
          <w:b/>
        </w:rPr>
        <w:t xml:space="preserve">: </w:t>
      </w:r>
      <w:r w:rsidRPr="00A37CDB">
        <w:rPr>
          <w:rFonts w:ascii="Arial" w:hAnsi="Arial" w:cs="Arial"/>
          <w:b/>
        </w:rPr>
        <w:t xml:space="preserve">Validation of </w:t>
      </w:r>
      <w:r>
        <w:rPr>
          <w:rFonts w:ascii="Arial" w:hAnsi="Arial" w:cs="Arial"/>
          <w:b/>
        </w:rPr>
        <w:t>W</w:t>
      </w:r>
      <w:r w:rsidRPr="00A37CDB">
        <w:rPr>
          <w:rFonts w:ascii="Arial" w:hAnsi="Arial" w:cs="Arial"/>
          <w:b/>
        </w:rPr>
        <w:t xml:space="preserve">hole </w:t>
      </w:r>
      <w:r>
        <w:rPr>
          <w:rFonts w:ascii="Arial" w:hAnsi="Arial" w:cs="Arial"/>
          <w:b/>
        </w:rPr>
        <w:t>B</w:t>
      </w:r>
      <w:r w:rsidRPr="00A37CDB">
        <w:rPr>
          <w:rFonts w:ascii="Arial" w:hAnsi="Arial" w:cs="Arial"/>
          <w:b/>
        </w:rPr>
        <w:t xml:space="preserve">lood </w:t>
      </w:r>
      <w:r>
        <w:rPr>
          <w:rFonts w:ascii="Arial" w:hAnsi="Arial" w:cs="Arial"/>
          <w:b/>
        </w:rPr>
        <w:t>T</w:t>
      </w:r>
      <w:r w:rsidRPr="00A37CDB">
        <w:rPr>
          <w:rFonts w:ascii="Arial" w:hAnsi="Arial" w:cs="Arial"/>
          <w:b/>
        </w:rPr>
        <w:t xml:space="preserve">ranscriptome </w:t>
      </w:r>
      <w:r>
        <w:rPr>
          <w:rFonts w:ascii="Arial" w:hAnsi="Arial" w:cs="Arial"/>
          <w:b/>
        </w:rPr>
        <w:t>D</w:t>
      </w:r>
      <w:r w:rsidRPr="00A37CDB">
        <w:rPr>
          <w:rFonts w:ascii="Arial" w:hAnsi="Arial" w:cs="Arial"/>
          <w:b/>
        </w:rPr>
        <w:t xml:space="preserve">ata using </w:t>
      </w:r>
      <w:r>
        <w:rPr>
          <w:rFonts w:ascii="Arial" w:hAnsi="Arial" w:cs="Arial"/>
          <w:b/>
        </w:rPr>
        <w:t>a T</w:t>
      </w:r>
      <w:r w:rsidRPr="00A37CDB">
        <w:rPr>
          <w:rFonts w:ascii="Arial" w:hAnsi="Arial" w:cs="Arial"/>
          <w:b/>
        </w:rPr>
        <w:t xml:space="preserve">argeted </w:t>
      </w:r>
      <w:r>
        <w:rPr>
          <w:rFonts w:ascii="Arial" w:hAnsi="Arial" w:cs="Arial"/>
          <w:b/>
        </w:rPr>
        <w:t>G</w:t>
      </w:r>
      <w:r w:rsidRPr="00A37CDB">
        <w:rPr>
          <w:rFonts w:ascii="Arial" w:hAnsi="Arial" w:cs="Arial"/>
          <w:b/>
        </w:rPr>
        <w:t xml:space="preserve">ene </w:t>
      </w:r>
      <w:r>
        <w:rPr>
          <w:rFonts w:ascii="Arial" w:hAnsi="Arial" w:cs="Arial"/>
          <w:b/>
        </w:rPr>
        <w:t>A</w:t>
      </w:r>
      <w:r w:rsidRPr="00A37CDB">
        <w:rPr>
          <w:rFonts w:ascii="Arial" w:hAnsi="Arial" w:cs="Arial"/>
          <w:b/>
        </w:rPr>
        <w:t>rray</w:t>
      </w:r>
      <w:r>
        <w:rPr>
          <w:rFonts w:ascii="Arial" w:hAnsi="Arial" w:cs="Arial"/>
          <w:b/>
        </w:rPr>
        <w:t xml:space="preserve">.  </w:t>
      </w:r>
      <w:r>
        <w:rPr>
          <w:rFonts w:ascii="Arial" w:hAnsi="Arial" w:cs="Arial"/>
        </w:rPr>
        <w:t xml:space="preserve">To further compare findings from the two datasets, a workflow was generated in </w:t>
      </w:r>
      <w:proofErr w:type="spellStart"/>
      <w:r>
        <w:rPr>
          <w:rFonts w:ascii="Arial" w:hAnsi="Arial" w:cs="Arial"/>
        </w:rPr>
        <w:t>MetaCore</w:t>
      </w:r>
      <w:r w:rsidRPr="00141D07">
        <w:rPr>
          <w:rFonts w:ascii="Arial" w:hAnsi="Arial" w:cs="Arial"/>
          <w:vertAlign w:val="superscript"/>
        </w:rPr>
        <w:t>TM</w:t>
      </w:r>
      <w:proofErr w:type="spellEnd"/>
      <w:r>
        <w:rPr>
          <w:rFonts w:ascii="Arial" w:hAnsi="Arial" w:cs="Arial"/>
        </w:rPr>
        <w:t xml:space="preserve"> to identify common (shared) genes that mapped to pathways, GO processes, and process networks.  The combined data objects (gene set) from the two a platforms revealed the following top-ranked features: (</w:t>
      </w:r>
      <w:r w:rsidRPr="001F2B4A">
        <w:rPr>
          <w:rFonts w:ascii="Arial" w:hAnsi="Arial" w:cs="Arial"/>
          <w:b/>
        </w:rPr>
        <w:t>A</w:t>
      </w:r>
      <w:r>
        <w:rPr>
          <w:rFonts w:ascii="Arial" w:hAnsi="Arial" w:cs="Arial"/>
        </w:rPr>
        <w:t>) Proteolysis Ubiquitination was the top pathway map (</w:t>
      </w:r>
      <w:proofErr w:type="spellStart"/>
      <w:r w:rsidRPr="00A37CDB">
        <w:rPr>
          <w:rFonts w:ascii="Arial" w:hAnsi="Arial" w:cs="Arial"/>
          <w:i/>
          <w:iCs/>
        </w:rPr>
        <w:t>p</w:t>
      </w:r>
      <w:r w:rsidRPr="00A37CDB">
        <w:rPr>
          <w:rFonts w:ascii="Arial" w:hAnsi="Arial" w:cs="Arial"/>
        </w:rPr>
        <w:t>adj</w:t>
      </w:r>
      <w:proofErr w:type="spellEnd"/>
      <w:r w:rsidRPr="00A37CDB">
        <w:rPr>
          <w:rFonts w:ascii="Arial" w:hAnsi="Arial" w:cs="Arial"/>
        </w:rPr>
        <w:t>=</w:t>
      </w:r>
      <w:r>
        <w:rPr>
          <w:rFonts w:ascii="Arial" w:hAnsi="Arial" w:cs="Arial"/>
        </w:rPr>
        <w:t>2</w:t>
      </w:r>
      <w:r w:rsidRPr="00A37CDB">
        <w:rPr>
          <w:rFonts w:ascii="Arial" w:hAnsi="Arial" w:cs="Arial"/>
        </w:rPr>
        <w:t>.</w:t>
      </w:r>
      <w:r>
        <w:rPr>
          <w:rFonts w:ascii="Arial" w:hAnsi="Arial" w:cs="Arial"/>
        </w:rPr>
        <w:t xml:space="preserve">193E-11), and was characterized by shared genes that showed decreased expression of E1 ligase (UNE1L2), and E2 ligases (UBE2D1 and UBCH7), but elevated expression of E2 ligase (EBE2E3), as well as increased expression of RING E3 ligases (MDM2, and CHIP).  In addition, objects from the transcriptome data showed increased expression of the E2 ligases (CDC34, UBE2H, UBE2B, UBE2G2 and </w:t>
      </w:r>
      <w:r>
        <w:rPr>
          <w:rFonts w:ascii="Arial" w:hAnsi="Arial" w:cs="Arial"/>
        </w:rPr>
        <w:lastRenderedPageBreak/>
        <w:t xml:space="preserve">UBE2E2) but a decrease in expression of UBC6 and UBE2D2. Similarly, there was higher expression of the RING E3 ligases (MARCH2, MARCH8, CBL-B, SIAH2, AMFR, RING-box protein 1, parkin, HARI, HUWE1, NEDD4L), and a lower expression of NEDD4.  Children with SMA were also characterized by increased expression of, PCAF, </w:t>
      </w:r>
      <w:proofErr w:type="spellStart"/>
      <w:r>
        <w:rPr>
          <w:rFonts w:ascii="Arial" w:hAnsi="Arial" w:cs="Arial"/>
        </w:rPr>
        <w:t>Cullin</w:t>
      </w:r>
      <w:proofErr w:type="spellEnd"/>
      <w:r>
        <w:rPr>
          <w:rFonts w:ascii="Arial" w:hAnsi="Arial" w:cs="Arial"/>
        </w:rPr>
        <w:t xml:space="preserve"> 4 and ubiquitin, suggesting enhanced protein ubiquitination and subsequent downstream mechanisms.  (</w:t>
      </w:r>
      <w:r w:rsidRPr="00B258C8">
        <w:rPr>
          <w:rFonts w:ascii="Arial" w:hAnsi="Arial" w:cs="Arial"/>
          <w:b/>
        </w:rPr>
        <w:t>B</w:t>
      </w:r>
      <w:r>
        <w:rPr>
          <w:rFonts w:ascii="Arial" w:hAnsi="Arial" w:cs="Arial"/>
        </w:rPr>
        <w:t>) Protein ubiquitination was the emerging GO process (</w:t>
      </w:r>
      <w:proofErr w:type="spellStart"/>
      <w:r w:rsidRPr="00A37CDB">
        <w:rPr>
          <w:rFonts w:ascii="Arial" w:hAnsi="Arial" w:cs="Arial"/>
          <w:i/>
          <w:iCs/>
        </w:rPr>
        <w:t>p</w:t>
      </w:r>
      <w:r w:rsidRPr="00A37CDB">
        <w:rPr>
          <w:rFonts w:ascii="Arial" w:hAnsi="Arial" w:cs="Arial"/>
        </w:rPr>
        <w:t>adj</w:t>
      </w:r>
      <w:proofErr w:type="spellEnd"/>
      <w:r w:rsidRPr="00A37CDB">
        <w:rPr>
          <w:rFonts w:ascii="Arial" w:hAnsi="Arial" w:cs="Arial"/>
        </w:rPr>
        <w:t>=</w:t>
      </w:r>
      <w:r>
        <w:rPr>
          <w:rFonts w:ascii="Arial" w:hAnsi="Arial" w:cs="Arial"/>
        </w:rPr>
        <w:t>1</w:t>
      </w:r>
      <w:r w:rsidRPr="00A37CDB">
        <w:rPr>
          <w:rFonts w:ascii="Arial" w:hAnsi="Arial" w:cs="Arial"/>
        </w:rPr>
        <w:t>.</w:t>
      </w:r>
      <w:r>
        <w:rPr>
          <w:rFonts w:ascii="Arial" w:hAnsi="Arial" w:cs="Arial"/>
        </w:rPr>
        <w:t xml:space="preserve">083E-12), in which the parent relation was the </w:t>
      </w:r>
      <w:r w:rsidRPr="00CB5E7D">
        <w:rPr>
          <w:rFonts w:ascii="Arial" w:hAnsi="Arial" w:cs="Arial"/>
        </w:rPr>
        <w:t>protein modification by small protein conjugation</w:t>
      </w:r>
      <w:r>
        <w:rPr>
          <w:rFonts w:ascii="Arial" w:hAnsi="Arial" w:cs="Arial"/>
        </w:rPr>
        <w:t xml:space="preserve">, and the children were </w:t>
      </w:r>
      <w:proofErr w:type="spellStart"/>
      <w:r w:rsidRPr="00CB5E7D">
        <w:rPr>
          <w:rFonts w:ascii="Arial" w:hAnsi="Arial" w:cs="Arial"/>
        </w:rPr>
        <w:t>actin</w:t>
      </w:r>
      <w:proofErr w:type="spellEnd"/>
      <w:r w:rsidRPr="00CB5E7D">
        <w:rPr>
          <w:rFonts w:ascii="Arial" w:hAnsi="Arial" w:cs="Arial"/>
        </w:rPr>
        <w:t xml:space="preserve"> ubiquitination, </w:t>
      </w:r>
      <w:proofErr w:type="spellStart"/>
      <w:r w:rsidRPr="00CB5E7D">
        <w:rPr>
          <w:rFonts w:ascii="Arial" w:hAnsi="Arial" w:cs="Arial"/>
        </w:rPr>
        <w:t>histone</w:t>
      </w:r>
      <w:proofErr w:type="spellEnd"/>
      <w:r w:rsidRPr="00CB5E7D">
        <w:rPr>
          <w:rFonts w:ascii="Arial" w:hAnsi="Arial" w:cs="Arial"/>
        </w:rPr>
        <w:t xml:space="preserve"> ubiquitination, protein </w:t>
      </w:r>
      <w:proofErr w:type="spellStart"/>
      <w:r w:rsidRPr="00CB5E7D">
        <w:rPr>
          <w:rFonts w:ascii="Arial" w:hAnsi="Arial" w:cs="Arial"/>
        </w:rPr>
        <w:t>autoubiquitination</w:t>
      </w:r>
      <w:proofErr w:type="spellEnd"/>
      <w:r w:rsidRPr="00CB5E7D">
        <w:rPr>
          <w:rFonts w:ascii="Arial" w:hAnsi="Arial" w:cs="Arial"/>
        </w:rPr>
        <w:t xml:space="preserve">, protein </w:t>
      </w:r>
      <w:proofErr w:type="spellStart"/>
      <w:r w:rsidRPr="00CB5E7D">
        <w:rPr>
          <w:rFonts w:ascii="Arial" w:hAnsi="Arial" w:cs="Arial"/>
        </w:rPr>
        <w:t>monoubiquitination</w:t>
      </w:r>
      <w:proofErr w:type="spellEnd"/>
      <w:r w:rsidRPr="00CB5E7D">
        <w:rPr>
          <w:rFonts w:ascii="Arial" w:hAnsi="Arial" w:cs="Arial"/>
        </w:rPr>
        <w:t xml:space="preserve">, protein </w:t>
      </w:r>
      <w:proofErr w:type="spellStart"/>
      <w:r w:rsidRPr="00CB5E7D">
        <w:rPr>
          <w:rFonts w:ascii="Arial" w:hAnsi="Arial" w:cs="Arial"/>
        </w:rPr>
        <w:t>polyubiquitination</w:t>
      </w:r>
      <w:proofErr w:type="spellEnd"/>
      <w:r w:rsidRPr="00CB5E7D">
        <w:rPr>
          <w:rFonts w:ascii="Arial" w:hAnsi="Arial" w:cs="Arial"/>
        </w:rPr>
        <w:t xml:space="preserve"> and </w:t>
      </w:r>
      <w:proofErr w:type="spellStart"/>
      <w:r w:rsidRPr="00CB5E7D">
        <w:rPr>
          <w:rFonts w:ascii="Arial" w:hAnsi="Arial" w:cs="Arial"/>
        </w:rPr>
        <w:t>isopeptide</w:t>
      </w:r>
      <w:proofErr w:type="spellEnd"/>
      <w:r w:rsidRPr="00CB5E7D">
        <w:rPr>
          <w:rFonts w:ascii="Arial" w:hAnsi="Arial" w:cs="Arial"/>
        </w:rPr>
        <w:t xml:space="preserve"> cross-linking via N6-glycyl-L-lysine</w:t>
      </w:r>
      <w:r>
        <w:rPr>
          <w:rFonts w:ascii="Arial" w:hAnsi="Arial" w:cs="Arial"/>
        </w:rPr>
        <w:t>.  (</w:t>
      </w:r>
      <w:r w:rsidRPr="00B258C8">
        <w:rPr>
          <w:rFonts w:ascii="Arial" w:hAnsi="Arial" w:cs="Arial"/>
          <w:b/>
        </w:rPr>
        <w:t>C</w:t>
      </w:r>
      <w:r>
        <w:rPr>
          <w:rFonts w:ascii="Arial" w:hAnsi="Arial" w:cs="Arial"/>
        </w:rPr>
        <w:t xml:space="preserve">) Proteolysis Ubiquitin-proteasomal </w:t>
      </w:r>
      <w:r w:rsidRPr="008D282F">
        <w:rPr>
          <w:rFonts w:ascii="Arial" w:hAnsi="Arial" w:cs="Arial"/>
        </w:rPr>
        <w:t>proteolysis</w:t>
      </w:r>
      <w:r>
        <w:rPr>
          <w:rFonts w:ascii="Arial" w:hAnsi="Arial" w:cs="Arial"/>
        </w:rPr>
        <w:t xml:space="preserve"> emerged as the top process network (</w:t>
      </w:r>
      <w:proofErr w:type="spellStart"/>
      <w:r w:rsidRPr="008D282F">
        <w:rPr>
          <w:rFonts w:ascii="Arial" w:hAnsi="Arial" w:cs="Arial"/>
          <w:i/>
          <w:iCs/>
        </w:rPr>
        <w:t>p</w:t>
      </w:r>
      <w:r w:rsidRPr="008D282F">
        <w:rPr>
          <w:rFonts w:ascii="Arial" w:hAnsi="Arial" w:cs="Arial"/>
        </w:rPr>
        <w:t>adj</w:t>
      </w:r>
      <w:proofErr w:type="spellEnd"/>
      <w:r w:rsidRPr="008D282F">
        <w:rPr>
          <w:rFonts w:ascii="Arial" w:hAnsi="Arial" w:cs="Arial"/>
        </w:rPr>
        <w:t>=2.250E-05)</w:t>
      </w:r>
      <w:r>
        <w:rPr>
          <w:rFonts w:ascii="Arial" w:hAnsi="Arial" w:cs="Arial"/>
        </w:rPr>
        <w:t>, with the protease PSMA2 as the central divergence hub (44/41 edges) and ubiquitin protein as the central convergence hub (51/0 edges). The top GO process associated with this process network was the proteolysis involved in protein catabolic process (</w:t>
      </w:r>
      <w:r w:rsidRPr="00670ED7">
        <w:rPr>
          <w:rFonts w:ascii="Arial" w:hAnsi="Arial" w:cs="Arial"/>
          <w:i/>
        </w:rPr>
        <w:t>p</w:t>
      </w:r>
      <w:r>
        <w:rPr>
          <w:rFonts w:ascii="Arial" w:hAnsi="Arial" w:cs="Arial"/>
        </w:rPr>
        <w:t xml:space="preserve">=1.077E-152).   </w:t>
      </w:r>
      <w:r w:rsidRPr="008D282F">
        <w:rPr>
          <w:rFonts w:ascii="Arial" w:hAnsi="Arial" w:cs="Arial"/>
        </w:rPr>
        <w:t xml:space="preserve">The details of symbols used in these figures are available at: </w:t>
      </w:r>
      <w:r w:rsidRPr="008D282F">
        <w:rPr>
          <w:rFonts w:ascii="Arial" w:eastAsia="Times New Roman" w:hAnsi="Arial" w:cs="Arial"/>
          <w:bCs/>
        </w:rPr>
        <w:t>https://portal.genego.com/legends/MetaCoreQuickReferenceGuide.pdf</w:t>
      </w:r>
      <w:r w:rsidR="00A23DFB">
        <w:rPr>
          <w:rFonts w:ascii="Arial" w:eastAsia="Times New Roman" w:hAnsi="Arial" w:cs="Arial"/>
          <w:bCs/>
        </w:rPr>
        <w:t>.</w:t>
      </w:r>
    </w:p>
    <w:p w:rsidR="00B30219" w:rsidRDefault="00B30219" w:rsidP="001E0B6F">
      <w:pPr>
        <w:spacing w:after="200" w:line="360" w:lineRule="auto"/>
        <w:rPr>
          <w:rFonts w:ascii="Times New Roman" w:eastAsia="Times New Roman" w:hAnsi="Times New Roman" w:cs="Times New Roman"/>
          <w:b/>
          <w:bCs/>
          <w:noProof/>
          <w:sz w:val="24"/>
          <w:szCs w:val="24"/>
        </w:rPr>
      </w:pPr>
    </w:p>
    <w:p w:rsidR="00673DB5" w:rsidRDefault="00673DB5" w:rsidP="00673DB5">
      <w:pPr>
        <w:pStyle w:val="Heading4"/>
        <w:jc w:val="center"/>
        <w:rPr>
          <w:rFonts w:ascii="Arial" w:hAnsi="Arial" w:cs="Arial"/>
          <w:sz w:val="36"/>
          <w:szCs w:val="36"/>
        </w:rPr>
      </w:pPr>
    </w:p>
    <w:p w:rsidR="00673DB5" w:rsidRDefault="00673DB5" w:rsidP="00673DB5">
      <w:pPr>
        <w:pStyle w:val="Heading4"/>
        <w:jc w:val="center"/>
        <w:rPr>
          <w:rFonts w:ascii="Arial" w:hAnsi="Arial" w:cs="Arial"/>
          <w:sz w:val="36"/>
          <w:szCs w:val="36"/>
        </w:rPr>
      </w:pPr>
    </w:p>
    <w:p w:rsidR="00673DB5" w:rsidRDefault="00673DB5" w:rsidP="00673DB5">
      <w:pPr>
        <w:pStyle w:val="Heading4"/>
        <w:jc w:val="center"/>
        <w:rPr>
          <w:rFonts w:ascii="Arial" w:hAnsi="Arial" w:cs="Arial"/>
          <w:sz w:val="36"/>
          <w:szCs w:val="36"/>
        </w:rPr>
      </w:pPr>
    </w:p>
    <w:p w:rsidR="00673DB5" w:rsidRDefault="00673DB5" w:rsidP="00673DB5">
      <w:pPr>
        <w:pStyle w:val="Heading4"/>
        <w:jc w:val="center"/>
        <w:rPr>
          <w:rFonts w:ascii="Arial" w:hAnsi="Arial" w:cs="Arial"/>
          <w:sz w:val="36"/>
          <w:szCs w:val="36"/>
        </w:rPr>
      </w:pPr>
    </w:p>
    <w:p w:rsidR="00673DB5" w:rsidRDefault="00673DB5" w:rsidP="00673DB5">
      <w:pPr>
        <w:pStyle w:val="Heading4"/>
        <w:jc w:val="center"/>
        <w:rPr>
          <w:rFonts w:ascii="Arial" w:hAnsi="Arial" w:cs="Arial"/>
          <w:sz w:val="36"/>
          <w:szCs w:val="36"/>
        </w:rPr>
      </w:pPr>
    </w:p>
    <w:p w:rsidR="00463E2B" w:rsidRDefault="00463E2B">
      <w:pPr>
        <w:spacing w:after="200" w:line="276" w:lineRule="auto"/>
        <w:rPr>
          <w:rFonts w:ascii="Arial" w:eastAsia="Times New Roman" w:hAnsi="Arial" w:cs="Arial"/>
          <w:b/>
          <w:bCs/>
          <w:sz w:val="36"/>
          <w:szCs w:val="36"/>
        </w:rPr>
      </w:pPr>
      <w:r>
        <w:rPr>
          <w:rFonts w:ascii="Arial" w:hAnsi="Arial" w:cs="Arial"/>
          <w:sz w:val="36"/>
          <w:szCs w:val="36"/>
        </w:rPr>
        <w:br w:type="page"/>
      </w:r>
    </w:p>
    <w:p w:rsidR="00673DB5" w:rsidRPr="00591A0F" w:rsidRDefault="00673DB5" w:rsidP="00673DB5">
      <w:pPr>
        <w:pStyle w:val="Heading4"/>
        <w:jc w:val="center"/>
        <w:rPr>
          <w:rFonts w:ascii="Arial" w:hAnsi="Arial" w:cs="Arial"/>
          <w:sz w:val="36"/>
          <w:szCs w:val="36"/>
        </w:rPr>
      </w:pPr>
      <w:r>
        <w:rPr>
          <w:rFonts w:ascii="Arial" w:hAnsi="Arial" w:cs="Arial"/>
          <w:sz w:val="36"/>
          <w:szCs w:val="36"/>
        </w:rPr>
        <w:lastRenderedPageBreak/>
        <w:t>Supplemental F</w:t>
      </w:r>
      <w:r w:rsidRPr="00591A0F">
        <w:rPr>
          <w:rFonts w:ascii="Arial" w:hAnsi="Arial" w:cs="Arial"/>
          <w:sz w:val="36"/>
          <w:szCs w:val="36"/>
        </w:rPr>
        <w:t xml:space="preserve">igure </w:t>
      </w:r>
      <w:r>
        <w:rPr>
          <w:rFonts w:ascii="Arial" w:hAnsi="Arial" w:cs="Arial"/>
          <w:sz w:val="36"/>
          <w:szCs w:val="36"/>
        </w:rPr>
        <w:t>2</w:t>
      </w:r>
    </w:p>
    <w:p w:rsidR="00D15CED" w:rsidRDefault="00D15CED" w:rsidP="00673DB5">
      <w:pPr>
        <w:pStyle w:val="Heading4"/>
        <w:jc w:val="center"/>
        <w:rPr>
          <w:rFonts w:ascii="Arial" w:hAnsi="Arial" w:cs="Arial"/>
        </w:rPr>
      </w:pPr>
    </w:p>
    <w:p w:rsidR="00D15CED" w:rsidRDefault="00A12D68" w:rsidP="00D15CED">
      <w:pPr>
        <w:pStyle w:val="Heading4"/>
        <w:jc w:val="center"/>
        <w:rPr>
          <w:rFonts w:ascii="Arial" w:hAnsi="Arial" w:cs="Arial"/>
        </w:rPr>
      </w:pPr>
      <w:r w:rsidRPr="00A12D68">
        <w:rPr>
          <w:noProof/>
        </w:rPr>
        <w:drawing>
          <wp:inline distT="0" distB="0" distL="0" distR="0">
            <wp:extent cx="8918575" cy="4817745"/>
            <wp:effectExtent l="19050" t="0" r="0" b="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8918575" cy="4817745"/>
                    </a:xfrm>
                    <a:prstGeom prst="rect">
                      <a:avLst/>
                    </a:prstGeom>
                    <a:noFill/>
                    <a:ln w="9525">
                      <a:noFill/>
                      <a:miter lim="800000"/>
                      <a:headEnd/>
                      <a:tailEnd/>
                    </a:ln>
                  </pic:spPr>
                </pic:pic>
              </a:graphicData>
            </a:graphic>
          </wp:inline>
        </w:drawing>
      </w:r>
    </w:p>
    <w:p w:rsidR="008A5C3E" w:rsidRDefault="008A5C3E" w:rsidP="00D15CED">
      <w:pPr>
        <w:pStyle w:val="Heading4"/>
        <w:jc w:val="center"/>
        <w:rPr>
          <w:rFonts w:ascii="Arial" w:hAnsi="Arial" w:cs="Arial"/>
        </w:rPr>
      </w:pPr>
    </w:p>
    <w:p w:rsidR="008A5C3E" w:rsidRDefault="00FD2ADC" w:rsidP="00673DB5">
      <w:pPr>
        <w:pStyle w:val="Heading4"/>
        <w:jc w:val="center"/>
        <w:rPr>
          <w:rFonts w:ascii="Arial" w:hAnsi="Arial" w:cs="Arial"/>
        </w:rPr>
      </w:pPr>
      <w:r w:rsidRPr="00FD2ADC">
        <w:rPr>
          <w:noProof/>
        </w:rPr>
        <w:lastRenderedPageBreak/>
        <w:drawing>
          <wp:inline distT="0" distB="0" distL="0" distR="0">
            <wp:extent cx="7266005" cy="4659549"/>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7266081" cy="4659598"/>
                    </a:xfrm>
                    <a:prstGeom prst="rect">
                      <a:avLst/>
                    </a:prstGeom>
                    <a:noFill/>
                    <a:ln w="9525">
                      <a:noFill/>
                      <a:miter lim="800000"/>
                      <a:headEnd/>
                      <a:tailEnd/>
                    </a:ln>
                  </pic:spPr>
                </pic:pic>
              </a:graphicData>
            </a:graphic>
          </wp:inline>
        </w:drawing>
      </w:r>
    </w:p>
    <w:p w:rsidR="00D15CED" w:rsidRDefault="00D15CED" w:rsidP="00D15CED">
      <w:pPr>
        <w:pStyle w:val="Heading4"/>
        <w:jc w:val="center"/>
        <w:rPr>
          <w:rFonts w:ascii="Arial" w:hAnsi="Arial" w:cs="Arial"/>
        </w:rPr>
      </w:pPr>
    </w:p>
    <w:p w:rsidR="00D15CED" w:rsidRDefault="00D15CED" w:rsidP="00D15CED">
      <w:pPr>
        <w:pStyle w:val="Heading4"/>
        <w:jc w:val="center"/>
        <w:rPr>
          <w:rFonts w:ascii="Arial" w:hAnsi="Arial" w:cs="Arial"/>
        </w:rPr>
      </w:pPr>
    </w:p>
    <w:p w:rsidR="00FD2ADC" w:rsidRDefault="00FD2ADC" w:rsidP="00D15CED">
      <w:pPr>
        <w:pStyle w:val="Heading4"/>
        <w:jc w:val="center"/>
        <w:rPr>
          <w:rFonts w:ascii="Arial" w:hAnsi="Arial" w:cs="Arial"/>
        </w:rPr>
      </w:pPr>
    </w:p>
    <w:p w:rsidR="00FD2ADC" w:rsidRDefault="00FD2ADC" w:rsidP="00D15CED">
      <w:pPr>
        <w:pStyle w:val="Heading4"/>
        <w:jc w:val="center"/>
        <w:rPr>
          <w:rFonts w:ascii="Arial" w:hAnsi="Arial" w:cs="Arial"/>
        </w:rPr>
      </w:pPr>
    </w:p>
    <w:p w:rsidR="00FD2ADC" w:rsidRDefault="00FD2ADC" w:rsidP="00D15CED">
      <w:pPr>
        <w:pStyle w:val="Heading4"/>
        <w:jc w:val="center"/>
        <w:rPr>
          <w:rFonts w:ascii="Arial" w:hAnsi="Arial" w:cs="Arial"/>
        </w:rPr>
      </w:pPr>
      <w:r w:rsidRPr="00FD2ADC">
        <w:rPr>
          <w:noProof/>
        </w:rPr>
        <w:lastRenderedPageBreak/>
        <w:drawing>
          <wp:inline distT="0" distB="0" distL="0" distR="0">
            <wp:extent cx="7986395" cy="4036695"/>
            <wp:effectExtent l="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7986395" cy="4036695"/>
                    </a:xfrm>
                    <a:prstGeom prst="rect">
                      <a:avLst/>
                    </a:prstGeom>
                    <a:noFill/>
                    <a:ln w="9525">
                      <a:noFill/>
                      <a:miter lim="800000"/>
                      <a:headEnd/>
                      <a:tailEnd/>
                    </a:ln>
                  </pic:spPr>
                </pic:pic>
              </a:graphicData>
            </a:graphic>
          </wp:inline>
        </w:drawing>
      </w:r>
    </w:p>
    <w:p w:rsidR="00065195" w:rsidRPr="0000078E" w:rsidRDefault="00065195" w:rsidP="00023572">
      <w:pPr>
        <w:tabs>
          <w:tab w:val="left" w:pos="8610"/>
        </w:tabs>
        <w:spacing w:after="0" w:line="480" w:lineRule="auto"/>
        <w:jc w:val="both"/>
        <w:rPr>
          <w:rFonts w:ascii="Arial" w:hAnsi="Arial" w:cs="Arial"/>
        </w:rPr>
      </w:pPr>
      <w:r>
        <w:rPr>
          <w:rFonts w:ascii="Arial" w:hAnsi="Arial" w:cs="Arial"/>
          <w:b/>
        </w:rPr>
        <w:t>Supplemental</w:t>
      </w:r>
      <w:r w:rsidRPr="0000078E">
        <w:rPr>
          <w:rFonts w:ascii="Arial" w:hAnsi="Arial" w:cs="Arial"/>
          <w:b/>
        </w:rPr>
        <w:t xml:space="preserve"> Figure </w:t>
      </w:r>
      <w:r w:rsidR="00673DB5">
        <w:rPr>
          <w:rFonts w:ascii="Arial" w:hAnsi="Arial" w:cs="Arial"/>
          <w:b/>
        </w:rPr>
        <w:t>2</w:t>
      </w:r>
      <w:r>
        <w:rPr>
          <w:rFonts w:ascii="Arial" w:hAnsi="Arial" w:cs="Arial"/>
          <w:b/>
        </w:rPr>
        <w:t xml:space="preserve">: </w:t>
      </w:r>
      <w:r w:rsidRPr="0000078E">
        <w:rPr>
          <w:rFonts w:ascii="Arial" w:hAnsi="Arial" w:cs="Arial"/>
          <w:b/>
          <w:bCs/>
        </w:rPr>
        <w:t>Differential Gene Expression and Central Regulatory Features in SMA</w:t>
      </w:r>
      <w:r>
        <w:rPr>
          <w:rFonts w:ascii="Arial" w:hAnsi="Arial" w:cs="Arial"/>
          <w:b/>
          <w:bCs/>
        </w:rPr>
        <w:t xml:space="preserve">, excluding children </w:t>
      </w:r>
      <w:r w:rsidRPr="0000078E">
        <w:rPr>
          <w:rFonts w:ascii="Arial" w:hAnsi="Arial" w:cs="Arial"/>
          <w:b/>
        </w:rPr>
        <w:t>presenting with sickle cell disease (SCD)</w:t>
      </w:r>
      <w:r w:rsidR="00BE2C7B">
        <w:rPr>
          <w:rFonts w:ascii="Arial" w:hAnsi="Arial" w:cs="Arial"/>
          <w:b/>
        </w:rPr>
        <w:t>.</w:t>
      </w:r>
      <w:r w:rsidRPr="0000078E">
        <w:rPr>
          <w:rFonts w:ascii="Arial" w:hAnsi="Arial" w:cs="Arial"/>
          <w:b/>
          <w:bCs/>
        </w:rPr>
        <w:t xml:space="preserve"> </w:t>
      </w:r>
      <w:r w:rsidRPr="0000078E">
        <w:rPr>
          <w:rFonts w:ascii="Arial" w:hAnsi="Arial" w:cs="Arial"/>
        </w:rPr>
        <w:t>Children presented with either non-SMA (Hb≥</w:t>
      </w:r>
      <w:r w:rsidR="002D0AF7">
        <w:rPr>
          <w:rFonts w:ascii="Arial" w:hAnsi="Arial" w:cs="Arial"/>
        </w:rPr>
        <w:t>6</w:t>
      </w:r>
      <w:r w:rsidRPr="0000078E">
        <w:rPr>
          <w:rFonts w:ascii="Arial" w:hAnsi="Arial" w:cs="Arial"/>
        </w:rPr>
        <w:t>.0g/dL, n=3</w:t>
      </w:r>
      <w:r w:rsidR="00C91D89">
        <w:rPr>
          <w:rFonts w:ascii="Arial" w:hAnsi="Arial" w:cs="Arial"/>
        </w:rPr>
        <w:t>9) and SMA (Hb&lt;6.0g/dL, n=</w:t>
      </w:r>
      <w:r w:rsidR="00E815FC">
        <w:rPr>
          <w:rFonts w:ascii="Arial" w:hAnsi="Arial" w:cs="Arial"/>
        </w:rPr>
        <w:t>18</w:t>
      </w:r>
      <w:r w:rsidR="00C91D89">
        <w:rPr>
          <w:rFonts w:ascii="Arial" w:hAnsi="Arial" w:cs="Arial"/>
        </w:rPr>
        <w:t xml:space="preserve">). </w:t>
      </w:r>
      <w:r w:rsidR="008C3BD8">
        <w:rPr>
          <w:rFonts w:ascii="Arial" w:hAnsi="Arial" w:cs="Arial"/>
        </w:rPr>
        <w:t xml:space="preserve"> </w:t>
      </w:r>
      <w:r w:rsidRPr="0000078E">
        <w:rPr>
          <w:rFonts w:ascii="Arial" w:hAnsi="Arial" w:cs="Arial"/>
        </w:rPr>
        <w:t>(</w:t>
      </w:r>
      <w:r w:rsidRPr="0000078E">
        <w:rPr>
          <w:rFonts w:ascii="Arial" w:hAnsi="Arial" w:cs="Arial"/>
          <w:b/>
        </w:rPr>
        <w:t>A</w:t>
      </w:r>
      <w:r w:rsidRPr="0000078E">
        <w:rPr>
          <w:rFonts w:ascii="Arial" w:hAnsi="Arial" w:cs="Arial"/>
        </w:rPr>
        <w:t xml:space="preserve">). </w:t>
      </w:r>
      <w:r w:rsidR="00410D46">
        <w:rPr>
          <w:rFonts w:ascii="Arial" w:hAnsi="Arial" w:cs="Arial"/>
        </w:rPr>
        <w:t xml:space="preserve"> </w:t>
      </w:r>
      <w:r w:rsidRPr="0000078E">
        <w:rPr>
          <w:rFonts w:ascii="Arial" w:hAnsi="Arial" w:cs="Arial"/>
        </w:rPr>
        <w:t>Hierarchical Clustering Heatmap</w:t>
      </w:r>
      <w:r>
        <w:rPr>
          <w:rFonts w:ascii="Arial" w:hAnsi="Arial" w:cs="Arial"/>
        </w:rPr>
        <w:t xml:space="preserve">. </w:t>
      </w:r>
      <w:r w:rsidRPr="0000078E">
        <w:rPr>
          <w:rFonts w:ascii="Arial" w:eastAsia="Times New Roman" w:hAnsi="Arial" w:cs="Arial"/>
        </w:rPr>
        <w:t xml:space="preserve"> A non-supervised hierarchical cluster analysis of the top 1000 DEGs was performed</w:t>
      </w:r>
      <w:r w:rsidR="00953CB1">
        <w:rPr>
          <w:rFonts w:ascii="Arial" w:eastAsia="Times New Roman" w:hAnsi="Arial" w:cs="Arial"/>
        </w:rPr>
        <w:t xml:space="preserve">, </w:t>
      </w:r>
      <w:r w:rsidR="00953CB1" w:rsidRPr="0000078E">
        <w:rPr>
          <w:rFonts w:ascii="Arial" w:hAnsi="Arial" w:cs="Arial"/>
        </w:rPr>
        <w:t>on log</w:t>
      </w:r>
      <w:r w:rsidR="00953CB1" w:rsidRPr="0000078E">
        <w:rPr>
          <w:rFonts w:ascii="Arial" w:hAnsi="Arial" w:cs="Arial"/>
          <w:vertAlign w:val="subscript"/>
        </w:rPr>
        <w:t>2</w:t>
      </w:r>
      <w:r w:rsidR="00953CB1" w:rsidRPr="0000078E">
        <w:rPr>
          <w:rFonts w:ascii="Arial" w:hAnsi="Arial" w:cs="Arial"/>
        </w:rPr>
        <w:t>(FPKM+1) of union differential expression genes in children with SMA relati</w:t>
      </w:r>
      <w:r w:rsidR="0007714B">
        <w:rPr>
          <w:rFonts w:ascii="Arial" w:hAnsi="Arial" w:cs="Arial"/>
        </w:rPr>
        <w:t>ve to those in the non-SMA group</w:t>
      </w:r>
      <w:r>
        <w:rPr>
          <w:rFonts w:ascii="Arial" w:eastAsia="Times New Roman" w:hAnsi="Arial" w:cs="Arial"/>
        </w:rPr>
        <w:t>,</w:t>
      </w:r>
      <w:r w:rsidRPr="0000078E">
        <w:rPr>
          <w:rFonts w:ascii="Arial" w:eastAsia="Times New Roman" w:hAnsi="Arial" w:cs="Arial"/>
        </w:rPr>
        <w:t xml:space="preserve"> excluding children with sickle cell disease (</w:t>
      </w:r>
      <w:proofErr w:type="spellStart"/>
      <w:r w:rsidRPr="0000078E">
        <w:rPr>
          <w:rFonts w:ascii="Arial" w:eastAsia="Times New Roman" w:hAnsi="Arial" w:cs="Arial"/>
        </w:rPr>
        <w:t>HbSS</w:t>
      </w:r>
      <w:proofErr w:type="spellEnd"/>
      <w:r w:rsidRPr="0000078E">
        <w:rPr>
          <w:rFonts w:ascii="Arial" w:eastAsia="Times New Roman" w:hAnsi="Arial" w:cs="Arial"/>
        </w:rPr>
        <w:t xml:space="preserve">). </w:t>
      </w:r>
      <w:r w:rsidR="00794B9D" w:rsidRPr="0000078E">
        <w:rPr>
          <w:rFonts w:ascii="Arial" w:hAnsi="Arial" w:cs="Arial"/>
        </w:rPr>
        <w:t>Genes within the same cluster show the same trends in expression levels under different clinical groups.  The white color implies the average magnitude of gene expression.  The brightest blue represents the smallest value, and the brightest red represents the highest value.</w:t>
      </w:r>
      <w:r w:rsidR="00794B9D">
        <w:rPr>
          <w:rFonts w:ascii="Arial" w:hAnsi="Arial" w:cs="Arial"/>
        </w:rPr>
        <w:t xml:space="preserve">  </w:t>
      </w:r>
      <w:r w:rsidR="00C91D89">
        <w:rPr>
          <w:rFonts w:ascii="Arial" w:hAnsi="Arial" w:cs="Arial"/>
        </w:rPr>
        <w:t xml:space="preserve">For the two major clusters that emerged, </w:t>
      </w:r>
      <w:r w:rsidR="00794B9D" w:rsidRPr="0000078E">
        <w:rPr>
          <w:rFonts w:ascii="Arial" w:hAnsi="Arial" w:cs="Arial"/>
        </w:rPr>
        <w:t xml:space="preserve">DEGs enrichment analysis </w:t>
      </w:r>
      <w:r w:rsidR="00794B9D">
        <w:rPr>
          <w:rFonts w:ascii="Arial" w:hAnsi="Arial" w:cs="Arial"/>
        </w:rPr>
        <w:lastRenderedPageBreak/>
        <w:t xml:space="preserve">using </w:t>
      </w:r>
      <w:proofErr w:type="spellStart"/>
      <w:r w:rsidR="00794B9D" w:rsidRPr="0000078E">
        <w:rPr>
          <w:rFonts w:ascii="Arial" w:hAnsi="Arial" w:cs="Arial"/>
        </w:rPr>
        <w:t>MetaCore</w:t>
      </w:r>
      <w:r w:rsidR="00794B9D" w:rsidRPr="0000078E">
        <w:rPr>
          <w:rFonts w:ascii="Arial" w:hAnsi="Arial" w:cs="Arial"/>
          <w:vertAlign w:val="superscript"/>
        </w:rPr>
        <w:t>TM</w:t>
      </w:r>
      <w:proofErr w:type="spellEnd"/>
      <w:r w:rsidR="00C91D89">
        <w:rPr>
          <w:rFonts w:ascii="Arial" w:hAnsi="Arial" w:cs="Arial"/>
        </w:rPr>
        <w:t xml:space="preserve"> was performed and</w:t>
      </w:r>
      <w:r w:rsidR="00C94341">
        <w:rPr>
          <w:rFonts w:ascii="Arial" w:hAnsi="Arial" w:cs="Arial"/>
        </w:rPr>
        <w:t xml:space="preserve"> c</w:t>
      </w:r>
      <w:r w:rsidR="00C94341">
        <w:rPr>
          <w:rFonts w:ascii="Arial" w:eastAsia="Times New Roman" w:hAnsi="Arial" w:cs="Arial"/>
        </w:rPr>
        <w:t>anonical pathway maps for direct functional interactions were generated</w:t>
      </w:r>
      <w:r w:rsidR="000C6B99">
        <w:rPr>
          <w:rFonts w:ascii="Arial" w:eastAsia="Times New Roman" w:hAnsi="Arial" w:cs="Arial"/>
        </w:rPr>
        <w:t xml:space="preserve">. </w:t>
      </w:r>
      <w:r w:rsidR="000C6B99">
        <w:rPr>
          <w:rFonts w:ascii="Arial" w:hAnsi="Arial" w:cs="Arial"/>
        </w:rPr>
        <w:t xml:space="preserve">Cluster 1 shown in hatched black outline and cluster 2 shown with solid black outline.  </w:t>
      </w:r>
      <w:r w:rsidR="00794B9D">
        <w:rPr>
          <w:rFonts w:ascii="Arial" w:hAnsi="Arial" w:cs="Arial"/>
        </w:rPr>
        <w:t>(</w:t>
      </w:r>
      <w:r w:rsidR="00794B9D" w:rsidRPr="00794B9D">
        <w:rPr>
          <w:rFonts w:ascii="Arial" w:hAnsi="Arial" w:cs="Arial"/>
          <w:b/>
        </w:rPr>
        <w:t>B</w:t>
      </w:r>
      <w:r w:rsidR="00794B9D">
        <w:rPr>
          <w:rFonts w:ascii="Arial" w:hAnsi="Arial" w:cs="Arial"/>
        </w:rPr>
        <w:t>)</w:t>
      </w:r>
      <w:r w:rsidR="00C91D89">
        <w:rPr>
          <w:rFonts w:ascii="Arial" w:hAnsi="Arial" w:cs="Arial"/>
        </w:rPr>
        <w:t xml:space="preserve">. </w:t>
      </w:r>
      <w:r w:rsidRPr="0000078E">
        <w:rPr>
          <w:rFonts w:ascii="Arial" w:hAnsi="Arial" w:cs="Arial"/>
        </w:rPr>
        <w:t xml:space="preserve">Cluster 1 </w:t>
      </w:r>
      <w:r>
        <w:rPr>
          <w:rFonts w:ascii="Arial" w:hAnsi="Arial" w:cs="Arial"/>
        </w:rPr>
        <w:t xml:space="preserve">(n=156) </w:t>
      </w:r>
      <w:r w:rsidRPr="0000078E">
        <w:rPr>
          <w:rFonts w:ascii="Arial" w:hAnsi="Arial" w:cs="Arial"/>
        </w:rPr>
        <w:t>genes represented the IRF1</w:t>
      </w:r>
      <w:r w:rsidRPr="0000078E">
        <w:rPr>
          <w:rFonts w:cstheme="minorHAnsi"/>
        </w:rPr>
        <w:sym w:font="Symbol" w:char="F0AB"/>
      </w:r>
      <w:r w:rsidRPr="0000078E">
        <w:rPr>
          <w:rFonts w:ascii="Arial" w:hAnsi="Arial" w:cs="Arial"/>
        </w:rPr>
        <w:t>IL-1</w:t>
      </w:r>
      <w:r w:rsidRPr="0000078E">
        <w:rPr>
          <w:rFonts w:ascii="Symbol" w:hAnsi="Symbol" w:cs="Arial"/>
        </w:rPr>
        <w:t></w:t>
      </w:r>
      <w:r w:rsidRPr="0000078E">
        <w:rPr>
          <w:rFonts w:ascii="Arial" w:hAnsi="Arial" w:cs="Arial"/>
        </w:rPr>
        <w:sym w:font="Symbol" w:char="F0AB"/>
      </w:r>
      <w:r w:rsidRPr="0000078E">
        <w:rPr>
          <w:rFonts w:ascii="Arial" w:hAnsi="Arial" w:cs="Arial"/>
        </w:rPr>
        <w:t>Caspase-1</w:t>
      </w:r>
      <w:r w:rsidRPr="0000078E">
        <w:rPr>
          <w:rFonts w:ascii="Arial" w:hAnsi="Arial" w:cs="Arial"/>
        </w:rPr>
        <w:sym w:font="Symbol" w:char="F0AB"/>
      </w:r>
      <w:r w:rsidRPr="0000078E">
        <w:rPr>
          <w:rFonts w:ascii="Arial" w:hAnsi="Arial" w:cs="Arial"/>
        </w:rPr>
        <w:t>Caspase-4</w:t>
      </w:r>
      <w:r w:rsidRPr="0000078E">
        <w:rPr>
          <w:rFonts w:ascii="Arial" w:hAnsi="Arial" w:cs="Arial"/>
        </w:rPr>
        <w:sym w:font="Symbol" w:char="F0AB"/>
      </w:r>
      <w:proofErr w:type="spellStart"/>
      <w:r w:rsidRPr="0000078E">
        <w:rPr>
          <w:rFonts w:ascii="Arial" w:hAnsi="Arial" w:cs="Arial"/>
        </w:rPr>
        <w:t>FasR</w:t>
      </w:r>
      <w:proofErr w:type="spellEnd"/>
      <w:r w:rsidRPr="0000078E">
        <w:rPr>
          <w:rFonts w:ascii="Arial" w:hAnsi="Arial" w:cs="Arial"/>
        </w:rPr>
        <w:t xml:space="preserve"> network, with IRF1, as the central divergence hub (36 direct interactions) and IL-1</w:t>
      </w:r>
      <w:r w:rsidRPr="0000078E">
        <w:rPr>
          <w:rFonts w:ascii="Symbol" w:hAnsi="Symbol" w:cs="Arial"/>
        </w:rPr>
        <w:t></w:t>
      </w:r>
      <w:r w:rsidRPr="0000078E">
        <w:rPr>
          <w:rFonts w:ascii="Arial" w:hAnsi="Arial" w:cs="Arial"/>
        </w:rPr>
        <w:t xml:space="preserve"> as the central convergence hub (27 direct interactions).  Top emerging process was the cellular response to IFN-</w:t>
      </w:r>
      <w:r w:rsidRPr="0000078E">
        <w:rPr>
          <w:rFonts w:ascii="Arial" w:hAnsi="Arial" w:cs="Arial"/>
        </w:rPr>
        <w:sym w:font="Symbol" w:char="F062"/>
      </w:r>
      <w:r w:rsidRPr="0000078E">
        <w:rPr>
          <w:rFonts w:ascii="Arial" w:hAnsi="Arial" w:cs="Arial"/>
        </w:rPr>
        <w:t xml:space="preserve"> (</w:t>
      </w:r>
      <w:r w:rsidRPr="0000078E">
        <w:rPr>
          <w:rFonts w:ascii="Arial" w:hAnsi="Arial" w:cs="Arial"/>
          <w:i/>
        </w:rPr>
        <w:t>p</w:t>
      </w:r>
      <w:r w:rsidRPr="0000078E">
        <w:rPr>
          <w:rFonts w:ascii="Arial" w:hAnsi="Arial" w:cs="Arial"/>
        </w:rPr>
        <w:t xml:space="preserve">=4.126E-09). </w:t>
      </w:r>
      <w:r w:rsidR="00410D46">
        <w:rPr>
          <w:rFonts w:ascii="Arial" w:hAnsi="Arial" w:cs="Arial"/>
        </w:rPr>
        <w:t xml:space="preserve"> </w:t>
      </w:r>
      <w:r w:rsidR="00794B9D">
        <w:rPr>
          <w:rFonts w:ascii="Arial" w:hAnsi="Arial" w:cs="Arial"/>
        </w:rPr>
        <w:t>(</w:t>
      </w:r>
      <w:r w:rsidR="00794B9D" w:rsidRPr="00794B9D">
        <w:rPr>
          <w:rFonts w:ascii="Arial" w:hAnsi="Arial" w:cs="Arial"/>
          <w:b/>
        </w:rPr>
        <w:t>C</w:t>
      </w:r>
      <w:r w:rsidR="00794B9D">
        <w:rPr>
          <w:rFonts w:ascii="Arial" w:hAnsi="Arial" w:cs="Arial"/>
        </w:rPr>
        <w:t xml:space="preserve">). </w:t>
      </w:r>
      <w:r w:rsidR="00410D46">
        <w:rPr>
          <w:rFonts w:ascii="Arial" w:hAnsi="Arial" w:cs="Arial"/>
        </w:rPr>
        <w:t xml:space="preserve"> </w:t>
      </w:r>
      <w:r w:rsidRPr="0000078E">
        <w:rPr>
          <w:rFonts w:ascii="Arial" w:hAnsi="Arial" w:cs="Arial"/>
        </w:rPr>
        <w:t>The network that emerged for cluster 2</w:t>
      </w:r>
      <w:r>
        <w:rPr>
          <w:rFonts w:ascii="Arial" w:hAnsi="Arial" w:cs="Arial"/>
        </w:rPr>
        <w:t xml:space="preserve"> (n=100) genes</w:t>
      </w:r>
      <w:r w:rsidRPr="0000078E">
        <w:rPr>
          <w:rFonts w:ascii="Arial" w:hAnsi="Arial" w:cs="Arial"/>
        </w:rPr>
        <w:t xml:space="preserve"> was TAL1</w:t>
      </w:r>
      <w:r w:rsidRPr="0000078E">
        <w:rPr>
          <w:rFonts w:cstheme="minorHAnsi"/>
        </w:rPr>
        <w:sym w:font="Symbol" w:char="F0AB"/>
      </w:r>
      <w:r w:rsidRPr="0000078E">
        <w:rPr>
          <w:rFonts w:ascii="Arial" w:hAnsi="Arial" w:cs="Arial"/>
        </w:rPr>
        <w:t>LYL1</w:t>
      </w:r>
      <w:r w:rsidRPr="0000078E">
        <w:rPr>
          <w:rFonts w:cstheme="minorHAnsi"/>
        </w:rPr>
        <w:sym w:font="Symbol" w:char="F0AB"/>
      </w:r>
      <w:r w:rsidRPr="0000078E">
        <w:rPr>
          <w:rFonts w:ascii="Arial" w:hAnsi="Arial" w:cs="Arial"/>
        </w:rPr>
        <w:t>EKLF1</w:t>
      </w:r>
      <w:r w:rsidRPr="0000078E">
        <w:rPr>
          <w:rFonts w:cstheme="minorHAnsi"/>
        </w:rPr>
        <w:sym w:font="Symbol" w:char="F0AB"/>
      </w:r>
      <w:r w:rsidRPr="0000078E">
        <w:rPr>
          <w:rFonts w:ascii="Arial" w:hAnsi="Arial" w:cs="Arial"/>
        </w:rPr>
        <w:t>HMBS</w:t>
      </w:r>
      <w:r w:rsidRPr="0000078E">
        <w:rPr>
          <w:rFonts w:cstheme="minorHAnsi"/>
        </w:rPr>
        <w:sym w:font="Symbol" w:char="F0AB"/>
      </w:r>
      <w:r w:rsidRPr="0000078E">
        <w:rPr>
          <w:rFonts w:ascii="Arial" w:hAnsi="Arial" w:cs="Arial"/>
        </w:rPr>
        <w:t>RHD, with the transcription factor, TAL1, as the central divergence hub (74 direct interactions), and a secondary transcription factor LYL1, with a divergence hub (30 direct interactions), and HMBS as the central convergence hub (5 direct interactions).  The top process associated with the functional interactions for cluster 2 was protoporphyrinogen IX biosynthetic process (</w:t>
      </w:r>
      <w:r w:rsidRPr="0000078E">
        <w:rPr>
          <w:rFonts w:ascii="Arial" w:hAnsi="Arial" w:cs="Arial"/>
          <w:i/>
        </w:rPr>
        <w:t>p</w:t>
      </w:r>
      <w:r w:rsidRPr="0000078E">
        <w:rPr>
          <w:rFonts w:ascii="Arial" w:hAnsi="Arial" w:cs="Arial"/>
        </w:rPr>
        <w:t>=</w:t>
      </w:r>
      <w:r w:rsidRPr="0000078E">
        <w:t xml:space="preserve"> </w:t>
      </w:r>
      <w:r w:rsidRPr="0000078E">
        <w:rPr>
          <w:rFonts w:ascii="Arial" w:hAnsi="Arial" w:cs="Arial"/>
        </w:rPr>
        <w:t xml:space="preserve">5.381E-08). </w:t>
      </w:r>
      <w:r w:rsidR="002A2671" w:rsidRPr="002A2671">
        <w:rPr>
          <w:rFonts w:ascii="Arial" w:hAnsi="Arial" w:cs="Arial"/>
        </w:rPr>
        <w:t>The details of symbols used in these figures are available at: https://portal.genego.com/legends/MetaCoreQuickReferenceGuide.pdf.</w:t>
      </w:r>
    </w:p>
    <w:p w:rsidR="008D282F" w:rsidRDefault="008D282F" w:rsidP="00B67878">
      <w:pPr>
        <w:pStyle w:val="Heading4"/>
        <w:jc w:val="center"/>
        <w:rPr>
          <w:rFonts w:ascii="Arial" w:hAnsi="Arial" w:cs="Arial"/>
          <w:sz w:val="36"/>
          <w:szCs w:val="36"/>
        </w:rPr>
      </w:pPr>
    </w:p>
    <w:p w:rsidR="008D282F" w:rsidRDefault="008D282F" w:rsidP="00B67878">
      <w:pPr>
        <w:pStyle w:val="Heading4"/>
        <w:jc w:val="center"/>
        <w:rPr>
          <w:rFonts w:ascii="Arial" w:hAnsi="Arial" w:cs="Arial"/>
          <w:sz w:val="36"/>
          <w:szCs w:val="36"/>
        </w:rPr>
      </w:pPr>
    </w:p>
    <w:p w:rsidR="008D282F" w:rsidRDefault="008D282F">
      <w:pPr>
        <w:spacing w:after="200" w:line="276" w:lineRule="auto"/>
        <w:rPr>
          <w:rFonts w:ascii="Arial" w:eastAsia="Times New Roman" w:hAnsi="Arial" w:cs="Arial"/>
          <w:b/>
          <w:bCs/>
          <w:sz w:val="36"/>
          <w:szCs w:val="36"/>
        </w:rPr>
      </w:pPr>
    </w:p>
    <w:sectPr w:rsidR="008D282F" w:rsidSect="00B30219">
      <w:pgSz w:w="16834" w:h="11909" w:orient="landscape" w:code="9"/>
      <w:pgMar w:top="1080" w:right="994" w:bottom="1267" w:left="1080" w:header="720" w:footer="706"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182F" w:rsidRDefault="0069182F" w:rsidP="00516D06">
      <w:pPr>
        <w:spacing w:after="0" w:line="240" w:lineRule="auto"/>
      </w:pPr>
      <w:r>
        <w:separator/>
      </w:r>
    </w:p>
  </w:endnote>
  <w:endnote w:type="continuationSeparator" w:id="0">
    <w:p w:rsidR="0069182F" w:rsidRDefault="0069182F" w:rsidP="00516D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182F" w:rsidRDefault="0069182F" w:rsidP="00516D06">
      <w:pPr>
        <w:spacing w:after="0" w:line="240" w:lineRule="auto"/>
      </w:pPr>
      <w:r>
        <w:separator/>
      </w:r>
    </w:p>
  </w:footnote>
  <w:footnote w:type="continuationSeparator" w:id="0">
    <w:p w:rsidR="0069182F" w:rsidRDefault="0069182F" w:rsidP="00516D0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evenAndOddHeaders/>
  <w:drawingGridHorizontalSpacing w:val="110"/>
  <w:drawingGridVerticalSpacing w:val="163"/>
  <w:displayHorizontalDrawingGridEvery w:val="0"/>
  <w:displayVerticalDrawingGridEvery w:val="2"/>
  <w:characterSpacingControl w:val="doNotCompress"/>
  <w:hdrShapeDefaults>
    <o:shapedefaults v:ext="edit" spidmax="8194"/>
  </w:hdrShapeDefaults>
  <w:footnotePr>
    <w:footnote w:id="-1"/>
    <w:footnote w:id="0"/>
  </w:footnotePr>
  <w:endnotePr>
    <w:endnote w:id="-1"/>
    <w:endnote w:id="0"/>
  </w:endnotePr>
  <w:compat/>
  <w:rsids>
    <w:rsidRoot w:val="00E127DC"/>
    <w:rsid w:val="0000078E"/>
    <w:rsid w:val="00000B8B"/>
    <w:rsid w:val="00014B56"/>
    <w:rsid w:val="00023572"/>
    <w:rsid w:val="000378AE"/>
    <w:rsid w:val="00043607"/>
    <w:rsid w:val="00065195"/>
    <w:rsid w:val="00074E2F"/>
    <w:rsid w:val="0007714B"/>
    <w:rsid w:val="0008243D"/>
    <w:rsid w:val="00085B19"/>
    <w:rsid w:val="000A7D0D"/>
    <w:rsid w:val="000B042D"/>
    <w:rsid w:val="000B65B8"/>
    <w:rsid w:val="000B7FE9"/>
    <w:rsid w:val="000C1F3F"/>
    <w:rsid w:val="000C3E65"/>
    <w:rsid w:val="000C5AAC"/>
    <w:rsid w:val="000C6B99"/>
    <w:rsid w:val="000F45C9"/>
    <w:rsid w:val="0010506A"/>
    <w:rsid w:val="00125821"/>
    <w:rsid w:val="001324C5"/>
    <w:rsid w:val="00133781"/>
    <w:rsid w:val="001470A1"/>
    <w:rsid w:val="00151A45"/>
    <w:rsid w:val="00170360"/>
    <w:rsid w:val="00193CCC"/>
    <w:rsid w:val="001B1971"/>
    <w:rsid w:val="001B57E0"/>
    <w:rsid w:val="001C6F88"/>
    <w:rsid w:val="001E0B6F"/>
    <w:rsid w:val="001F0B1C"/>
    <w:rsid w:val="001F2B4A"/>
    <w:rsid w:val="001F75D0"/>
    <w:rsid w:val="002314BD"/>
    <w:rsid w:val="00234489"/>
    <w:rsid w:val="002373DA"/>
    <w:rsid w:val="00256171"/>
    <w:rsid w:val="00257EF5"/>
    <w:rsid w:val="00287417"/>
    <w:rsid w:val="00292410"/>
    <w:rsid w:val="002A2671"/>
    <w:rsid w:val="002B5589"/>
    <w:rsid w:val="002B57EB"/>
    <w:rsid w:val="002C3C29"/>
    <w:rsid w:val="002D0AF7"/>
    <w:rsid w:val="002E7DFA"/>
    <w:rsid w:val="002F14E8"/>
    <w:rsid w:val="002F4B33"/>
    <w:rsid w:val="003220DF"/>
    <w:rsid w:val="00341BE4"/>
    <w:rsid w:val="00370D91"/>
    <w:rsid w:val="00381620"/>
    <w:rsid w:val="003A0834"/>
    <w:rsid w:val="003B4463"/>
    <w:rsid w:val="003C738B"/>
    <w:rsid w:val="003F06CC"/>
    <w:rsid w:val="003F23BE"/>
    <w:rsid w:val="00410D46"/>
    <w:rsid w:val="004253DC"/>
    <w:rsid w:val="00443C2A"/>
    <w:rsid w:val="0044637F"/>
    <w:rsid w:val="00463BC1"/>
    <w:rsid w:val="00463E2B"/>
    <w:rsid w:val="00471373"/>
    <w:rsid w:val="004B059E"/>
    <w:rsid w:val="004C4B1B"/>
    <w:rsid w:val="004D3BCC"/>
    <w:rsid w:val="004D464B"/>
    <w:rsid w:val="00501387"/>
    <w:rsid w:val="00515F9B"/>
    <w:rsid w:val="00516D06"/>
    <w:rsid w:val="005221E1"/>
    <w:rsid w:val="0052592E"/>
    <w:rsid w:val="0053787D"/>
    <w:rsid w:val="0055427D"/>
    <w:rsid w:val="00570908"/>
    <w:rsid w:val="0057446B"/>
    <w:rsid w:val="00585266"/>
    <w:rsid w:val="00585C51"/>
    <w:rsid w:val="00591A0F"/>
    <w:rsid w:val="00596D43"/>
    <w:rsid w:val="005B165E"/>
    <w:rsid w:val="005B1F11"/>
    <w:rsid w:val="005D7E4B"/>
    <w:rsid w:val="006009C0"/>
    <w:rsid w:val="00605328"/>
    <w:rsid w:val="0060735A"/>
    <w:rsid w:val="0062639C"/>
    <w:rsid w:val="00636F12"/>
    <w:rsid w:val="006470E4"/>
    <w:rsid w:val="00654B7C"/>
    <w:rsid w:val="00670ED7"/>
    <w:rsid w:val="0067232F"/>
    <w:rsid w:val="00673DB5"/>
    <w:rsid w:val="0069182F"/>
    <w:rsid w:val="006D692A"/>
    <w:rsid w:val="006E0E0F"/>
    <w:rsid w:val="00710BB0"/>
    <w:rsid w:val="007537CB"/>
    <w:rsid w:val="007573AA"/>
    <w:rsid w:val="00786887"/>
    <w:rsid w:val="00794B9D"/>
    <w:rsid w:val="007A2680"/>
    <w:rsid w:val="007C7826"/>
    <w:rsid w:val="007D3278"/>
    <w:rsid w:val="007E51AD"/>
    <w:rsid w:val="0086481A"/>
    <w:rsid w:val="00871D5E"/>
    <w:rsid w:val="008A5C3E"/>
    <w:rsid w:val="008A6329"/>
    <w:rsid w:val="008B42EA"/>
    <w:rsid w:val="008C3BD8"/>
    <w:rsid w:val="008D282F"/>
    <w:rsid w:val="008D2D30"/>
    <w:rsid w:val="008F5726"/>
    <w:rsid w:val="00911DE6"/>
    <w:rsid w:val="00922534"/>
    <w:rsid w:val="00951AB5"/>
    <w:rsid w:val="00953CB1"/>
    <w:rsid w:val="00995614"/>
    <w:rsid w:val="009C4E9E"/>
    <w:rsid w:val="009E73C3"/>
    <w:rsid w:val="00A02BDA"/>
    <w:rsid w:val="00A0476F"/>
    <w:rsid w:val="00A12D68"/>
    <w:rsid w:val="00A23DFB"/>
    <w:rsid w:val="00A33382"/>
    <w:rsid w:val="00A60B4C"/>
    <w:rsid w:val="00A64EEF"/>
    <w:rsid w:val="00A73413"/>
    <w:rsid w:val="00A74EDA"/>
    <w:rsid w:val="00AA01F3"/>
    <w:rsid w:val="00AF55F3"/>
    <w:rsid w:val="00B23D01"/>
    <w:rsid w:val="00B258C8"/>
    <w:rsid w:val="00B30219"/>
    <w:rsid w:val="00B50971"/>
    <w:rsid w:val="00B63852"/>
    <w:rsid w:val="00B67878"/>
    <w:rsid w:val="00B82761"/>
    <w:rsid w:val="00B837A2"/>
    <w:rsid w:val="00BC2A93"/>
    <w:rsid w:val="00BE2C7B"/>
    <w:rsid w:val="00BE5818"/>
    <w:rsid w:val="00BF3D62"/>
    <w:rsid w:val="00C14B44"/>
    <w:rsid w:val="00C33969"/>
    <w:rsid w:val="00C60B49"/>
    <w:rsid w:val="00C76508"/>
    <w:rsid w:val="00C91D89"/>
    <w:rsid w:val="00C94341"/>
    <w:rsid w:val="00CB5E7D"/>
    <w:rsid w:val="00CB78E0"/>
    <w:rsid w:val="00CD2614"/>
    <w:rsid w:val="00CE270E"/>
    <w:rsid w:val="00D062B8"/>
    <w:rsid w:val="00D15CED"/>
    <w:rsid w:val="00D96312"/>
    <w:rsid w:val="00DD7467"/>
    <w:rsid w:val="00DD75FE"/>
    <w:rsid w:val="00DE6B70"/>
    <w:rsid w:val="00E124EC"/>
    <w:rsid w:val="00E1251B"/>
    <w:rsid w:val="00E127DC"/>
    <w:rsid w:val="00E333AB"/>
    <w:rsid w:val="00E50E02"/>
    <w:rsid w:val="00E545BD"/>
    <w:rsid w:val="00E815FC"/>
    <w:rsid w:val="00E823C6"/>
    <w:rsid w:val="00E83F32"/>
    <w:rsid w:val="00E91356"/>
    <w:rsid w:val="00E950AA"/>
    <w:rsid w:val="00EA091A"/>
    <w:rsid w:val="00EA3BE7"/>
    <w:rsid w:val="00EC6775"/>
    <w:rsid w:val="00EE4643"/>
    <w:rsid w:val="00EF127B"/>
    <w:rsid w:val="00EF7B2C"/>
    <w:rsid w:val="00F50A3E"/>
    <w:rsid w:val="00F66AF1"/>
    <w:rsid w:val="00F80E28"/>
    <w:rsid w:val="00F91C9C"/>
    <w:rsid w:val="00FA0534"/>
    <w:rsid w:val="00FA336D"/>
    <w:rsid w:val="00FC4F50"/>
    <w:rsid w:val="00FC7CE1"/>
    <w:rsid w:val="00FD2ADC"/>
    <w:rsid w:val="00FF01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27DC"/>
    <w:pPr>
      <w:spacing w:after="160" w:line="259" w:lineRule="auto"/>
    </w:pPr>
  </w:style>
  <w:style w:type="paragraph" w:styleId="Heading4">
    <w:name w:val="heading 4"/>
    <w:basedOn w:val="Normal"/>
    <w:link w:val="Heading4Char"/>
    <w:uiPriority w:val="9"/>
    <w:qFormat/>
    <w:rsid w:val="00EF7B2C"/>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127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27DC"/>
    <w:rPr>
      <w:rFonts w:ascii="Tahoma" w:hAnsi="Tahoma" w:cs="Tahoma"/>
      <w:sz w:val="16"/>
      <w:szCs w:val="16"/>
    </w:rPr>
  </w:style>
  <w:style w:type="character" w:customStyle="1" w:styleId="Heading4Char">
    <w:name w:val="Heading 4 Char"/>
    <w:basedOn w:val="DefaultParagraphFont"/>
    <w:link w:val="Heading4"/>
    <w:uiPriority w:val="9"/>
    <w:rsid w:val="00EF7B2C"/>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516D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6D06"/>
  </w:style>
  <w:style w:type="paragraph" w:styleId="Footer">
    <w:name w:val="footer"/>
    <w:basedOn w:val="Normal"/>
    <w:link w:val="FooterChar"/>
    <w:uiPriority w:val="99"/>
    <w:unhideWhenUsed/>
    <w:rsid w:val="00516D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6D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emf"/><Relationship Id="rId5" Type="http://schemas.openxmlformats.org/officeDocument/2006/relationships/endnotes" Target="endnotes.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Bonuke</dc:creator>
  <cp:lastModifiedBy>Bonuke</cp:lastModifiedBy>
  <cp:revision>2</cp:revision>
  <dcterms:created xsi:type="dcterms:W3CDTF">2023-07-08T01:27:00Z</dcterms:created>
  <dcterms:modified xsi:type="dcterms:W3CDTF">2023-07-08T01:27:00Z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7fa4c3fa2f10c3adf6936f0e8a1bb951618bf1a060c788eedd3ca89ff5225ed3</vt:lpwstr>
  </property>
</Properties>
</file>