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EA031" w14:textId="209C5DF0" w:rsidR="00197BFA" w:rsidRPr="00975006" w:rsidRDefault="00975006" w:rsidP="00823A85">
      <w:pPr>
        <w:pStyle w:val="EndNoteBibliography"/>
        <w:spacing w:before="120" w:after="0" w:line="360" w:lineRule="auto"/>
        <w:jc w:val="both"/>
        <w:rPr>
          <w:rStyle w:val="None"/>
          <w:rFonts w:ascii="Arial" w:hAnsi="Arial" w:cs="Arial"/>
          <w:b/>
          <w:bCs/>
          <w:sz w:val="28"/>
          <w:szCs w:val="28"/>
          <w:lang w:val="en-US"/>
        </w:rPr>
      </w:pPr>
      <w:r>
        <w:rPr>
          <w:rStyle w:val="None"/>
          <w:rFonts w:ascii="Arial" w:hAnsi="Arial" w:cs="Arial"/>
          <w:b/>
          <w:bCs/>
          <w:sz w:val="28"/>
          <w:szCs w:val="28"/>
          <w:lang w:val="en-US"/>
        </w:rPr>
        <w:t>Additional file 2: Figures S1-S5</w:t>
      </w:r>
    </w:p>
    <w:p w14:paraId="5962FC1A" w14:textId="22A83F43" w:rsidR="00823A85" w:rsidRDefault="00FB63BD" w:rsidP="00823A8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val="en-GB" w:eastAsia="zh-CN"/>
        </w:rPr>
        <w:drawing>
          <wp:inline distT="0" distB="0" distL="0" distR="0" wp14:anchorId="2B8FB68C" wp14:editId="5A88553A">
            <wp:extent cx="5731189" cy="5723467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86" b="22689"/>
                    <a:stretch/>
                  </pic:blipFill>
                  <pic:spPr bwMode="auto">
                    <a:xfrm>
                      <a:off x="0" y="0"/>
                      <a:ext cx="5731510" cy="5723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175E" w14:textId="2C7EB058" w:rsidR="00823A85" w:rsidRDefault="00197BFA" w:rsidP="00823A85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</w:t>
      </w:r>
      <w:r w:rsidR="00FC675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. 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S1. Expression of key proteins related </w:t>
      </w:r>
      <w:r w:rsidR="009B1296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to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lipid droplet turnover and cholesterol pathway.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HPDE and PDAC cells were grown in DMEM supplemented with 10% FBS. Total cell proteins were extracted and analyzed with immunoblotting. 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A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Schematic presentation of lipid turnover through LDs and the key proteins involved. Expression patterns of </w:t>
      </w:r>
      <w:r w:rsidR="00E20477"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B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major lipases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 major LD-coating proteins and LD-synthesis enzymes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and 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D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proteins involved in cholesterol uptake, synthesis and efflux.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ABCA1, ATP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inding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c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assette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ubfamily A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m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ember 1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;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ATGL,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dipose triglyceride lipase; CE, cholesteryl ester; DAG, diacylglycerol; DGATs,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Diacylglycerol O-Acyltransferases;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FC, free cholesterol; FFA, free fatty acids;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HMGCR,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3-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h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ydroxy-3-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m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ethylglutaryl-CoA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r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eductase;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HSL,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h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ormone-sensitive lipase;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LAL,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l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ysosomal acid lipase; LD, lipid droplet; LDLR,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Low density lipoprotein receptor; MAG, monoacylglycerol;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MGLL,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m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onoglyceride Lipase; NCEH1,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n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eutral cholesterol ester hydrolase 1;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SOAT1,</w:t>
      </w:r>
      <w:r w:rsidR="00E20477"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terol O-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cyltransferase 1;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SQLE,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qualene epoxidase</w:t>
      </w:r>
      <w:r w:rsidR="00E20477">
        <w:rPr>
          <w:rFonts w:ascii="Arial" w:hAnsi="Arial" w:cs="Arial"/>
          <w:color w:val="000000" w:themeColor="text1"/>
          <w:sz w:val="20"/>
          <w:szCs w:val="20"/>
          <w:lang w:val="en-US"/>
        </w:rPr>
        <w:t>;</w:t>
      </w:r>
      <w:r w:rsidR="00E20477" w:rsidRPr="00E2047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E20477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TAG, triacylglycerol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823A85"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</w:p>
    <w:p w14:paraId="2CB90C9A" w14:textId="6E3D5B21" w:rsidR="00BF3C5A" w:rsidRDefault="00F60EFC" w:rsidP="00BF3C5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val="en-GB" w:eastAsia="zh-CN"/>
        </w:rPr>
        <w:lastRenderedPageBreak/>
        <w:drawing>
          <wp:inline distT="0" distB="0" distL="0" distR="0" wp14:anchorId="42DDEDA2" wp14:editId="6C4FB03B">
            <wp:extent cx="4225703" cy="83464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534"/>
                    <a:stretch/>
                  </pic:blipFill>
                  <pic:spPr bwMode="auto">
                    <a:xfrm>
                      <a:off x="0" y="0"/>
                      <a:ext cx="4229237" cy="835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5A0E5D" w14:textId="7BCE65A9" w:rsidR="00823A85" w:rsidRDefault="00197BFA" w:rsidP="00823A85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</w:t>
      </w:r>
      <w:r w:rsidR="00FC6757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S2. Representative images of cell viability assay </w:t>
      </w:r>
      <w:r w:rsidR="00CB0A08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(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</w:t>
      </w:r>
      <w:r w:rsidR="00CB0A08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2B</w:t>
      </w:r>
      <w:r w:rsidR="00CB0A08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)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. A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BxPC-3. 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B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 MIA PaCa-2.</w:t>
      </w:r>
      <w:r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C</w:t>
      </w:r>
      <w:r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 PANC-1. BF, bright filed; Hoechst, Hoechst 33342; PI, propidium iodide.</w:t>
      </w:r>
      <w:r w:rsidR="00823A85"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</w:p>
    <w:p w14:paraId="28A498F9" w14:textId="2ECDBAC1" w:rsidR="00BF3C5A" w:rsidRDefault="00F60EFC" w:rsidP="005A248F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val="en-GB" w:eastAsia="zh-CN"/>
        </w:rPr>
        <w:lastRenderedPageBreak/>
        <w:drawing>
          <wp:inline distT="0" distB="0" distL="0" distR="0" wp14:anchorId="258252DC" wp14:editId="29AD3AD4">
            <wp:extent cx="5731510" cy="4385945"/>
            <wp:effectExtent l="0" t="0" r="889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3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01"/>
                    <a:stretch/>
                  </pic:blipFill>
                  <pic:spPr bwMode="auto">
                    <a:xfrm>
                      <a:off x="0" y="0"/>
                      <a:ext cx="5731510" cy="438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C0CD6" w14:textId="10BA6956" w:rsidR="00823A85" w:rsidRDefault="00FC6757" w:rsidP="00823A85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Fig.</w:t>
      </w:r>
      <w:r w:rsidR="00197BFA"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S3. The effect of other lipid pathway inhibitors on PDAC cell viability, proliferation and cell density. 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were incubated in DMEM supplemented with 1% FBS and </w:t>
      </w:r>
      <w:r w:rsidR="00CB0A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indicated 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different enzyme inhibitors (10 µM for all) for 48 hours. </w:t>
      </w:r>
      <w:r w:rsidR="00197BFA"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A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 Cell viability was assessed by the percentage of propidium iodide (PI) positive (dead</w:t>
      </w:r>
      <w:r w:rsidR="00CB0A0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cells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relative to Hoechst 33342 positive (total) nuclei. </w:t>
      </w:r>
      <w:r w:rsidR="00197BFA"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B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Cell proliferation was assessed by BrdU incorporation. </w:t>
      </w:r>
      <w:r w:rsidR="00197BFA" w:rsidRPr="002D69B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. Relative cell density was assessed by crystal violet staining.</w:t>
      </w:r>
      <w:r w:rsidR="00197BFA" w:rsidRPr="002D69B5" w:rsidDel="007B6558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Results are presented as means ± SD (n = 4-5, *</w:t>
      </w:r>
      <w:r w:rsidR="00197BFA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197BFA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&lt;0.05 comparing inhibitors and DMSO). </w:t>
      </w:r>
    </w:p>
    <w:p w14:paraId="58A69D8D" w14:textId="15A0E133" w:rsidR="00823A85" w:rsidRDefault="00823A85" w:rsidP="00823A85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</w:p>
    <w:p w14:paraId="1B30D043" w14:textId="0B82D15F" w:rsidR="002D5B60" w:rsidRDefault="002D5B60" w:rsidP="002D5B6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noProof/>
          <w:color w:val="000000" w:themeColor="text1"/>
          <w:sz w:val="20"/>
          <w:szCs w:val="20"/>
          <w:lang w:val="en-GB" w:eastAsia="zh-CN"/>
        </w:rPr>
        <w:lastRenderedPageBreak/>
        <w:drawing>
          <wp:inline distT="0" distB="0" distL="0" distR="0" wp14:anchorId="51795265" wp14:editId="3815FA7E">
            <wp:extent cx="5711989" cy="4334399"/>
            <wp:effectExtent l="0" t="0" r="317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2" t="9972" r="5735" b="14348"/>
                    <a:stretch/>
                  </pic:blipFill>
                  <pic:spPr bwMode="auto">
                    <a:xfrm>
                      <a:off x="0" y="0"/>
                      <a:ext cx="5725149" cy="43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41FF6" w14:textId="303D4B2A" w:rsidR="00823A85" w:rsidRDefault="00197BFA" w:rsidP="00823A8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D69B5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FC6757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 xml:space="preserve"> S4. Comparative proteomic analysis of differentially expressed proteins (DEPs) between control and avasimibe-treated PANC-1 cells. </w:t>
      </w:r>
      <w:r w:rsidRPr="002D69B5">
        <w:rPr>
          <w:rFonts w:ascii="Arial" w:hAnsi="Arial" w:cs="Arial"/>
          <w:sz w:val="20"/>
          <w:szCs w:val="20"/>
          <w:lang w:val="en-US"/>
        </w:rPr>
        <w:t>Cells were treated with avasimibe (AVA; 5</w:t>
      </w:r>
      <w:r w:rsidR="007D5A06">
        <w:rPr>
          <w:rFonts w:ascii="Arial" w:hAnsi="Arial" w:cs="Arial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sz w:val="20"/>
          <w:szCs w:val="20"/>
          <w:lang w:val="en-US"/>
        </w:rPr>
        <w:t>µM), oleic acid (OA; 100 µM) or AVA+OA for 48</w:t>
      </w:r>
      <w:r w:rsidR="007D5A06">
        <w:rPr>
          <w:rFonts w:ascii="Arial" w:hAnsi="Arial" w:cs="Arial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sz w:val="20"/>
          <w:szCs w:val="20"/>
          <w:lang w:val="en-US"/>
        </w:rPr>
        <w:t>h</w:t>
      </w:r>
      <w:r w:rsidR="007D5A06">
        <w:rPr>
          <w:rFonts w:ascii="Arial" w:hAnsi="Arial" w:cs="Arial"/>
          <w:sz w:val="20"/>
          <w:szCs w:val="20"/>
          <w:lang w:val="en-US"/>
        </w:rPr>
        <w:t>ours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prior to </w:t>
      </w:r>
      <w:r w:rsidR="007D5A06">
        <w:rPr>
          <w:rFonts w:ascii="Arial" w:hAnsi="Arial" w:cs="Arial"/>
          <w:sz w:val="20"/>
          <w:szCs w:val="20"/>
          <w:lang w:val="en-US"/>
        </w:rPr>
        <w:t>mass spectrometry (LC-MS/MS)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. STRING networks of DEPs with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A.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&gt;2-fold (n=289</w:t>
      </w:r>
      <w:r w:rsidR="007D5A06">
        <w:rPr>
          <w:rFonts w:ascii="Arial" w:hAnsi="Arial" w:cs="Arial"/>
          <w:sz w:val="20"/>
          <w:szCs w:val="20"/>
          <w:lang w:val="en-US"/>
        </w:rPr>
        <w:t xml:space="preserve">; </w:t>
      </w:r>
      <w:r w:rsidR="007D5A06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7D5A06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&lt;0.05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) and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 xml:space="preserve">B. </w:t>
      </w:r>
      <w:r w:rsidRPr="002D69B5">
        <w:rPr>
          <w:rFonts w:ascii="Arial" w:hAnsi="Arial" w:cs="Arial"/>
          <w:sz w:val="20"/>
          <w:szCs w:val="20"/>
          <w:lang w:val="en-US"/>
        </w:rPr>
        <w:t>&gt;3-fold (n=92</w:t>
      </w:r>
      <w:r w:rsidR="007D5A06">
        <w:rPr>
          <w:rFonts w:ascii="Arial" w:hAnsi="Arial" w:cs="Arial"/>
          <w:sz w:val="20"/>
          <w:szCs w:val="20"/>
          <w:lang w:val="en-US"/>
        </w:rPr>
        <w:t xml:space="preserve">; </w:t>
      </w:r>
      <w:r w:rsidR="007D5A06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7D5A06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&lt;0.05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) change between control and AVA-treated cells.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C.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Heatmaps showing distribution of all proteins with &gt;3-fold </w:t>
      </w:r>
      <w:r w:rsidR="00C445FB">
        <w:rPr>
          <w:rFonts w:ascii="Arial" w:hAnsi="Arial" w:cs="Arial"/>
          <w:sz w:val="20"/>
          <w:szCs w:val="20"/>
          <w:lang w:val="en-US"/>
        </w:rPr>
        <w:t>(</w:t>
      </w:r>
      <w:r w:rsidR="00C445FB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C445FB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&lt;0.05</w:t>
      </w:r>
      <w:r w:rsidR="00C445F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change in expression between control and AVA-treated samples. </w:t>
      </w:r>
    </w:p>
    <w:p w14:paraId="1CD00FE6" w14:textId="77777777" w:rsidR="00823A85" w:rsidRDefault="00823A85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6FE68993" w14:textId="0EF710A1" w:rsidR="002D5B60" w:rsidRDefault="002D5B60" w:rsidP="002D5B60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GB" w:eastAsia="zh-CN"/>
        </w:rPr>
        <w:lastRenderedPageBreak/>
        <w:drawing>
          <wp:inline distT="0" distB="0" distL="0" distR="0" wp14:anchorId="1997AFDC" wp14:editId="7AC26664">
            <wp:extent cx="5712079" cy="6327205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37" t="10770"/>
                    <a:stretch/>
                  </pic:blipFill>
                  <pic:spPr bwMode="auto">
                    <a:xfrm>
                      <a:off x="0" y="0"/>
                      <a:ext cx="5729534" cy="634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283D9" w14:textId="52F3A8D4" w:rsidR="002C2903" w:rsidRPr="002D5B60" w:rsidRDefault="00197BFA" w:rsidP="002D5B60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D69B5">
        <w:rPr>
          <w:rFonts w:ascii="Arial" w:hAnsi="Arial" w:cs="Arial"/>
          <w:b/>
          <w:bCs/>
          <w:sz w:val="20"/>
          <w:szCs w:val="20"/>
          <w:lang w:val="en-US"/>
        </w:rPr>
        <w:t>Fig</w:t>
      </w:r>
      <w:r w:rsidR="00FC6757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 xml:space="preserve"> S5. Comparative proteomic analysis of differentially expressed proteins (DEPs) between control and oleic acid-treated PANC-1 cells. </w:t>
      </w:r>
      <w:r w:rsidRPr="002D69B5">
        <w:rPr>
          <w:rFonts w:ascii="Arial" w:hAnsi="Arial" w:cs="Arial"/>
          <w:sz w:val="20"/>
          <w:szCs w:val="20"/>
          <w:lang w:val="en-US"/>
        </w:rPr>
        <w:t>Cells were treated with avasimibe (AVA; 5</w:t>
      </w:r>
      <w:r w:rsidR="00C445FB">
        <w:rPr>
          <w:rFonts w:ascii="Arial" w:hAnsi="Arial" w:cs="Arial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sz w:val="20"/>
          <w:szCs w:val="20"/>
          <w:lang w:val="en-US"/>
        </w:rPr>
        <w:t>µM), oleic acid (OA; 100 µM) or AVA+OA for 48</w:t>
      </w:r>
      <w:r w:rsidR="00C445FB">
        <w:rPr>
          <w:rFonts w:ascii="Arial" w:hAnsi="Arial" w:cs="Arial"/>
          <w:sz w:val="20"/>
          <w:szCs w:val="20"/>
          <w:lang w:val="en-US"/>
        </w:rPr>
        <w:t xml:space="preserve"> </w:t>
      </w:r>
      <w:r w:rsidRPr="002D69B5">
        <w:rPr>
          <w:rFonts w:ascii="Arial" w:hAnsi="Arial" w:cs="Arial"/>
          <w:sz w:val="20"/>
          <w:szCs w:val="20"/>
          <w:lang w:val="en-US"/>
        </w:rPr>
        <w:t>h</w:t>
      </w:r>
      <w:r w:rsidR="00C445FB">
        <w:rPr>
          <w:rFonts w:ascii="Arial" w:hAnsi="Arial" w:cs="Arial"/>
          <w:sz w:val="20"/>
          <w:szCs w:val="20"/>
          <w:lang w:val="en-US"/>
        </w:rPr>
        <w:t>ours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prior to </w:t>
      </w:r>
      <w:r w:rsidR="00C445FB">
        <w:rPr>
          <w:rFonts w:ascii="Arial" w:hAnsi="Arial" w:cs="Arial"/>
          <w:sz w:val="20"/>
          <w:szCs w:val="20"/>
          <w:lang w:val="en-US"/>
        </w:rPr>
        <w:t>mass spectrometry (</w:t>
      </w:r>
      <w:r w:rsidRPr="002D69B5">
        <w:rPr>
          <w:rFonts w:ascii="Arial" w:hAnsi="Arial" w:cs="Arial"/>
          <w:sz w:val="20"/>
          <w:szCs w:val="20"/>
          <w:lang w:val="en-US"/>
        </w:rPr>
        <w:t>LC-MS/MS</w:t>
      </w:r>
      <w:r w:rsidR="00C445FB">
        <w:rPr>
          <w:rFonts w:ascii="Arial" w:hAnsi="Arial" w:cs="Arial"/>
          <w:sz w:val="20"/>
          <w:szCs w:val="20"/>
          <w:lang w:val="en-US"/>
        </w:rPr>
        <w:t>)</w:t>
      </w:r>
      <w:r w:rsidRPr="002D69B5">
        <w:rPr>
          <w:rFonts w:ascii="Arial" w:hAnsi="Arial" w:cs="Arial"/>
          <w:sz w:val="20"/>
          <w:szCs w:val="20"/>
          <w:lang w:val="en-US"/>
        </w:rPr>
        <w:t>.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 xml:space="preserve"> A. </w:t>
      </w:r>
      <w:r w:rsidRPr="002D69B5">
        <w:rPr>
          <w:rFonts w:ascii="Arial" w:hAnsi="Arial" w:cs="Arial"/>
          <w:sz w:val="20"/>
          <w:szCs w:val="20"/>
          <w:lang w:val="en-US"/>
        </w:rPr>
        <w:t>PCA plots showing distribution of samples (</w:t>
      </w:r>
      <w:r w:rsidR="00C445FB">
        <w:rPr>
          <w:rFonts w:ascii="Arial" w:hAnsi="Arial" w:cs="Arial"/>
          <w:sz w:val="20"/>
          <w:szCs w:val="20"/>
          <w:lang w:val="en-US"/>
        </w:rPr>
        <w:t>PCA-</w:t>
      </w:r>
      <w:r w:rsidRPr="002D69B5">
        <w:rPr>
          <w:rFonts w:ascii="Arial" w:hAnsi="Arial" w:cs="Arial"/>
          <w:sz w:val="20"/>
          <w:szCs w:val="20"/>
          <w:lang w:val="en-US"/>
        </w:rPr>
        <w:t>sample plot) and DEPs (</w:t>
      </w:r>
      <w:r w:rsidR="00C445FB">
        <w:rPr>
          <w:rFonts w:ascii="Arial" w:hAnsi="Arial" w:cs="Arial"/>
          <w:sz w:val="20"/>
          <w:szCs w:val="20"/>
          <w:lang w:val="en-US"/>
        </w:rPr>
        <w:t>PCA-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variable plot). Each dot represents an individual sample </w:t>
      </w:r>
      <w:r w:rsidR="00C445FB">
        <w:rPr>
          <w:rFonts w:ascii="Arial" w:hAnsi="Arial" w:cs="Arial"/>
          <w:sz w:val="20"/>
          <w:szCs w:val="20"/>
          <w:lang w:val="en-US"/>
        </w:rPr>
        <w:t xml:space="preserve">and individual protein in PCA-sample and -variable plot, respectively.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 xml:space="preserve">B-C. 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Heatmaps showing distribution of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B.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all DEPs (n=119</w:t>
      </w:r>
      <w:r w:rsidR="00C445FB">
        <w:rPr>
          <w:rFonts w:ascii="Arial" w:hAnsi="Arial" w:cs="Arial"/>
          <w:sz w:val="20"/>
          <w:szCs w:val="20"/>
          <w:lang w:val="en-US"/>
        </w:rPr>
        <w:t xml:space="preserve">; </w:t>
      </w:r>
      <w:r w:rsidR="00C445FB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C445FB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&lt;0.05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) and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C.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DEPs with &gt;2-fold (n=22</w:t>
      </w:r>
      <w:r w:rsidR="00C445FB">
        <w:rPr>
          <w:rFonts w:ascii="Arial" w:hAnsi="Arial" w:cs="Arial"/>
          <w:sz w:val="20"/>
          <w:szCs w:val="20"/>
          <w:lang w:val="en-US"/>
        </w:rPr>
        <w:t xml:space="preserve">; </w:t>
      </w:r>
      <w:r w:rsidR="00C445FB" w:rsidRPr="00CB0A08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</w:t>
      </w:r>
      <w:r w:rsidR="00C445FB" w:rsidRPr="002D69B5">
        <w:rPr>
          <w:rFonts w:ascii="Arial" w:hAnsi="Arial" w:cs="Arial"/>
          <w:color w:val="000000" w:themeColor="text1"/>
          <w:sz w:val="20"/>
          <w:szCs w:val="20"/>
          <w:lang w:val="en-US"/>
        </w:rPr>
        <w:t>&lt;0.05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) change in expression between control and OA-treated samples.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D.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STRING network and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E.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 Gene ontology enrichment of biological processes and KEGG pathway of the DEPs presented in </w:t>
      </w:r>
      <w:r w:rsidRPr="002D69B5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Pr="002D69B5">
        <w:rPr>
          <w:rFonts w:ascii="Arial" w:hAnsi="Arial" w:cs="Arial"/>
          <w:sz w:val="20"/>
          <w:szCs w:val="20"/>
          <w:lang w:val="en-US"/>
        </w:rPr>
        <w:t xml:space="preserve">. </w:t>
      </w:r>
    </w:p>
    <w:sectPr w:rsidR="002C2903" w:rsidRPr="002D5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FA"/>
    <w:rsid w:val="00197BFA"/>
    <w:rsid w:val="00261A3C"/>
    <w:rsid w:val="002C2903"/>
    <w:rsid w:val="002D5B60"/>
    <w:rsid w:val="00412BD9"/>
    <w:rsid w:val="005A248F"/>
    <w:rsid w:val="007D5A06"/>
    <w:rsid w:val="00823A85"/>
    <w:rsid w:val="00975006"/>
    <w:rsid w:val="0097690D"/>
    <w:rsid w:val="009B1296"/>
    <w:rsid w:val="00BB7AF3"/>
    <w:rsid w:val="00BF3C5A"/>
    <w:rsid w:val="00C445FB"/>
    <w:rsid w:val="00CB0A08"/>
    <w:rsid w:val="00E05740"/>
    <w:rsid w:val="00E20477"/>
    <w:rsid w:val="00F60EFC"/>
    <w:rsid w:val="00FB63BD"/>
    <w:rsid w:val="00FC0939"/>
    <w:rsid w:val="00FC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BE58"/>
  <w15:chartTrackingRefBased/>
  <w15:docId w15:val="{58A67412-5226-4AB2-8EC5-B1F8D032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197BFA"/>
  </w:style>
  <w:style w:type="paragraph" w:customStyle="1" w:styleId="EndNoteBibliography">
    <w:name w:val="EndNote Bibliography"/>
    <w:basedOn w:val="Normal"/>
    <w:link w:val="EndNoteBibliographyChar"/>
    <w:rsid w:val="00197BFA"/>
    <w:pPr>
      <w:spacing w:line="240" w:lineRule="auto"/>
    </w:pPr>
    <w:rPr>
      <w:rFonts w:ascii="Calibri" w:eastAsiaTheme="minorEastAsia" w:hAnsi="Calibri" w:cs="Calibri"/>
      <w:noProof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197BFA"/>
    <w:rPr>
      <w:rFonts w:ascii="Calibri" w:eastAsiaTheme="minorEastAsia" w:hAnsi="Calibri" w:cs="Calibri"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"/><Relationship Id="rId5" Type="http://schemas.openxmlformats.org/officeDocument/2006/relationships/image" Target="media/image2.tif"/><Relationship Id="rId6" Type="http://schemas.openxmlformats.org/officeDocument/2006/relationships/image" Target="media/image3.ti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470</Words>
  <Characters>2683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Amrutkar</dc:creator>
  <cp:keywords/>
  <dc:description/>
  <cp:lastModifiedBy>Yuchuan Li</cp:lastModifiedBy>
  <cp:revision>26</cp:revision>
  <dcterms:created xsi:type="dcterms:W3CDTF">2023-06-28T09:00:00Z</dcterms:created>
  <dcterms:modified xsi:type="dcterms:W3CDTF">2023-07-06T17:22:00Z</dcterms:modified>
</cp:coreProperties>
</file>