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uto"/>
        <w:rPr>
          <w:rFonts w:ascii="Times New Roman" w:hAnsi="Times New Roman"/>
          <w:b/>
          <w:bCs/>
          <w:sz w:val="24"/>
          <w:highlight w:val="none"/>
        </w:rPr>
      </w:pPr>
      <w:bookmarkStart w:id="0" w:name="OLE_LINK31"/>
      <w:r>
        <w:rPr>
          <w:rFonts w:ascii="Times New Roman" w:hAnsi="Times New Roman"/>
          <w:b/>
          <w:iCs/>
          <w:sz w:val="24"/>
          <w:highlight w:val="none"/>
        </w:rPr>
        <w:t>Supplementary information</w:t>
      </w:r>
      <w:bookmarkEnd w:id="0"/>
      <w:r>
        <w:rPr>
          <w:rFonts w:ascii="Times New Roman" w:hAnsi="Times New Roman"/>
          <w:b/>
          <w:iCs/>
          <w:sz w:val="24"/>
          <w:highlight w:val="none"/>
        </w:rPr>
        <w:t xml:space="preserve"> </w:t>
      </w:r>
      <w:bookmarkStart w:id="1" w:name="_Hlk3231276"/>
      <w:r>
        <w:rPr>
          <w:rFonts w:ascii="Times New Roman" w:hAnsi="Times New Roman"/>
          <w:b/>
          <w:iCs/>
          <w:sz w:val="24"/>
          <w:highlight w:val="none"/>
        </w:rPr>
        <w:t>to</w:t>
      </w:r>
    </w:p>
    <w:p>
      <w:pPr>
        <w:widowControl/>
        <w:spacing w:line="300" w:lineRule="auto"/>
        <w:rPr>
          <w:rFonts w:ascii="Times New Roman" w:hAnsi="Times New Roman"/>
          <w:b/>
          <w:iCs/>
          <w:sz w:val="24"/>
          <w:highlight w:val="none"/>
        </w:rPr>
      </w:pPr>
      <w:r>
        <w:rPr>
          <w:rFonts w:ascii="Times New Roman" w:hAnsi="Times New Roman"/>
          <w:b/>
          <w:bCs/>
          <w:sz w:val="24"/>
          <w:highlight w:val="none"/>
        </w:rPr>
        <w:t>Well-m</w:t>
      </w:r>
      <w:r>
        <w:rPr>
          <w:rFonts w:ascii="Times New Roman" w:hAnsi="Times New Roman"/>
          <w:b/>
          <w:sz w:val="24"/>
          <w:highlight w:val="none"/>
        </w:rPr>
        <w:t>anaged urbanization could halve nitrogen pollution in China</w:t>
      </w:r>
    </w:p>
    <w:bookmarkEnd w:id="1"/>
    <w:sdt>
      <w:sdtPr>
        <w:rPr>
          <w:rFonts w:ascii="Times New Roman" w:hAnsi="Times New Roman"/>
          <w:b/>
          <w:bCs/>
          <w:sz w:val="24"/>
          <w:highlight w:val="none"/>
        </w:rPr>
        <w:id w:val="147474670"/>
        <w15:color w:val="DBDBDB"/>
        <w:docPartObj>
          <w:docPartGallery w:val="Table of Contents"/>
          <w:docPartUnique/>
        </w:docPartObj>
      </w:sdtPr>
      <w:sdtEndPr>
        <w:rPr>
          <w:rFonts w:ascii="Times New Roman" w:hAnsi="Times New Roman"/>
          <w:b/>
          <w:bCs/>
          <w:sz w:val="24"/>
          <w:highlight w:val="none"/>
        </w:rPr>
      </w:sdtEndPr>
      <w:sdtContent>
        <w:p>
          <w:pPr>
            <w:spacing w:line="360" w:lineRule="auto"/>
            <w:jc w:val="center"/>
            <w:rPr>
              <w:rFonts w:ascii="Times New Roman" w:hAnsi="Times New Roman"/>
              <w:b/>
              <w:bCs/>
              <w:sz w:val="24"/>
              <w:highlight w:val="none"/>
            </w:rPr>
          </w:pPr>
          <w:r>
            <w:rPr>
              <w:rFonts w:ascii="Times New Roman" w:hAnsi="Times New Roman"/>
              <w:b/>
              <w:bCs/>
              <w:sz w:val="24"/>
              <w:highlight w:val="none"/>
            </w:rPr>
            <w:t>C</w:t>
          </w:r>
          <w:r>
            <w:rPr>
              <w:rFonts w:hint="eastAsia" w:ascii="Times New Roman" w:hAnsi="Times New Roman"/>
              <w:b/>
              <w:bCs/>
              <w:sz w:val="24"/>
              <w:highlight w:val="none"/>
            </w:rPr>
            <w:t>o</w:t>
          </w:r>
          <w:r>
            <w:rPr>
              <w:rFonts w:ascii="Times New Roman" w:hAnsi="Times New Roman"/>
              <w:b/>
              <w:bCs/>
              <w:sz w:val="24"/>
              <w:highlight w:val="none"/>
            </w:rPr>
            <w:t>ntents</w:t>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b/>
              <w:sz w:val="24"/>
              <w:szCs w:val="24"/>
              <w:highlight w:val="none"/>
            </w:rPr>
            <w:fldChar w:fldCharType="begin"/>
          </w:r>
          <w:r>
            <w:rPr>
              <w:rFonts w:hint="default" w:ascii="Times New Roman" w:hAnsi="Times New Roman" w:cs="Times New Roman"/>
              <w:b/>
              <w:sz w:val="24"/>
              <w:szCs w:val="24"/>
              <w:highlight w:val="none"/>
            </w:rPr>
            <w:instrText xml:space="preserve">TOC \o "1-2" \h \u </w:instrText>
          </w:r>
          <w:r>
            <w:rPr>
              <w:rFonts w:hint="default" w:ascii="Times New Roman" w:hAnsi="Times New Roman" w:cs="Times New Roman"/>
              <w:b/>
              <w:sz w:val="24"/>
              <w:szCs w:val="24"/>
              <w:highlight w:val="none"/>
            </w:rPr>
            <w:fldChar w:fldCharType="separate"/>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_Toc22521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S1. Supplementary Methods</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_Toc22521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2</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_Toc23033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S1.1 Urban expansion modeling.</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_Toc23033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2</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_Toc16812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 xml:space="preserve">S1.2 </w:t>
          </w:r>
          <w:r>
            <w:rPr>
              <w:rFonts w:hint="default" w:ascii="Times New Roman" w:hAnsi="Times New Roman" w:cs="Times New Roman"/>
              <w:sz w:val="24"/>
              <w:szCs w:val="24"/>
              <w:highlight w:val="none"/>
            </w:rPr>
            <w:t>Rural land reclamation modeling.</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_Toc16812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2</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_Toc21163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 xml:space="preserve">S1.3 </w:t>
          </w:r>
          <w:r>
            <w:rPr>
              <w:rFonts w:hint="default" w:ascii="Times New Roman" w:hAnsi="Times New Roman" w:cs="Times New Roman"/>
              <w:sz w:val="24"/>
              <w:szCs w:val="24"/>
              <w:highlight w:val="none"/>
            </w:rPr>
            <w:t>The potential modeling of large-scale farming potential.</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_Toc21163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3</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_Toc21461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S1.4 Crop-livestock coupled production modeling</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_Toc21461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3</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_Toc20116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S1.5 Nitrogen budget modeling.</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_Toc20116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4</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_Toc21398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S1.</w:t>
          </w:r>
          <w:r>
            <w:rPr>
              <w:rFonts w:hint="default" w:ascii="Times New Roman" w:hAnsi="Times New Roman" w:cs="Times New Roman"/>
              <w:bCs/>
              <w:sz w:val="24"/>
              <w:szCs w:val="24"/>
              <w:highlight w:val="none"/>
              <w:lang w:val="en-US" w:eastAsia="zh-CN"/>
            </w:rPr>
            <w:t>6</w:t>
          </w:r>
          <w:r>
            <w:rPr>
              <w:rFonts w:hint="default" w:ascii="Times New Roman" w:hAnsi="Times New Roman" w:cs="Times New Roman"/>
              <w:bCs/>
              <w:sz w:val="24"/>
              <w:szCs w:val="24"/>
              <w:highlight w:val="none"/>
            </w:rPr>
            <w:t xml:space="preserve"> </w:t>
          </w:r>
          <w:r>
            <w:rPr>
              <w:rFonts w:hint="default" w:ascii="Times New Roman" w:hAnsi="Times New Roman" w:cs="Times New Roman"/>
              <w:sz w:val="24"/>
              <w:szCs w:val="24"/>
              <w:highlight w:val="none"/>
            </w:rPr>
            <w:t>High spatial resolution N loss inventory building.</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_Toc21398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5</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_Toc21765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S1.</w:t>
          </w:r>
          <w:r>
            <w:rPr>
              <w:rFonts w:hint="default" w:ascii="Times New Roman" w:hAnsi="Times New Roman" w:cs="Times New Roman"/>
              <w:bCs/>
              <w:sz w:val="24"/>
              <w:szCs w:val="24"/>
              <w:highlight w:val="none"/>
              <w:lang w:val="en-US" w:eastAsia="zh-CN"/>
            </w:rPr>
            <w:t>7</w:t>
          </w:r>
          <w:r>
            <w:rPr>
              <w:rFonts w:hint="default" w:ascii="Times New Roman" w:hAnsi="Times New Roman" w:cs="Times New Roman"/>
              <w:bCs/>
              <w:sz w:val="24"/>
              <w:szCs w:val="24"/>
              <w:highlight w:val="none"/>
            </w:rPr>
            <w:t xml:space="preserve"> </w:t>
          </w:r>
          <w:r>
            <w:rPr>
              <w:rFonts w:hint="default" w:ascii="Times New Roman" w:hAnsi="Times New Roman" w:cs="Times New Roman"/>
              <w:sz w:val="24"/>
              <w:szCs w:val="24"/>
              <w:highlight w:val="none"/>
            </w:rPr>
            <w:t xml:space="preserve">Air </w:t>
          </w:r>
          <w:r>
            <w:rPr>
              <w:rFonts w:hint="default" w:ascii="Times New Roman" w:hAnsi="Times New Roman" w:cs="Times New Roman"/>
              <w:sz w:val="24"/>
              <w:szCs w:val="24"/>
              <w:highlight w:val="none"/>
              <w:lang w:val="en-US" w:eastAsia="zh-CN"/>
            </w:rPr>
            <w:t>PM</w:t>
          </w:r>
          <w:r>
            <w:rPr>
              <w:rFonts w:hint="default" w:ascii="Times New Roman" w:hAnsi="Times New Roman" w:cs="Times New Roman"/>
              <w:sz w:val="24"/>
              <w:szCs w:val="24"/>
              <w:highlight w:val="none"/>
              <w:vertAlign w:val="subscript"/>
              <w:lang w:val="en-US" w:eastAsia="zh-CN"/>
            </w:rPr>
            <w:t>2.5</w:t>
          </w:r>
          <w:r>
            <w:rPr>
              <w:rFonts w:hint="default" w:ascii="Times New Roman" w:hAnsi="Times New Roman" w:cs="Times New Roman"/>
              <w:sz w:val="24"/>
              <w:szCs w:val="24"/>
              <w:highlight w:val="none"/>
            </w:rPr>
            <w:t xml:space="preserve"> estimation</w:t>
          </w:r>
          <w:r>
            <w:rPr>
              <w:rFonts w:hint="default" w:ascii="Times New Roman" w:hAnsi="Times New Roman" w:cs="Times New Roman"/>
              <w:sz w:val="24"/>
              <w:szCs w:val="24"/>
              <w:highlight w:val="none"/>
              <w:lang w:val="en-US" w:eastAsia="zh-CN"/>
            </w:rPr>
            <w:t xml:space="preserve"> and validation</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_Toc21765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6</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_Toc3784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S1.</w:t>
          </w:r>
          <w:r>
            <w:rPr>
              <w:rFonts w:hint="default" w:ascii="Times New Roman" w:hAnsi="Times New Roman" w:cs="Times New Roman"/>
              <w:bCs/>
              <w:sz w:val="24"/>
              <w:szCs w:val="24"/>
              <w:highlight w:val="none"/>
              <w:lang w:val="en-US" w:eastAsia="zh-CN"/>
            </w:rPr>
            <w:t>8</w:t>
          </w:r>
          <w:r>
            <w:rPr>
              <w:rFonts w:hint="default" w:ascii="Times New Roman" w:hAnsi="Times New Roman" w:cs="Times New Roman"/>
              <w:bCs/>
              <w:sz w:val="24"/>
              <w:szCs w:val="24"/>
              <w:highlight w:val="none"/>
            </w:rPr>
            <w:t xml:space="preserve"> </w:t>
          </w:r>
          <w:r>
            <w:rPr>
              <w:rFonts w:hint="default" w:ascii="Times New Roman" w:hAnsi="Times New Roman" w:cs="Times New Roman"/>
              <w:bCs/>
              <w:sz w:val="24"/>
              <w:szCs w:val="24"/>
              <w:highlight w:val="none"/>
              <w:lang w:val="en-US" w:eastAsia="zh-CN"/>
            </w:rPr>
            <w:t>E</w:t>
          </w:r>
          <w:r>
            <w:rPr>
              <w:rFonts w:hint="default" w:ascii="Times New Roman" w:hAnsi="Times New Roman" w:cs="Times New Roman"/>
              <w:sz w:val="24"/>
              <w:szCs w:val="24"/>
              <w:highlight w:val="none"/>
            </w:rPr>
            <w:t>stimation</w:t>
          </w:r>
          <w:r>
            <w:rPr>
              <w:rFonts w:hint="default" w:ascii="Times New Roman" w:hAnsi="Times New Roman" w:cs="Times New Roman"/>
              <w:sz w:val="24"/>
              <w:szCs w:val="24"/>
              <w:highlight w:val="none"/>
              <w:lang w:val="en-US" w:eastAsia="zh-CN"/>
            </w:rPr>
            <w:t xml:space="preserve"> of </w:t>
          </w:r>
          <w:r>
            <w:rPr>
              <w:rFonts w:hint="default" w:ascii="Times New Roman" w:hAnsi="Times New Roman" w:cs="Times New Roman"/>
              <w:sz w:val="24"/>
              <w:szCs w:val="24"/>
              <w:highlight w:val="none"/>
            </w:rPr>
            <w:t xml:space="preserve">Nr </w:t>
          </w:r>
          <w:r>
            <w:rPr>
              <w:rFonts w:hint="default" w:ascii="Times New Roman" w:hAnsi="Times New Roman" w:cs="Times New Roman"/>
              <w:sz w:val="24"/>
              <w:szCs w:val="24"/>
              <w:highlight w:val="none"/>
              <w:lang w:val="en-US" w:eastAsia="zh-CN"/>
            </w:rPr>
            <w:t>output to sea and its imitation</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_Toc3784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6</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_Toc6396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S1.</w:t>
          </w:r>
          <w:r>
            <w:rPr>
              <w:rFonts w:hint="default" w:ascii="Times New Roman" w:hAnsi="Times New Roman" w:cs="Times New Roman"/>
              <w:bCs/>
              <w:sz w:val="24"/>
              <w:szCs w:val="24"/>
              <w:highlight w:val="none"/>
              <w:lang w:val="en-US" w:eastAsia="zh-CN"/>
            </w:rPr>
            <w:t>9</w:t>
          </w:r>
          <w:r>
            <w:rPr>
              <w:rFonts w:hint="default" w:ascii="Times New Roman" w:hAnsi="Times New Roman" w:cs="Times New Roman"/>
              <w:bCs/>
              <w:sz w:val="24"/>
              <w:szCs w:val="24"/>
              <w:highlight w:val="none"/>
            </w:rPr>
            <w:t xml:space="preserve"> </w:t>
          </w:r>
          <w:r>
            <w:rPr>
              <w:rFonts w:hint="default" w:ascii="Times New Roman" w:hAnsi="Times New Roman" w:cs="Times New Roman"/>
              <w:sz w:val="24"/>
              <w:szCs w:val="24"/>
              <w:highlight w:val="none"/>
            </w:rPr>
            <w:t>Geo-distribution of social benefit</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_Toc6396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7</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_Toc16087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S</w:t>
          </w:r>
          <w:r>
            <w:rPr>
              <w:rFonts w:hint="default"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 xml:space="preserve">. </w:t>
          </w:r>
          <w:r>
            <w:rPr>
              <w:rFonts w:hint="default" w:ascii="Times New Roman" w:hAnsi="Times New Roman" w:cs="Times New Roman"/>
              <w:sz w:val="24"/>
              <w:szCs w:val="24"/>
              <w:highlight w:val="none"/>
              <w:lang w:val="en-US" w:eastAsia="zh-CN"/>
            </w:rPr>
            <w:t>Comparison of different water quality model</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_Toc16087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8</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_Toc32532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Table S1</w:t>
          </w:r>
          <w:r>
            <w:rPr>
              <w:rFonts w:hint="default" w:ascii="Times New Roman" w:hAnsi="Times New Roman" w:cs="Times New Roman"/>
              <w:bCs/>
              <w:sz w:val="24"/>
              <w:szCs w:val="24"/>
              <w:highlight w:val="none"/>
            </w:rPr>
            <w:t xml:space="preserve"> Land use change flow matrices from 2017 to 2050 (million ha).</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_Toc32532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10</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_Toc27492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Table S2 Pig unit conversion factor and the total livestock.</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_Toc27492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11</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_Toc6161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Table S3 Key parameters adjusting in the human relating subsystems in CHANS.</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_Toc6161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13</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_Toc4899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 xml:space="preserve">Table </w:t>
          </w:r>
          <w:r>
            <w:rPr>
              <w:rFonts w:hint="default" w:ascii="Times New Roman" w:hAnsi="Times New Roman" w:cs="Times New Roman"/>
              <w:bCs/>
              <w:kern w:val="0"/>
              <w:sz w:val="24"/>
              <w:szCs w:val="24"/>
              <w:highlight w:val="none"/>
            </w:rPr>
            <w:t>S4</w:t>
          </w:r>
          <w:r>
            <w:rPr>
              <w:rFonts w:hint="default" w:ascii="Times New Roman" w:hAnsi="Times New Roman" w:cs="Times New Roman"/>
              <w:bCs/>
              <w:sz w:val="24"/>
              <w:szCs w:val="24"/>
              <w:highlight w:val="none"/>
            </w:rPr>
            <w:t xml:space="preserve"> Key parameter adjusting in agricultural relating subsystems in CHANS.</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_Toc4899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15</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_Toc23758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 xml:space="preserve">Table S5 Proxy variable and land use raster for high </w:t>
          </w:r>
          <w:r>
            <w:rPr>
              <w:rFonts w:hint="default" w:ascii="Times New Roman" w:hAnsi="Times New Roman" w:cs="Times New Roman"/>
              <w:bCs/>
              <w:sz w:val="24"/>
              <w:szCs w:val="24"/>
              <w:highlight w:val="none"/>
            </w:rPr>
            <w:t>spatial resolution Nr loss inventory.</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_Toc23758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16</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_Toc21655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sz w:val="24"/>
              <w:szCs w:val="24"/>
              <w:highlight w:val="none"/>
            </w:rPr>
            <w:t xml:space="preserve">Table S6 </w:t>
          </w:r>
          <w:r>
            <w:rPr>
              <w:rFonts w:hint="default" w:ascii="Times New Roman" w:hAnsi="Times New Roman" w:cs="Times New Roman"/>
              <w:bCs/>
              <w:kern w:val="0"/>
              <w:sz w:val="24"/>
              <w:szCs w:val="24"/>
              <w:highlight w:val="none"/>
            </w:rPr>
            <w:t xml:space="preserve">GAINS </w:t>
          </w:r>
          <w:r>
            <w:rPr>
              <w:rFonts w:hint="default" w:ascii="Times New Roman" w:hAnsi="Times New Roman" w:cs="Times New Roman"/>
              <w:bCs/>
              <w:sz w:val="24"/>
              <w:szCs w:val="24"/>
              <w:highlight w:val="none"/>
            </w:rPr>
            <w:t>mitigation unit cost (</w:t>
          </w:r>
          <w:r>
            <w:rPr>
              <w:rFonts w:hint="default" w:ascii="Times New Roman" w:hAnsi="Times New Roman" w:cs="Times New Roman"/>
              <w:bCs/>
              <w:kern w:val="0"/>
              <w:sz w:val="24"/>
              <w:szCs w:val="24"/>
              <w:highlight w:val="none"/>
              <w:lang w:bidi="ar"/>
            </w:rPr>
            <w:t>US$ kg N</w:t>
          </w:r>
          <w:r>
            <w:rPr>
              <w:rFonts w:hint="default" w:ascii="Times New Roman" w:hAnsi="Times New Roman" w:cs="Times New Roman"/>
              <w:bCs/>
              <w:kern w:val="0"/>
              <w:sz w:val="24"/>
              <w:szCs w:val="24"/>
              <w:highlight w:val="none"/>
              <w:vertAlign w:val="superscript"/>
              <w:lang w:bidi="ar"/>
            </w:rPr>
            <w:t>-1</w:t>
          </w:r>
          <w:r>
            <w:rPr>
              <w:rFonts w:hint="default" w:ascii="Times New Roman" w:hAnsi="Times New Roman" w:cs="Times New Roman"/>
              <w:bCs/>
              <w:sz w:val="24"/>
              <w:szCs w:val="24"/>
              <w:highlight w:val="none"/>
            </w:rPr>
            <w:t>) by provinces in 2017.</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_Toc21655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17</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_Toc7827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Table S7 N</w:t>
          </w:r>
          <w:r>
            <w:rPr>
              <w:rFonts w:hint="default" w:ascii="Times New Roman" w:hAnsi="Times New Roman" w:cs="Times New Roman"/>
              <w:bCs/>
              <w:kern w:val="0"/>
              <w:sz w:val="24"/>
              <w:szCs w:val="24"/>
              <w:highlight w:val="none"/>
              <w:vertAlign w:val="subscript"/>
            </w:rPr>
            <w:t>r</w:t>
          </w:r>
          <w:r>
            <w:rPr>
              <w:rFonts w:hint="default" w:ascii="Times New Roman" w:hAnsi="Times New Roman" w:cs="Times New Roman"/>
              <w:bCs/>
              <w:kern w:val="0"/>
              <w:sz w:val="24"/>
              <w:szCs w:val="24"/>
              <w:highlight w:val="none"/>
            </w:rPr>
            <w:t xml:space="preserve"> loss-related social benefit through urbanization in China</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_Toc7827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18</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_Toc23944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Table S8 Cost-benefit analysis of China’s regional divisions.</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_Toc23944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19</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_Toc30493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 xml:space="preserve">Table S9 </w:t>
          </w:r>
          <w:r>
            <w:rPr>
              <w:rFonts w:hint="default" w:ascii="Times New Roman" w:hAnsi="Times New Roman" w:cs="Times New Roman"/>
              <w:bCs/>
              <w:sz w:val="24"/>
              <w:szCs w:val="24"/>
              <w:highlight w:val="none"/>
            </w:rPr>
            <w:t>Investment cost of sewage/garbage projects from Public-Private Partnership Service Platform of China.</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_Toc30493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20</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_Toc24437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Table S10</w:t>
          </w:r>
          <w:r>
            <w:rPr>
              <w:rFonts w:hint="default" w:ascii="Times New Roman" w:hAnsi="Times New Roman" w:cs="Times New Roman"/>
              <w:bCs/>
              <w:sz w:val="24"/>
              <w:szCs w:val="24"/>
              <w:highlight w:val="none"/>
            </w:rPr>
            <w:t xml:space="preserve"> Investment cost of rural reclamation, cropland consolidation and livestock relocation</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_Toc24437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21</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pStyle w:val="6"/>
            <w:keepNext w:val="0"/>
            <w:keepLines w:val="0"/>
            <w:pageBreakBefore w:val="0"/>
            <w:widowControl w:val="0"/>
            <w:tabs>
              <w:tab w:val="right" w:leader="dot" w:pos="8306"/>
            </w:tabs>
            <w:kinsoku/>
            <w:wordWrap/>
            <w:overflowPunct/>
            <w:topLinePunct w:val="0"/>
            <w:autoSpaceDE/>
            <w:autoSpaceDN/>
            <w:bidi w:val="0"/>
            <w:spacing w:line="360" w:lineRule="auto"/>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HYPERLINK \l _Toc7642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bCs/>
              <w:kern w:val="0"/>
              <w:sz w:val="24"/>
              <w:szCs w:val="24"/>
              <w:highlight w:val="none"/>
            </w:rPr>
            <w:t xml:space="preserve">Fig. S1 </w:t>
          </w:r>
          <w:r>
            <w:rPr>
              <w:rFonts w:hint="default" w:ascii="Times New Roman" w:hAnsi="Times New Roman" w:cs="Times New Roman"/>
              <w:sz w:val="24"/>
              <w:szCs w:val="24"/>
              <w:highlight w:val="none"/>
            </w:rPr>
            <w:t xml:space="preserve">| </w:t>
          </w:r>
          <w:r>
            <w:rPr>
              <w:rFonts w:hint="default" w:ascii="Times New Roman" w:hAnsi="Times New Roman" w:cs="Times New Roman"/>
              <w:bCs/>
              <w:kern w:val="0"/>
              <w:sz w:val="24"/>
              <w:szCs w:val="24"/>
              <w:highlight w:val="none"/>
            </w:rPr>
            <w:t>Comparison of observed and modeled monthly mean PM</w:t>
          </w:r>
          <w:r>
            <w:rPr>
              <w:rFonts w:hint="default" w:ascii="Times New Roman" w:hAnsi="Times New Roman" w:cs="Times New Roman"/>
              <w:bCs/>
              <w:kern w:val="0"/>
              <w:sz w:val="24"/>
              <w:szCs w:val="24"/>
              <w:highlight w:val="none"/>
              <w:vertAlign w:val="subscript"/>
            </w:rPr>
            <w:t xml:space="preserve">2.5 </w:t>
          </w:r>
          <w:r>
            <w:rPr>
              <w:rFonts w:hint="default" w:ascii="Times New Roman" w:hAnsi="Times New Roman" w:cs="Times New Roman"/>
              <w:bCs/>
              <w:kern w:val="0"/>
              <w:sz w:val="24"/>
              <w:szCs w:val="24"/>
              <w:highlight w:val="none"/>
            </w:rPr>
            <w:t>concentrations.</w:t>
          </w:r>
          <w:r>
            <w:rPr>
              <w:rFonts w:hint="default" w:ascii="Times New Roman" w:hAnsi="Times New Roman" w:cs="Times New Roman"/>
              <w:sz w:val="24"/>
              <w:szCs w:val="24"/>
              <w:highlight w:val="none"/>
            </w:rPr>
            <w:tab/>
          </w:r>
          <w:r>
            <w:rPr>
              <w:rFonts w:hint="default" w:ascii="Times New Roman" w:hAnsi="Times New Roman" w:cs="Times New Roman"/>
              <w:sz w:val="24"/>
              <w:szCs w:val="24"/>
              <w:highlight w:val="none"/>
            </w:rPr>
            <w:fldChar w:fldCharType="begin"/>
          </w:r>
          <w:r>
            <w:rPr>
              <w:rFonts w:hint="default" w:ascii="Times New Roman" w:hAnsi="Times New Roman" w:cs="Times New Roman"/>
              <w:sz w:val="24"/>
              <w:szCs w:val="24"/>
              <w:highlight w:val="none"/>
            </w:rPr>
            <w:instrText xml:space="preserve"> PAGEREF _Toc7642 \h </w:instrText>
          </w:r>
          <w:r>
            <w:rPr>
              <w:rFonts w:hint="default" w:ascii="Times New Roman" w:hAnsi="Times New Roman" w:cs="Times New Roman"/>
              <w:sz w:val="24"/>
              <w:szCs w:val="24"/>
              <w:highlight w:val="none"/>
            </w:rPr>
            <w:fldChar w:fldCharType="separate"/>
          </w:r>
          <w:r>
            <w:rPr>
              <w:rFonts w:hint="default" w:ascii="Times New Roman" w:hAnsi="Times New Roman" w:cs="Times New Roman"/>
              <w:sz w:val="24"/>
              <w:szCs w:val="24"/>
              <w:highlight w:val="none"/>
            </w:rPr>
            <w:t>23</w:t>
          </w:r>
          <w:r>
            <w:rPr>
              <w:rFonts w:hint="default" w:ascii="Times New Roman" w:hAnsi="Times New Roman" w:cs="Times New Roman"/>
              <w:sz w:val="24"/>
              <w:szCs w:val="24"/>
              <w:highlight w:val="none"/>
            </w:rPr>
            <w:fldChar w:fldCharType="end"/>
          </w:r>
          <w:r>
            <w:rPr>
              <w:rFonts w:hint="default" w:ascii="Times New Roman" w:hAnsi="Times New Roman" w:cs="Times New Roman"/>
              <w:sz w:val="24"/>
              <w:szCs w:val="24"/>
              <w:highlight w:val="none"/>
            </w:rPr>
            <w:fldChar w:fldCharType="end"/>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Times New Roman" w:hAnsi="Times New Roman"/>
              <w:b/>
              <w:sz w:val="24"/>
              <w:highlight w:val="none"/>
            </w:rPr>
            <w:sectPr>
              <w:footerReference r:id="rId3" w:type="default"/>
              <w:pgSz w:w="11906" w:h="16838"/>
              <w:pgMar w:top="1440" w:right="1800" w:bottom="1440" w:left="1800" w:header="851" w:footer="992" w:gutter="0"/>
              <w:lnNumType w:countBy="1" w:restart="continuous"/>
              <w:cols w:space="720" w:num="1"/>
              <w:docGrid w:type="lines" w:linePitch="312" w:charSpace="0"/>
            </w:sectPr>
          </w:pPr>
          <w:r>
            <w:rPr>
              <w:rFonts w:hint="default" w:ascii="Times New Roman" w:hAnsi="Times New Roman" w:cs="Times New Roman"/>
              <w:sz w:val="24"/>
              <w:szCs w:val="24"/>
              <w:highlight w:val="none"/>
            </w:rPr>
            <w:fldChar w:fldCharType="end"/>
          </w:r>
        </w:p>
      </w:sdtContent>
    </w:sdt>
    <w:p>
      <w:pPr>
        <w:adjustRightInd w:val="0"/>
        <w:snapToGrid w:val="0"/>
        <w:spacing w:line="300" w:lineRule="auto"/>
        <w:outlineLvl w:val="0"/>
        <w:rPr>
          <w:rFonts w:ascii="Times New Roman" w:hAnsi="Times New Roman"/>
          <w:b/>
          <w:sz w:val="24"/>
          <w:highlight w:val="none"/>
        </w:rPr>
      </w:pPr>
      <w:bookmarkStart w:id="2" w:name="_Toc22521"/>
      <w:r>
        <w:rPr>
          <w:rFonts w:ascii="Times New Roman" w:hAnsi="Times New Roman"/>
          <w:b/>
          <w:sz w:val="24"/>
          <w:highlight w:val="none"/>
        </w:rPr>
        <w:t>S1. Supplementary Methods</w:t>
      </w:r>
      <w:bookmarkEnd w:id="2"/>
      <w:r>
        <w:rPr>
          <w:rFonts w:ascii="Times New Roman" w:hAnsi="Times New Roman"/>
          <w:b/>
          <w:sz w:val="24"/>
          <w:highlight w:val="none"/>
        </w:rPr>
        <w:t xml:space="preserve"> </w:t>
      </w:r>
    </w:p>
    <w:p>
      <w:pPr>
        <w:adjustRightInd w:val="0"/>
        <w:snapToGrid w:val="0"/>
        <w:spacing w:line="300" w:lineRule="auto"/>
        <w:rPr>
          <w:rFonts w:ascii="Times New Roman" w:hAnsi="Times New Roman"/>
          <w:sz w:val="24"/>
          <w:highlight w:val="none"/>
        </w:rPr>
      </w:pPr>
      <w:r>
        <w:rPr>
          <w:rFonts w:hint="eastAsia" w:ascii="Times New Roman" w:hAnsi="Times New Roman"/>
          <w:sz w:val="24"/>
          <w:highlight w:val="none"/>
        </w:rPr>
        <w:t>T</w:t>
      </w:r>
      <w:r>
        <w:rPr>
          <w:rFonts w:ascii="Times New Roman" w:hAnsi="Times New Roman"/>
          <w:sz w:val="24"/>
          <w:highlight w:val="none"/>
        </w:rPr>
        <w:t>he</w:t>
      </w:r>
      <w:r>
        <w:rPr>
          <w:rFonts w:hint="eastAsia" w:ascii="Times New Roman" w:hAnsi="Times New Roman"/>
          <w:sz w:val="24"/>
          <w:highlight w:val="none"/>
        </w:rPr>
        <w:t xml:space="preserve"> High Resolution Remote Sensing Monitoring of Chinease Land Cover</w:t>
      </w:r>
      <w:r>
        <w:rPr>
          <w:rFonts w:hint="eastAsia" w:ascii="Times New Roman" w:hAnsi="Times New Roman"/>
          <w:bCs/>
          <w:sz w:val="24"/>
          <w:highlight w:val="none"/>
        </w:rPr>
        <w:t xml:space="preserve"> 2018 </w:t>
      </w:r>
      <w:r>
        <w:rPr>
          <w:rFonts w:ascii="Times New Roman" w:hAnsi="Times New Roman"/>
          <w:sz w:val="24"/>
          <w:highlight w:val="none"/>
        </w:rPr>
        <w:t>(</w:t>
      </w:r>
      <w:r>
        <w:rPr>
          <w:rFonts w:hint="eastAsia" w:ascii="Times New Roman" w:hAnsi="Times New Roman"/>
          <w:sz w:val="24"/>
          <w:highlight w:val="none"/>
        </w:rPr>
        <w:t xml:space="preserve">HRRSM-CLC2018, </w:t>
      </w:r>
      <w:r>
        <w:rPr>
          <w:rFonts w:ascii="Times New Roman" w:hAnsi="Times New Roman"/>
          <w:sz w:val="24"/>
          <w:highlight w:val="none"/>
        </w:rPr>
        <w:t>30</w:t>
      </w:r>
      <w:r>
        <w:rPr>
          <w:rFonts w:hint="eastAsia" w:ascii="Times New Roman" w:hAnsi="Times New Roman"/>
          <w:sz w:val="24"/>
          <w:highlight w:val="none"/>
        </w:rPr>
        <w:t xml:space="preserve"> </w:t>
      </w:r>
      <w:r>
        <w:rPr>
          <w:rFonts w:ascii="Times New Roman" w:hAnsi="Times New Roman"/>
          <w:sz w:val="24"/>
          <w:highlight w:val="none"/>
        </w:rPr>
        <w:t xml:space="preserve">m), </w:t>
      </w:r>
      <w:r>
        <w:rPr>
          <w:rFonts w:hint="eastAsia" w:ascii="Times New Roman" w:hAnsi="Times New Roman"/>
          <w:sz w:val="24"/>
          <w:highlight w:val="none"/>
        </w:rPr>
        <w:t>county-level population census and multi-source livestock database (FAOSTAT and APSCC2017) were combined t</w:t>
      </w:r>
      <w:r>
        <w:rPr>
          <w:rFonts w:ascii="Times New Roman" w:hAnsi="Times New Roman"/>
          <w:sz w:val="24"/>
          <w:highlight w:val="none"/>
        </w:rPr>
        <w:t>o stimulate the urbanization processes</w:t>
      </w:r>
      <w:r>
        <w:rPr>
          <w:rFonts w:hint="eastAsia" w:ascii="Times New Roman" w:hAnsi="Times New Roman"/>
          <w:sz w:val="24"/>
          <w:highlight w:val="none"/>
        </w:rPr>
        <w:t xml:space="preserve"> in ArcGIS platform (version 10.6)</w:t>
      </w:r>
      <w:r>
        <w:rPr>
          <w:rFonts w:ascii="Times New Roman" w:hAnsi="Times New Roman"/>
          <w:sz w:val="24"/>
          <w:highlight w:val="none"/>
        </w:rPr>
        <w:t xml:space="preserve">, </w:t>
      </w:r>
      <w:r>
        <w:rPr>
          <w:rFonts w:hint="eastAsia" w:ascii="Times New Roman" w:hAnsi="Times New Roman"/>
          <w:sz w:val="24"/>
          <w:highlight w:val="none"/>
        </w:rPr>
        <w:t>including process of</w:t>
      </w:r>
      <w:r>
        <w:rPr>
          <w:rFonts w:ascii="Times New Roman" w:hAnsi="Times New Roman"/>
          <w:sz w:val="24"/>
          <w:highlight w:val="none"/>
        </w:rPr>
        <w:t xml:space="preserve"> population migration, land use geo-distribution change</w:t>
      </w:r>
      <w:r>
        <w:rPr>
          <w:rFonts w:hint="eastAsia" w:ascii="Times New Roman" w:hAnsi="Times New Roman"/>
          <w:sz w:val="24"/>
          <w:highlight w:val="none"/>
        </w:rPr>
        <w:t xml:space="preserve">, </w:t>
      </w:r>
      <w:r>
        <w:rPr>
          <w:rFonts w:ascii="Times New Roman" w:hAnsi="Times New Roman"/>
          <w:sz w:val="24"/>
          <w:highlight w:val="none"/>
        </w:rPr>
        <w:t xml:space="preserve">agricultural </w:t>
      </w:r>
      <w:r>
        <w:rPr>
          <w:rFonts w:hint="eastAsia" w:ascii="Times New Roman" w:hAnsi="Times New Roman"/>
          <w:sz w:val="24"/>
          <w:highlight w:val="none"/>
        </w:rPr>
        <w:t>management</w:t>
      </w:r>
      <w:r>
        <w:rPr>
          <w:rFonts w:ascii="Times New Roman" w:hAnsi="Times New Roman"/>
          <w:sz w:val="24"/>
          <w:highlight w:val="none"/>
        </w:rPr>
        <w:t xml:space="preserve"> change</w:t>
      </w:r>
      <w:r>
        <w:rPr>
          <w:rFonts w:hint="eastAsia" w:ascii="Times New Roman" w:hAnsi="Times New Roman"/>
          <w:sz w:val="24"/>
          <w:highlight w:val="none"/>
        </w:rPr>
        <w:t>, and industrial upgrading</w:t>
      </w:r>
      <w:r>
        <w:rPr>
          <w:rFonts w:ascii="Times New Roman" w:hAnsi="Times New Roman"/>
          <w:sz w:val="24"/>
          <w:highlight w:val="none"/>
        </w:rPr>
        <w:t xml:space="preserve">. Then, the </w:t>
      </w:r>
      <w:r>
        <w:rPr>
          <w:rFonts w:hint="eastAsia" w:ascii="Times New Roman" w:hAnsi="Times New Roman"/>
          <w:sz w:val="24"/>
          <w:highlight w:val="none"/>
        </w:rPr>
        <w:t>varying forms of Nr</w:t>
      </w:r>
      <w:r>
        <w:rPr>
          <w:rFonts w:ascii="Times New Roman" w:hAnsi="Times New Roman"/>
          <w:sz w:val="24"/>
          <w:highlight w:val="none"/>
        </w:rPr>
        <w:t xml:space="preserve"> loss </w:t>
      </w:r>
      <w:r>
        <w:rPr>
          <w:rFonts w:hint="eastAsia" w:ascii="Times New Roman" w:hAnsi="Times New Roman"/>
          <w:sz w:val="24"/>
          <w:highlight w:val="none"/>
        </w:rPr>
        <w:t>from</w:t>
      </w:r>
      <w:r>
        <w:rPr>
          <w:rFonts w:ascii="Times New Roman" w:hAnsi="Times New Roman"/>
          <w:sz w:val="24"/>
          <w:highlight w:val="none"/>
        </w:rPr>
        <w:t xml:space="preserve"> the &gt; 2,800 countries </w:t>
      </w:r>
      <w:r>
        <w:rPr>
          <w:rFonts w:hint="eastAsia" w:ascii="Times New Roman" w:hAnsi="Times New Roman"/>
          <w:sz w:val="24"/>
          <w:highlight w:val="none"/>
        </w:rPr>
        <w:t>were calculated in 2017 and 2050</w:t>
      </w:r>
      <w:r>
        <w:rPr>
          <w:rFonts w:ascii="Times New Roman" w:hAnsi="Times New Roman"/>
          <w:sz w:val="24"/>
          <w:highlight w:val="none"/>
        </w:rPr>
        <w:t xml:space="preserve"> by</w:t>
      </w:r>
      <w:r>
        <w:rPr>
          <w:rFonts w:hint="eastAsia" w:ascii="Times New Roman" w:hAnsi="Times New Roman"/>
          <w:sz w:val="24"/>
          <w:highlight w:val="none"/>
          <w:lang w:val="en-US" w:eastAsia="zh-CN"/>
        </w:rPr>
        <w:t xml:space="preserve"> the</w:t>
      </w:r>
      <w:r>
        <w:rPr>
          <w:rFonts w:ascii="Times New Roman" w:hAnsi="Times New Roman"/>
          <w:sz w:val="24"/>
          <w:highlight w:val="none"/>
        </w:rPr>
        <w:t xml:space="preserve"> </w:t>
      </w:r>
      <w:r>
        <w:rPr>
          <w:rFonts w:ascii="Times New Roman" w:hAnsi="Times New Roman" w:eastAsia="等线"/>
          <w:sz w:val="24"/>
          <w:highlight w:val="none"/>
        </w:rPr>
        <w:t xml:space="preserve">Coupled Human And Natural Systems (CHANS) </w:t>
      </w:r>
      <w:r>
        <w:rPr>
          <w:rFonts w:ascii="Times New Roman" w:hAnsi="Times New Roman"/>
          <w:sz w:val="24"/>
          <w:highlight w:val="none"/>
        </w:rPr>
        <w:t>model in China.</w:t>
      </w:r>
      <w:r>
        <w:rPr>
          <w:rFonts w:hint="eastAsia" w:ascii="Times New Roman" w:hAnsi="Times New Roman"/>
          <w:sz w:val="24"/>
          <w:highlight w:val="none"/>
        </w:rPr>
        <w:t xml:space="preserve"> Meanwhile, changes on air and water quality based on Nr loss reduction were simulated by the </w:t>
      </w:r>
      <w:r>
        <w:rPr>
          <w:rFonts w:ascii="Times New Roman" w:hAnsi="Times New Roman"/>
          <w:bCs/>
          <w:sz w:val="24"/>
          <w:highlight w:val="none"/>
        </w:rPr>
        <w:t>Weather Research and Forecasting model coupled with Chemistry (WRF-Chem)</w:t>
      </w:r>
      <w:r>
        <w:rPr>
          <w:rFonts w:hint="eastAsia" w:ascii="Times New Roman" w:hAnsi="Times New Roman"/>
          <w:bCs/>
          <w:sz w:val="24"/>
          <w:highlight w:val="none"/>
        </w:rPr>
        <w:t xml:space="preserve"> and the Water Nitrogen Retention and Removing model (WNRR), respectively. </w:t>
      </w:r>
      <w:r>
        <w:rPr>
          <w:rFonts w:ascii="Times New Roman" w:hAnsi="Times New Roman"/>
          <w:sz w:val="24"/>
          <w:highlight w:val="none"/>
        </w:rPr>
        <w:t xml:space="preserve">Finally, the </w:t>
      </w:r>
      <w:r>
        <w:rPr>
          <w:rFonts w:hint="eastAsia" w:ascii="Times New Roman" w:hAnsi="Times New Roman"/>
          <w:sz w:val="24"/>
          <w:highlight w:val="none"/>
        </w:rPr>
        <w:t xml:space="preserve">policy </w:t>
      </w:r>
      <w:r>
        <w:rPr>
          <w:rFonts w:ascii="Times New Roman" w:hAnsi="Times New Roman"/>
          <w:sz w:val="24"/>
          <w:highlight w:val="none"/>
        </w:rPr>
        <w:t>feasible and cost-benefit of the urbanization pathway</w:t>
      </w:r>
      <w:r>
        <w:rPr>
          <w:rFonts w:hint="eastAsia" w:ascii="Times New Roman" w:hAnsi="Times New Roman"/>
          <w:sz w:val="24"/>
          <w:highlight w:val="none"/>
        </w:rPr>
        <w:t xml:space="preserve"> were analyzed</w:t>
      </w:r>
      <w:r>
        <w:rPr>
          <w:rFonts w:ascii="Times New Roman" w:hAnsi="Times New Roman"/>
          <w:sz w:val="24"/>
          <w:highlight w:val="none"/>
        </w:rPr>
        <w:t xml:space="preserve">. The framework of the method is shown in </w:t>
      </w:r>
      <w:r>
        <w:rPr>
          <w:rFonts w:hint="eastAsia" w:ascii="Times New Roman" w:hAnsi="Times New Roman"/>
          <w:color w:val="0000FF"/>
          <w:sz w:val="24"/>
          <w:highlight w:val="none"/>
        </w:rPr>
        <w:t xml:space="preserve">Extended data </w:t>
      </w:r>
      <w:r>
        <w:rPr>
          <w:rFonts w:ascii="Times New Roman" w:hAnsi="Times New Roman"/>
          <w:color w:val="0000FF"/>
          <w:sz w:val="24"/>
          <w:highlight w:val="none"/>
        </w:rPr>
        <w:t>Fig.</w:t>
      </w:r>
      <w:r>
        <w:rPr>
          <w:rFonts w:hint="eastAsia" w:ascii="Times New Roman" w:hAnsi="Times New Roman"/>
          <w:color w:val="0000FF"/>
          <w:sz w:val="24"/>
          <w:highlight w:val="none"/>
        </w:rPr>
        <w:t xml:space="preserve"> </w:t>
      </w:r>
      <w:r>
        <w:rPr>
          <w:rFonts w:ascii="Times New Roman" w:hAnsi="Times New Roman"/>
          <w:color w:val="0000FF"/>
          <w:sz w:val="24"/>
          <w:highlight w:val="none"/>
        </w:rPr>
        <w:t>1</w:t>
      </w:r>
      <w:r>
        <w:rPr>
          <w:rFonts w:hint="eastAsia" w:ascii="Times New Roman" w:hAnsi="Times New Roman"/>
          <w:color w:val="0000FF"/>
          <w:sz w:val="24"/>
          <w:highlight w:val="none"/>
        </w:rPr>
        <w:t>0</w:t>
      </w:r>
      <w:r>
        <w:rPr>
          <w:rFonts w:hint="eastAsia" w:ascii="Times New Roman" w:hAnsi="Times New Roman"/>
          <w:sz w:val="24"/>
          <w:highlight w:val="none"/>
        </w:rPr>
        <w:t xml:space="preserve">. </w:t>
      </w:r>
    </w:p>
    <w:p>
      <w:pPr>
        <w:adjustRightInd w:val="0"/>
        <w:snapToGrid w:val="0"/>
        <w:spacing w:line="300" w:lineRule="auto"/>
        <w:outlineLvl w:val="0"/>
        <w:rPr>
          <w:rFonts w:ascii="Times New Roman" w:hAnsi="Times New Roman"/>
          <w:b/>
          <w:sz w:val="24"/>
          <w:highlight w:val="none"/>
        </w:rPr>
      </w:pPr>
    </w:p>
    <w:p>
      <w:pPr>
        <w:adjustRightInd w:val="0"/>
        <w:snapToGrid w:val="0"/>
        <w:spacing w:line="300" w:lineRule="auto"/>
        <w:outlineLvl w:val="1"/>
        <w:rPr>
          <w:rFonts w:ascii="Times New Roman" w:hAnsi="Times New Roman"/>
          <w:b/>
          <w:bCs/>
          <w:sz w:val="24"/>
          <w:highlight w:val="none"/>
        </w:rPr>
      </w:pPr>
      <w:bookmarkStart w:id="3" w:name="_Toc23033"/>
      <w:r>
        <w:rPr>
          <w:rFonts w:ascii="Times New Roman" w:hAnsi="Times New Roman"/>
          <w:b/>
          <w:bCs/>
          <w:sz w:val="24"/>
          <w:highlight w:val="none"/>
        </w:rPr>
        <w:t>S1.1 Urban expansion</w:t>
      </w:r>
      <w:r>
        <w:rPr>
          <w:rFonts w:hint="eastAsia" w:ascii="Times New Roman" w:hAnsi="Times New Roman"/>
          <w:b/>
          <w:bCs/>
          <w:sz w:val="24"/>
          <w:highlight w:val="none"/>
        </w:rPr>
        <w:t xml:space="preserve"> modeling</w:t>
      </w:r>
      <w:r>
        <w:rPr>
          <w:rFonts w:ascii="Times New Roman" w:hAnsi="Times New Roman"/>
          <w:b/>
          <w:bCs/>
          <w:sz w:val="24"/>
          <w:highlight w:val="none"/>
        </w:rPr>
        <w:t>.</w:t>
      </w:r>
      <w:bookmarkEnd w:id="3"/>
      <w:r>
        <w:rPr>
          <w:rFonts w:ascii="Times New Roman" w:hAnsi="Times New Roman"/>
          <w:b/>
          <w:bCs/>
          <w:sz w:val="24"/>
          <w:highlight w:val="none"/>
        </w:rPr>
        <w:t xml:space="preserve"> </w:t>
      </w:r>
    </w:p>
    <w:p>
      <w:pPr>
        <w:adjustRightInd w:val="0"/>
        <w:snapToGrid w:val="0"/>
        <w:spacing w:line="300" w:lineRule="auto"/>
        <w:rPr>
          <w:rFonts w:ascii="Times New Roman" w:hAnsi="Times New Roman"/>
          <w:sz w:val="24"/>
          <w:highlight w:val="none"/>
        </w:rPr>
      </w:pPr>
      <w:r>
        <w:rPr>
          <w:rFonts w:hint="eastAsia" w:ascii="Times New Roman" w:hAnsi="Times New Roman"/>
          <w:sz w:val="24"/>
          <w:highlight w:val="none"/>
        </w:rPr>
        <w:t>Since</w:t>
      </w:r>
      <w:r>
        <w:rPr>
          <w:rFonts w:ascii="Times New Roman" w:hAnsi="Times New Roman"/>
          <w:sz w:val="24"/>
          <w:highlight w:val="none"/>
        </w:rPr>
        <w:t xml:space="preserve"> urban expansion occurs preferentially in the peri-urban </w:t>
      </w:r>
      <w:r>
        <w:rPr>
          <w:rFonts w:hint="eastAsia" w:ascii="Times New Roman" w:hAnsi="Times New Roman"/>
          <w:sz w:val="24"/>
          <w:highlight w:val="none"/>
        </w:rPr>
        <w:t xml:space="preserve">grids, these grids have higher </w:t>
      </w:r>
      <w:r>
        <w:rPr>
          <w:rFonts w:ascii="Times New Roman" w:hAnsi="Times New Roman"/>
          <w:sz w:val="24"/>
          <w:highlight w:val="none"/>
        </w:rPr>
        <w:t>urban expansion priority</w:t>
      </w:r>
      <w:r>
        <w:rPr>
          <w:rFonts w:hint="eastAsia" w:ascii="Times New Roman" w:hAnsi="Times New Roman"/>
          <w:sz w:val="24"/>
          <w:highlight w:val="none"/>
        </w:rPr>
        <w:t xml:space="preserve"> (</w:t>
      </w:r>
      <w:r>
        <w:rPr>
          <w:rFonts w:hint="eastAsia" w:ascii="Times New Roman" w:hAnsi="Times New Roman"/>
          <w:i/>
          <w:iCs/>
          <w:sz w:val="24"/>
          <w:highlight w:val="none"/>
        </w:rPr>
        <w:t>UEP</w:t>
      </w:r>
      <w:r>
        <w:rPr>
          <w:rFonts w:hint="eastAsia" w:ascii="Times New Roman" w:hAnsi="Times New Roman"/>
          <w:i/>
          <w:iCs/>
          <w:sz w:val="24"/>
          <w:highlight w:val="none"/>
          <w:vertAlign w:val="subscript"/>
        </w:rPr>
        <w:t>i</w:t>
      </w:r>
      <w:r>
        <w:rPr>
          <w:rFonts w:hint="eastAsia" w:ascii="Times New Roman" w:hAnsi="Times New Roman"/>
          <w:sz w:val="24"/>
          <w:highlight w:val="none"/>
        </w:rPr>
        <w:t>)</w:t>
      </w:r>
      <w:r>
        <w:rPr>
          <w:rFonts w:hint="eastAsia" w:ascii="Times New Roman" w:hAnsi="Times New Roman"/>
          <w:sz w:val="24"/>
          <w:highlight w:val="none"/>
        </w:rPr>
        <w:fldChar w:fldCharType="begin"/>
      </w:r>
      <w:r>
        <w:rPr>
          <w:rFonts w:hint="eastAsia" w:ascii="Times New Roman" w:hAnsi="Times New Roman"/>
          <w:sz w:val="24"/>
          <w:highlight w:val="none"/>
          <w:lang w:eastAsia="zh-CN"/>
        </w:rPr>
        <w:instrText xml:space="preserve"> ADDIN NE.Ref.{1AC25EAE-7597-4A17-98EA-9DD057CB0812}</w:instrText>
      </w:r>
      <w:r>
        <w:rPr>
          <w:rFonts w:hint="eastAsia" w:ascii="Times New Roman" w:hAnsi="Times New Roman"/>
          <w:sz w:val="24"/>
          <w:highlight w:val="none"/>
        </w:rPr>
        <w:fldChar w:fldCharType="separate"/>
      </w:r>
      <w:r>
        <w:rPr>
          <w:rFonts w:hint="eastAsia" w:ascii="宋体" w:hAnsi="宋体"/>
          <w:color w:val="080000"/>
          <w:sz w:val="21"/>
          <w:szCs w:val="24"/>
          <w:highlight w:val="none"/>
          <w:vertAlign w:val="superscript"/>
        </w:rPr>
        <w:t>1</w:t>
      </w:r>
      <w:r>
        <w:rPr>
          <w:rFonts w:hint="eastAsia" w:ascii="Times New Roman" w:hAnsi="Times New Roman"/>
          <w:sz w:val="24"/>
          <w:highlight w:val="none"/>
        </w:rPr>
        <w:fldChar w:fldCharType="end"/>
      </w:r>
      <w:r>
        <w:rPr>
          <w:rFonts w:hint="eastAsia" w:ascii="Times New Roman" w:hAnsi="Times New Roman"/>
          <w:sz w:val="24"/>
          <w:highlight w:val="none"/>
        </w:rPr>
        <w:t xml:space="preserve">. </w:t>
      </w:r>
      <w:r>
        <w:rPr>
          <w:rFonts w:ascii="Times New Roman" w:hAnsi="Times New Roman"/>
          <w:sz w:val="24"/>
          <w:highlight w:val="none"/>
        </w:rPr>
        <w:t>Focus Statistics Tool in ArcGIS</w:t>
      </w:r>
      <w:r>
        <w:rPr>
          <w:rFonts w:hint="eastAsia" w:ascii="Times New Roman" w:hAnsi="Times New Roman"/>
          <w:sz w:val="24"/>
          <w:highlight w:val="none"/>
        </w:rPr>
        <w:t xml:space="preserve"> was used to simulate </w:t>
      </w:r>
      <w:r>
        <w:rPr>
          <w:rFonts w:hint="eastAsia" w:ascii="Times New Roman" w:hAnsi="Times New Roman"/>
          <w:i/>
          <w:iCs/>
          <w:sz w:val="24"/>
          <w:highlight w:val="none"/>
        </w:rPr>
        <w:t>UP</w:t>
      </w:r>
      <w:r>
        <w:rPr>
          <w:rFonts w:hint="eastAsia" w:ascii="Times New Roman" w:hAnsi="Times New Roman"/>
          <w:i/>
          <w:iCs/>
          <w:sz w:val="24"/>
          <w:highlight w:val="none"/>
          <w:vertAlign w:val="subscript"/>
        </w:rPr>
        <w:t>i</w:t>
      </w:r>
      <w:r>
        <w:rPr>
          <w:rFonts w:hint="eastAsia" w:ascii="Times New Roman" w:hAnsi="Times New Roman"/>
          <w:sz w:val="24"/>
          <w:highlight w:val="none"/>
        </w:rPr>
        <w:t xml:space="preserve"> with </w:t>
      </w:r>
      <w:r>
        <w:rPr>
          <w:rFonts w:ascii="Times New Roman" w:hAnsi="Times New Roman"/>
          <w:sz w:val="24"/>
          <w:highlight w:val="none"/>
        </w:rPr>
        <w:t>a value of 1 to the urban grid pixels and 0 to the other grids</w:t>
      </w:r>
      <w:r>
        <w:rPr>
          <w:rFonts w:hint="eastAsia" w:ascii="Times New Roman" w:hAnsi="Times New Roman"/>
          <w:sz w:val="24"/>
          <w:highlight w:val="none"/>
        </w:rPr>
        <w:t xml:space="preserve"> by the 100 by 100 grid rectangle.</w:t>
      </w:r>
      <w:bookmarkStart w:id="4" w:name="OLE_LINK2"/>
    </w:p>
    <w:p>
      <w:pPr>
        <w:adjustRightInd w:val="0"/>
        <w:snapToGrid w:val="0"/>
        <w:spacing w:line="300" w:lineRule="auto"/>
        <w:jc w:val="right"/>
        <w:rPr>
          <w:rFonts w:ascii="Times New Roman" w:hAnsi="Times New Roman"/>
          <w:sz w:val="24"/>
          <w:highlight w:val="none"/>
        </w:rPr>
      </w:pPr>
      <w:r>
        <w:rPr>
          <w:rFonts w:hint="eastAsia" w:ascii="宋体" w:hAnsi="宋体" w:cs="宋体"/>
          <w:position w:val="-24"/>
          <w:sz w:val="24"/>
          <w:highlight w:val="none"/>
        </w:rPr>
        <w:object>
          <v:shape id="_x0000_i1025" o:spt="75" type="#_x0000_t75" style="height:28.35pt;width:72pt;" o:ole="t" filled="f" o:preferrelative="t" stroked="f" coordsize="21600,21600">
            <v:path/>
            <v:fill on="f" focussize="0,0"/>
            <v:stroke on="f" joinstyle="miter"/>
            <v:imagedata r:id="rId6" o:title=""/>
            <o:lock v:ext="edit" aspectratio="t"/>
            <w10:wrap type="none"/>
            <w10:anchorlock/>
          </v:shape>
          <o:OLEObject Type="Embed" ProgID="Equation.KSEE3" ShapeID="_x0000_i1025" DrawAspect="Content" ObjectID="_1468075725" r:id="rId5">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1</w:t>
      </w:r>
      <w:r>
        <w:rPr>
          <w:rFonts w:ascii="Times New Roman" w:hAnsi="Times New Roman"/>
          <w:sz w:val="24"/>
          <w:highlight w:val="none"/>
        </w:rPr>
        <w:t>)</w:t>
      </w:r>
      <w:bookmarkEnd w:id="4"/>
    </w:p>
    <w:p>
      <w:pPr>
        <w:adjustRightInd w:val="0"/>
        <w:snapToGrid w:val="0"/>
        <w:spacing w:line="300" w:lineRule="auto"/>
        <w:rPr>
          <w:rFonts w:ascii="Times New Roman" w:hAnsi="Times New Roman"/>
          <w:sz w:val="24"/>
          <w:highlight w:val="none"/>
        </w:rPr>
      </w:pPr>
      <w:r>
        <w:rPr>
          <w:rFonts w:ascii="Times New Roman" w:hAnsi="Times New Roman"/>
          <w:sz w:val="24"/>
          <w:highlight w:val="none"/>
        </w:rPr>
        <w:t xml:space="preserve">where </w:t>
      </w:r>
      <w:r>
        <w:rPr>
          <w:rFonts w:ascii="Times New Roman" w:hAnsi="Times New Roman"/>
          <w:i/>
          <w:iCs/>
          <w:sz w:val="24"/>
          <w:highlight w:val="none"/>
        </w:rPr>
        <w:t>U</w:t>
      </w:r>
      <w:r>
        <w:rPr>
          <w:rFonts w:ascii="Times New Roman" w:hAnsi="Times New Roman"/>
          <w:i/>
          <w:iCs/>
          <w:sz w:val="24"/>
          <w:highlight w:val="none"/>
          <w:vertAlign w:val="subscript"/>
        </w:rPr>
        <w:t>i</w:t>
      </w:r>
      <w:r>
        <w:rPr>
          <w:rFonts w:ascii="Times New Roman" w:hAnsi="Times New Roman"/>
          <w:i/>
          <w:iCs/>
          <w:sz w:val="24"/>
          <w:highlight w:val="none"/>
        </w:rPr>
        <w:t xml:space="preserve"> </w:t>
      </w:r>
      <w:r>
        <w:rPr>
          <w:rFonts w:ascii="Times New Roman" w:hAnsi="Times New Roman"/>
          <w:sz w:val="24"/>
          <w:highlight w:val="none"/>
        </w:rPr>
        <w:t xml:space="preserve">refers to the number of urban grids in the surrounding 100 </w:t>
      </w:r>
      <w:r>
        <w:rPr>
          <w:rFonts w:hint="eastAsia" w:ascii="Times New Roman" w:hAnsi="Times New Roman"/>
          <w:sz w:val="24"/>
          <w:highlight w:val="none"/>
        </w:rPr>
        <w:t>by</w:t>
      </w:r>
      <w:r>
        <w:rPr>
          <w:rFonts w:ascii="Times New Roman" w:hAnsi="Times New Roman"/>
          <w:sz w:val="24"/>
          <w:highlight w:val="none"/>
        </w:rPr>
        <w:t xml:space="preserve"> 100 grids centred on the </w:t>
      </w:r>
      <w:r>
        <w:rPr>
          <w:rFonts w:ascii="Times New Roman" w:hAnsi="Times New Roman"/>
          <w:i/>
          <w:iCs/>
          <w:sz w:val="24"/>
          <w:highlight w:val="none"/>
        </w:rPr>
        <w:t>i</w:t>
      </w:r>
      <w:r>
        <w:rPr>
          <w:rFonts w:ascii="Times New Roman" w:hAnsi="Times New Roman"/>
          <w:sz w:val="24"/>
          <w:highlight w:val="none"/>
        </w:rPr>
        <w:t xml:space="preserve">th </w:t>
      </w:r>
      <w:r>
        <w:rPr>
          <w:rFonts w:hint="eastAsia" w:ascii="Times New Roman" w:hAnsi="Times New Roman"/>
          <w:sz w:val="24"/>
          <w:highlight w:val="none"/>
        </w:rPr>
        <w:t>grid</w:t>
      </w:r>
      <w:r>
        <w:rPr>
          <w:rFonts w:ascii="Times New Roman" w:hAnsi="Times New Roman"/>
          <w:sz w:val="24"/>
          <w:highlight w:val="none"/>
        </w:rPr>
        <w:t xml:space="preserve">. We ranked the </w:t>
      </w:r>
      <w:r>
        <w:rPr>
          <w:rFonts w:ascii="Times New Roman" w:hAnsi="Times New Roman"/>
          <w:i/>
          <w:iCs/>
          <w:sz w:val="24"/>
          <w:highlight w:val="none"/>
        </w:rPr>
        <w:t>U</w:t>
      </w:r>
      <w:r>
        <w:rPr>
          <w:rFonts w:hint="eastAsia" w:ascii="Times New Roman" w:hAnsi="Times New Roman"/>
          <w:i/>
          <w:iCs/>
          <w:sz w:val="24"/>
          <w:highlight w:val="none"/>
        </w:rPr>
        <w:t>EP</w:t>
      </w:r>
      <w:r>
        <w:rPr>
          <w:rFonts w:ascii="Times New Roman" w:hAnsi="Times New Roman"/>
          <w:i/>
          <w:iCs/>
          <w:sz w:val="24"/>
          <w:highlight w:val="none"/>
          <w:vertAlign w:val="subscript"/>
        </w:rPr>
        <w:t>i</w:t>
      </w:r>
      <w:r>
        <w:rPr>
          <w:rFonts w:ascii="Times New Roman" w:hAnsi="Times New Roman"/>
          <w:sz w:val="24"/>
          <w:highlight w:val="none"/>
        </w:rPr>
        <w:t xml:space="preserve"> for all grids in descending order, and eliminate grids that are objectively unlikely to develop into cities (including current urban areas and water). If multiple girds have equal </w:t>
      </w:r>
      <w:r>
        <w:rPr>
          <w:rFonts w:ascii="Times New Roman" w:hAnsi="Times New Roman"/>
          <w:i/>
          <w:iCs/>
          <w:sz w:val="24"/>
          <w:highlight w:val="none"/>
        </w:rPr>
        <w:t>U</w:t>
      </w:r>
      <w:r>
        <w:rPr>
          <w:rFonts w:hint="eastAsia" w:ascii="Times New Roman" w:hAnsi="Times New Roman"/>
          <w:i/>
          <w:iCs/>
          <w:sz w:val="24"/>
          <w:highlight w:val="none"/>
        </w:rPr>
        <w:t>EP</w:t>
      </w:r>
      <w:r>
        <w:rPr>
          <w:rFonts w:ascii="Times New Roman" w:hAnsi="Times New Roman"/>
          <w:i/>
          <w:iCs/>
          <w:sz w:val="24"/>
          <w:highlight w:val="none"/>
          <w:vertAlign w:val="subscript"/>
        </w:rPr>
        <w:t>i</w:t>
      </w:r>
      <w:r>
        <w:rPr>
          <w:rFonts w:ascii="Times New Roman" w:hAnsi="Times New Roman"/>
          <w:sz w:val="24"/>
          <w:highlight w:val="none"/>
        </w:rPr>
        <w:t xml:space="preserve"> , they are ranked according to GDP from largest to smallest, and by default regions with higher GDP are more likely to develop into cities. Based on the following linear plan, urban expansion grids are filtered out.</w:t>
      </w:r>
    </w:p>
    <w:p>
      <w:pPr>
        <w:adjustRightInd w:val="0"/>
        <w:snapToGrid w:val="0"/>
        <w:spacing w:line="300" w:lineRule="auto"/>
        <w:rPr>
          <w:rFonts w:ascii="Times New Roman" w:hAnsi="Times New Roman"/>
          <w:i/>
          <w:iCs/>
          <w:sz w:val="24"/>
          <w:highlight w:val="none"/>
        </w:rPr>
      </w:pPr>
      <w:r>
        <w:rPr>
          <w:rFonts w:hint="eastAsia" w:ascii="Times New Roman" w:hAnsi="Times New Roman"/>
          <w:sz w:val="24"/>
          <w:highlight w:val="none"/>
        </w:rPr>
        <w:t xml:space="preserve">                             </w:t>
      </w:r>
      <w:r>
        <w:rPr>
          <w:rFonts w:hint="eastAsia" w:ascii="Times New Roman" w:hAnsi="Times New Roman"/>
          <w:i/>
          <w:iCs/>
          <w:sz w:val="24"/>
          <w:highlight w:val="none"/>
        </w:rPr>
        <w:t xml:space="preserve">maxmize  r </w:t>
      </w:r>
    </w:p>
    <w:p>
      <w:pPr>
        <w:adjustRightInd w:val="0"/>
        <w:snapToGrid w:val="0"/>
        <w:spacing w:line="300" w:lineRule="auto"/>
        <w:jc w:val="right"/>
        <w:rPr>
          <w:rFonts w:ascii="Times New Roman" w:hAnsi="Times New Roman"/>
          <w:bCs/>
          <w:sz w:val="24"/>
          <w:highlight w:val="none"/>
        </w:rPr>
      </w:pPr>
      <w:r>
        <w:rPr>
          <w:rFonts w:hint="eastAsia" w:ascii="宋体" w:hAnsi="宋体" w:cs="宋体"/>
          <w:position w:val="-30"/>
          <w:sz w:val="24"/>
          <w:highlight w:val="none"/>
        </w:rPr>
        <w:object>
          <v:shape id="_x0000_i1026" o:spt="75" type="#_x0000_t75" style="height:32.05pt;width:85.75pt;" o:ole="t" filled="f" o:preferrelative="t" stroked="f" coordsize="21600,21600">
            <v:path/>
            <v:fill on="f" focussize="0,0"/>
            <v:stroke on="f" joinstyle="miter"/>
            <v:imagedata r:id="rId8" o:title=""/>
            <o:lock v:ext="edit" aspectratio="t"/>
            <w10:wrap type="none"/>
            <w10:anchorlock/>
          </v:shape>
          <o:OLEObject Type="Embed" ProgID="Equation.KSEE3" ShapeID="_x0000_i1026" DrawAspect="Content" ObjectID="_1468075726" r:id="rId7">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2</w:t>
      </w:r>
      <w:r>
        <w:rPr>
          <w:rFonts w:ascii="Times New Roman" w:hAnsi="Times New Roman"/>
          <w:sz w:val="24"/>
          <w:highlight w:val="none"/>
        </w:rPr>
        <w:t>)</w:t>
      </w:r>
    </w:p>
    <w:p>
      <w:pPr>
        <w:adjustRightInd w:val="0"/>
        <w:snapToGrid w:val="0"/>
        <w:spacing w:line="300" w:lineRule="auto"/>
        <w:rPr>
          <w:rFonts w:ascii="Times New Roman" w:hAnsi="Times New Roman"/>
          <w:sz w:val="24"/>
          <w:highlight w:val="none"/>
        </w:rPr>
      </w:pPr>
      <w:bookmarkStart w:id="5" w:name="OLE_LINK24"/>
      <w:r>
        <w:rPr>
          <w:rFonts w:ascii="Times New Roman" w:hAnsi="Times New Roman"/>
          <w:sz w:val="24"/>
          <w:highlight w:val="none"/>
        </w:rPr>
        <w:t>where</w:t>
      </w:r>
      <w:r>
        <w:rPr>
          <w:rFonts w:ascii="Times New Roman" w:hAnsi="Times New Roman"/>
          <w:i/>
          <w:iCs/>
          <w:sz w:val="24"/>
          <w:highlight w:val="none"/>
        </w:rPr>
        <w:t xml:space="preserve"> j</w:t>
      </w:r>
      <w:r>
        <w:rPr>
          <w:rFonts w:ascii="Times New Roman" w:hAnsi="Times New Roman"/>
          <w:sz w:val="24"/>
          <w:highlight w:val="none"/>
        </w:rPr>
        <w:t xml:space="preserve"> is the </w:t>
      </w:r>
      <w:r>
        <w:rPr>
          <w:rFonts w:hint="eastAsia" w:ascii="Times New Roman" w:hAnsi="Times New Roman"/>
          <w:sz w:val="24"/>
          <w:highlight w:val="none"/>
        </w:rPr>
        <w:t>serial</w:t>
      </w:r>
      <w:r>
        <w:rPr>
          <w:rFonts w:ascii="Times New Roman" w:hAnsi="Times New Roman"/>
          <w:sz w:val="24"/>
          <w:highlight w:val="none"/>
        </w:rPr>
        <w:t xml:space="preserve"> number ranked by </w:t>
      </w:r>
      <w:r>
        <w:rPr>
          <w:rFonts w:ascii="Times New Roman" w:hAnsi="Times New Roman"/>
          <w:i/>
          <w:iCs/>
          <w:sz w:val="24"/>
          <w:highlight w:val="none"/>
        </w:rPr>
        <w:t>U</w:t>
      </w:r>
      <w:r>
        <w:rPr>
          <w:rFonts w:hint="eastAsia" w:ascii="Times New Roman" w:hAnsi="Times New Roman"/>
          <w:i/>
          <w:iCs/>
          <w:sz w:val="24"/>
          <w:highlight w:val="none"/>
        </w:rPr>
        <w:t>E</w:t>
      </w:r>
      <w:r>
        <w:rPr>
          <w:rFonts w:ascii="Times New Roman" w:hAnsi="Times New Roman"/>
          <w:i/>
          <w:iCs/>
          <w:sz w:val="24"/>
          <w:highlight w:val="none"/>
        </w:rPr>
        <w:t>P</w:t>
      </w:r>
      <w:r>
        <w:rPr>
          <w:rFonts w:hint="eastAsia" w:ascii="Times New Roman" w:hAnsi="Times New Roman"/>
          <w:i/>
          <w:iCs/>
          <w:sz w:val="24"/>
          <w:highlight w:val="none"/>
          <w:vertAlign w:val="subscript"/>
        </w:rPr>
        <w:t>i</w:t>
      </w:r>
      <w:r>
        <w:rPr>
          <w:rFonts w:ascii="Times New Roman" w:hAnsi="Times New Roman"/>
          <w:i/>
          <w:iCs/>
          <w:sz w:val="24"/>
          <w:highlight w:val="none"/>
        </w:rPr>
        <w:t xml:space="preserve"> </w:t>
      </w:r>
      <w:r>
        <w:rPr>
          <w:rFonts w:ascii="Times New Roman" w:hAnsi="Times New Roman"/>
          <w:sz w:val="24"/>
          <w:highlight w:val="none"/>
        </w:rPr>
        <w:t xml:space="preserve">and GDP, and </w:t>
      </w:r>
      <w:r>
        <w:rPr>
          <w:rFonts w:ascii="Times New Roman" w:hAnsi="Times New Roman"/>
          <w:i/>
          <w:iCs/>
          <w:sz w:val="24"/>
          <w:highlight w:val="none"/>
        </w:rPr>
        <w:t>UP</w:t>
      </w:r>
      <w:r>
        <w:rPr>
          <w:rFonts w:ascii="Times New Roman" w:hAnsi="Times New Roman"/>
          <w:i/>
          <w:iCs/>
          <w:sz w:val="24"/>
          <w:highlight w:val="none"/>
          <w:vertAlign w:val="subscript"/>
        </w:rPr>
        <w:t>j</w:t>
      </w:r>
      <w:r>
        <w:rPr>
          <w:rFonts w:ascii="Times New Roman" w:hAnsi="Times New Roman"/>
          <w:sz w:val="24"/>
          <w:highlight w:val="none"/>
        </w:rPr>
        <w:t xml:space="preserve"> is the urban population in the </w:t>
      </w:r>
      <w:r>
        <w:rPr>
          <w:rFonts w:ascii="Times New Roman" w:hAnsi="Times New Roman"/>
          <w:i/>
          <w:iCs/>
          <w:sz w:val="24"/>
          <w:highlight w:val="none"/>
        </w:rPr>
        <w:t>j</w:t>
      </w:r>
      <w:r>
        <w:rPr>
          <w:rFonts w:ascii="Times New Roman" w:hAnsi="Times New Roman"/>
          <w:sz w:val="24"/>
          <w:highlight w:val="none"/>
        </w:rPr>
        <w:t xml:space="preserve">th </w:t>
      </w:r>
      <w:r>
        <w:rPr>
          <w:rFonts w:hint="eastAsia" w:ascii="Times New Roman" w:hAnsi="Times New Roman"/>
          <w:sz w:val="24"/>
          <w:highlight w:val="none"/>
        </w:rPr>
        <w:t>grid</w:t>
      </w:r>
      <w:r>
        <w:rPr>
          <w:rFonts w:ascii="Times New Roman" w:hAnsi="Times New Roman"/>
          <w:sz w:val="24"/>
          <w:highlight w:val="none"/>
        </w:rPr>
        <w:t xml:space="preserve">, </w:t>
      </w:r>
      <w:r>
        <w:rPr>
          <w:rFonts w:ascii="Times New Roman" w:hAnsi="Times New Roman"/>
          <w:i/>
          <w:iCs/>
          <w:sz w:val="24"/>
          <w:highlight w:val="none"/>
        </w:rPr>
        <w:t>UP</w:t>
      </w:r>
      <w:r>
        <w:rPr>
          <w:rFonts w:hint="eastAsia" w:ascii="Times New Roman" w:hAnsi="Times New Roman"/>
          <w:i/>
          <w:iCs/>
          <w:sz w:val="24"/>
          <w:highlight w:val="none"/>
          <w:vertAlign w:val="subscript"/>
        </w:rPr>
        <w:t>2050</w:t>
      </w:r>
      <w:r>
        <w:rPr>
          <w:rFonts w:ascii="Times New Roman" w:hAnsi="Times New Roman"/>
          <w:sz w:val="24"/>
          <w:highlight w:val="none"/>
        </w:rPr>
        <w:t xml:space="preserve"> is the national urban population in 2050 as projected by United Nations' World Urbanization.</w:t>
      </w:r>
    </w:p>
    <w:bookmarkEnd w:id="5"/>
    <w:p>
      <w:pPr>
        <w:adjustRightInd w:val="0"/>
        <w:snapToGrid w:val="0"/>
        <w:spacing w:line="300" w:lineRule="auto"/>
        <w:rPr>
          <w:rFonts w:ascii="Times New Roman" w:hAnsi="Times New Roman"/>
          <w:sz w:val="24"/>
          <w:highlight w:val="none"/>
        </w:rPr>
      </w:pPr>
    </w:p>
    <w:p>
      <w:pPr>
        <w:adjustRightInd w:val="0"/>
        <w:snapToGrid w:val="0"/>
        <w:spacing w:line="300" w:lineRule="auto"/>
        <w:outlineLvl w:val="1"/>
        <w:rPr>
          <w:rFonts w:ascii="Times New Roman" w:hAnsi="Times New Roman"/>
          <w:b/>
          <w:color w:val="000000" w:themeColor="text1"/>
          <w:sz w:val="24"/>
          <w:highlight w:val="none"/>
          <w14:textFill>
            <w14:solidFill>
              <w14:schemeClr w14:val="tx1"/>
            </w14:solidFill>
          </w14:textFill>
        </w:rPr>
      </w:pPr>
      <w:bookmarkStart w:id="6" w:name="_Toc16812"/>
      <w:bookmarkStart w:id="7" w:name="OLE_LINK25"/>
      <w:r>
        <w:rPr>
          <w:rFonts w:ascii="Times New Roman" w:hAnsi="Times New Roman"/>
          <w:b/>
          <w:bCs/>
          <w:sz w:val="24"/>
          <w:highlight w:val="none"/>
        </w:rPr>
        <w:t xml:space="preserve">S1.2 </w:t>
      </w:r>
      <w:r>
        <w:rPr>
          <w:rFonts w:ascii="Times New Roman" w:hAnsi="Times New Roman"/>
          <w:b/>
          <w:color w:val="000000" w:themeColor="text1"/>
          <w:sz w:val="24"/>
          <w:highlight w:val="none"/>
          <w14:textFill>
            <w14:solidFill>
              <w14:schemeClr w14:val="tx1"/>
            </w14:solidFill>
          </w14:textFill>
        </w:rPr>
        <w:t>Rural land reclamation modeling.</w:t>
      </w:r>
      <w:bookmarkEnd w:id="6"/>
      <w:r>
        <w:rPr>
          <w:rFonts w:ascii="Times New Roman" w:hAnsi="Times New Roman"/>
          <w:b/>
          <w:color w:val="000000" w:themeColor="text1"/>
          <w:sz w:val="24"/>
          <w:highlight w:val="none"/>
          <w14:textFill>
            <w14:solidFill>
              <w14:schemeClr w14:val="tx1"/>
            </w14:solidFill>
          </w14:textFill>
        </w:rPr>
        <w:t xml:space="preserve"> </w:t>
      </w:r>
      <w:bookmarkStart w:id="8" w:name="OLE_LINK26"/>
    </w:p>
    <w:p>
      <w:pPr>
        <w:adjustRightInd w:val="0"/>
        <w:snapToGrid w:val="0"/>
        <w:spacing w:line="300" w:lineRule="auto"/>
        <w:rPr>
          <w:rFonts w:ascii="Times New Roman" w:hAnsi="Times New Roman"/>
          <w:sz w:val="24"/>
          <w:highlight w:val="none"/>
        </w:rPr>
      </w:pPr>
      <w:r>
        <w:rPr>
          <w:rFonts w:ascii="Times New Roman" w:hAnsi="Times New Roman"/>
          <w:sz w:val="24"/>
          <w:highlight w:val="none"/>
        </w:rPr>
        <w:t>Assuming t</w:t>
      </w:r>
      <w:r>
        <w:rPr>
          <w:rFonts w:hint="eastAsia" w:ascii="Times New Roman" w:hAnsi="Times New Roman"/>
          <w:sz w:val="24"/>
          <w:highlight w:val="none"/>
        </w:rPr>
        <w:t xml:space="preserve">hat </w:t>
      </w:r>
      <w:r>
        <w:rPr>
          <w:rFonts w:ascii="Times New Roman" w:hAnsi="Times New Roman"/>
          <w:sz w:val="24"/>
          <w:highlight w:val="none"/>
        </w:rPr>
        <w:t>non-agricultural</w:t>
      </w:r>
      <w:r>
        <w:rPr>
          <w:rFonts w:hint="eastAsia" w:ascii="Times New Roman" w:hAnsi="Times New Roman"/>
          <w:sz w:val="24"/>
          <w:highlight w:val="none"/>
        </w:rPr>
        <w:t xml:space="preserve"> </w:t>
      </w:r>
      <w:r>
        <w:rPr>
          <w:rFonts w:ascii="Times New Roman" w:hAnsi="Times New Roman"/>
          <w:sz w:val="24"/>
          <w:highlight w:val="none"/>
        </w:rPr>
        <w:t xml:space="preserve">land would be reclaimed </w:t>
      </w:r>
      <w:r>
        <w:rPr>
          <w:rFonts w:hint="eastAsia" w:ascii="Times New Roman" w:hAnsi="Times New Roman"/>
          <w:sz w:val="24"/>
          <w:highlight w:val="none"/>
        </w:rPr>
        <w:t>to</w:t>
      </w:r>
      <w:r>
        <w:rPr>
          <w:rFonts w:ascii="Times New Roman" w:hAnsi="Times New Roman"/>
          <w:sz w:val="24"/>
          <w:highlight w:val="none"/>
        </w:rPr>
        <w:t xml:space="preserve"> cropland more preferentially</w:t>
      </w:r>
      <w:r>
        <w:rPr>
          <w:rFonts w:hint="eastAsia" w:ascii="Times New Roman" w:hAnsi="Times New Roman"/>
          <w:sz w:val="24"/>
          <w:highlight w:val="none"/>
        </w:rPr>
        <w:t xml:space="preserve"> </w:t>
      </w:r>
      <w:r>
        <w:rPr>
          <w:rFonts w:ascii="Times New Roman" w:hAnsi="Times New Roman"/>
          <w:sz w:val="24"/>
          <w:highlight w:val="none"/>
        </w:rPr>
        <w:t xml:space="preserve">in </w:t>
      </w:r>
      <w:r>
        <w:rPr>
          <w:rFonts w:hint="eastAsia" w:ascii="Times New Roman" w:hAnsi="Times New Roman"/>
          <w:sz w:val="24"/>
          <w:highlight w:val="none"/>
        </w:rPr>
        <w:t>grid</w:t>
      </w:r>
      <w:r>
        <w:rPr>
          <w:rFonts w:ascii="Times New Roman" w:hAnsi="Times New Roman"/>
          <w:sz w:val="24"/>
          <w:highlight w:val="none"/>
        </w:rPr>
        <w:t>s</w:t>
      </w:r>
      <w:r>
        <w:rPr>
          <w:rFonts w:hint="eastAsia" w:ascii="Times New Roman" w:hAnsi="Times New Roman"/>
          <w:sz w:val="24"/>
          <w:highlight w:val="none"/>
        </w:rPr>
        <w:t xml:space="preserve"> with a </w:t>
      </w:r>
      <w:r>
        <w:rPr>
          <w:rFonts w:ascii="Times New Roman" w:hAnsi="Times New Roman"/>
          <w:sz w:val="24"/>
          <w:highlight w:val="none"/>
        </w:rPr>
        <w:t>higher proportion of surrounding cropland,</w:t>
      </w:r>
      <w:r>
        <w:rPr>
          <w:rFonts w:hint="eastAsia" w:ascii="Times New Roman" w:hAnsi="Times New Roman"/>
          <w:sz w:val="24"/>
          <w:highlight w:val="none"/>
        </w:rPr>
        <w:t xml:space="preserve"> a proxy of </w:t>
      </w:r>
      <w:r>
        <w:rPr>
          <w:rFonts w:ascii="Times New Roman" w:hAnsi="Times New Roman"/>
          <w:sz w:val="24"/>
          <w:highlight w:val="none"/>
        </w:rPr>
        <w:t>reclamation priority</w:t>
      </w:r>
      <w:r>
        <w:rPr>
          <w:rFonts w:hint="eastAsia" w:ascii="Times New Roman" w:hAnsi="Times New Roman"/>
          <w:sz w:val="24"/>
          <w:highlight w:val="none"/>
        </w:rPr>
        <w:t xml:space="preserve"> (</w:t>
      </w:r>
      <w:r>
        <w:rPr>
          <w:rFonts w:hint="eastAsia" w:ascii="Times New Roman" w:hAnsi="Times New Roman"/>
          <w:i/>
          <w:iCs/>
          <w:sz w:val="24"/>
          <w:highlight w:val="none"/>
        </w:rPr>
        <w:t>REP</w:t>
      </w:r>
      <w:r>
        <w:rPr>
          <w:rFonts w:hint="eastAsia" w:ascii="Times New Roman" w:hAnsi="Times New Roman"/>
          <w:i/>
          <w:iCs/>
          <w:sz w:val="24"/>
          <w:highlight w:val="none"/>
          <w:vertAlign w:val="subscript"/>
        </w:rPr>
        <w:t>i</w:t>
      </w:r>
      <w:r>
        <w:rPr>
          <w:rFonts w:hint="eastAsia" w:ascii="Times New Roman" w:hAnsi="Times New Roman"/>
          <w:sz w:val="24"/>
          <w:highlight w:val="none"/>
        </w:rPr>
        <w:t xml:space="preserve">) was defined and calculated. </w:t>
      </w:r>
      <w:r>
        <w:rPr>
          <w:rFonts w:ascii="Times New Roman" w:hAnsi="Times New Roman"/>
          <w:sz w:val="24"/>
          <w:highlight w:val="none"/>
        </w:rPr>
        <w:t>Statistics Tool in ArcGIS</w:t>
      </w:r>
      <w:r>
        <w:rPr>
          <w:rFonts w:hint="eastAsia" w:ascii="Times New Roman" w:hAnsi="Times New Roman"/>
          <w:sz w:val="24"/>
          <w:highlight w:val="none"/>
        </w:rPr>
        <w:t xml:space="preserve"> was used to simulate </w:t>
      </w:r>
      <w:r>
        <w:rPr>
          <w:rFonts w:hint="eastAsia" w:ascii="Times New Roman" w:hAnsi="Times New Roman"/>
          <w:i/>
          <w:iCs/>
          <w:sz w:val="24"/>
          <w:highlight w:val="none"/>
        </w:rPr>
        <w:t>RP</w:t>
      </w:r>
      <w:r>
        <w:rPr>
          <w:rFonts w:hint="eastAsia" w:ascii="Times New Roman" w:hAnsi="Times New Roman"/>
          <w:i/>
          <w:iCs/>
          <w:sz w:val="24"/>
          <w:highlight w:val="none"/>
          <w:vertAlign w:val="subscript"/>
        </w:rPr>
        <w:t>i</w:t>
      </w:r>
      <w:r>
        <w:rPr>
          <w:rFonts w:hint="eastAsia" w:ascii="Times New Roman" w:hAnsi="Times New Roman"/>
          <w:sz w:val="24"/>
          <w:highlight w:val="none"/>
        </w:rPr>
        <w:t xml:space="preserve"> with </w:t>
      </w:r>
      <w:r>
        <w:rPr>
          <w:rFonts w:ascii="Times New Roman" w:hAnsi="Times New Roman"/>
          <w:sz w:val="24"/>
          <w:highlight w:val="none"/>
        </w:rPr>
        <w:t xml:space="preserve">a value of 1 </w:t>
      </w:r>
      <w:r>
        <w:rPr>
          <w:rFonts w:hint="eastAsia" w:ascii="Times New Roman" w:hAnsi="Times New Roman"/>
          <w:sz w:val="24"/>
          <w:highlight w:val="none"/>
        </w:rPr>
        <w:t xml:space="preserve">and 100 </w:t>
      </w:r>
      <w:r>
        <w:rPr>
          <w:rFonts w:ascii="Times New Roman" w:hAnsi="Times New Roman"/>
          <w:sz w:val="24"/>
          <w:highlight w:val="none"/>
        </w:rPr>
        <w:t>to the cropland and rural built-up land grids, respectively,</w:t>
      </w:r>
      <w:r>
        <w:rPr>
          <w:rFonts w:hint="eastAsia" w:ascii="Times New Roman" w:hAnsi="Times New Roman"/>
          <w:sz w:val="24"/>
          <w:highlight w:val="none"/>
        </w:rPr>
        <w:t xml:space="preserve"> by the 300 by 300 grid rectangle.  </w:t>
      </w:r>
    </w:p>
    <w:p>
      <w:pPr>
        <w:adjustRightInd w:val="0"/>
        <w:snapToGrid w:val="0"/>
        <w:spacing w:line="300" w:lineRule="auto"/>
        <w:jc w:val="right"/>
        <w:rPr>
          <w:rFonts w:ascii="Times New Roman" w:hAnsi="Times New Roman"/>
          <w:sz w:val="24"/>
          <w:highlight w:val="none"/>
        </w:rPr>
      </w:pPr>
      <w:r>
        <w:rPr>
          <w:rFonts w:hint="eastAsia" w:ascii="宋体" w:hAnsi="宋体" w:cs="宋体"/>
          <w:position w:val="-30"/>
          <w:sz w:val="24"/>
          <w:highlight w:val="none"/>
        </w:rPr>
        <w:object>
          <v:shape id="_x0000_i1027" o:spt="75" type="#_x0000_t75" style="height:31.15pt;width:63.55pt;" o:ole="t" filled="f" o:preferrelative="t" stroked="f" coordsize="21600,21600">
            <v:path/>
            <v:fill on="f" focussize="0,0"/>
            <v:stroke on="f" joinstyle="miter"/>
            <v:imagedata r:id="rId10" o:title=""/>
            <o:lock v:ext="edit" aspectratio="t"/>
            <w10:wrap type="none"/>
            <w10:anchorlock/>
          </v:shape>
          <o:OLEObject Type="Embed" ProgID="Equation.KSEE3" ShapeID="_x0000_i1027" DrawAspect="Content" ObjectID="_1468075727" r:id="rId9">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3</w:t>
      </w:r>
      <w:r>
        <w:rPr>
          <w:rFonts w:ascii="Times New Roman" w:hAnsi="Times New Roman"/>
          <w:sz w:val="24"/>
          <w:highlight w:val="none"/>
        </w:rPr>
        <w:t>)</w:t>
      </w:r>
      <w:bookmarkEnd w:id="7"/>
      <w:bookmarkEnd w:id="8"/>
    </w:p>
    <w:p>
      <w:pPr>
        <w:adjustRightInd w:val="0"/>
        <w:snapToGrid w:val="0"/>
        <w:spacing w:line="300" w:lineRule="auto"/>
        <w:rPr>
          <w:rFonts w:ascii="Times New Roman" w:hAnsi="Times New Roman"/>
          <w:sz w:val="24"/>
          <w:highlight w:val="none"/>
        </w:rPr>
      </w:pPr>
      <w:bookmarkStart w:id="9" w:name="OLE_LINK28"/>
      <w:r>
        <w:rPr>
          <w:rFonts w:ascii="Times New Roman" w:hAnsi="Times New Roman"/>
          <w:sz w:val="24"/>
          <w:highlight w:val="none"/>
        </w:rPr>
        <w:t xml:space="preserve">where </w:t>
      </w:r>
      <w:r>
        <w:rPr>
          <w:rFonts w:ascii="Times New Roman" w:hAnsi="Times New Roman"/>
          <w:i/>
          <w:iCs/>
          <w:sz w:val="24"/>
          <w:highlight w:val="none"/>
        </w:rPr>
        <w:t>C</w:t>
      </w:r>
      <w:r>
        <w:rPr>
          <w:rFonts w:ascii="Times New Roman" w:hAnsi="Times New Roman"/>
          <w:i/>
          <w:iCs/>
          <w:sz w:val="24"/>
          <w:highlight w:val="none"/>
          <w:vertAlign w:val="subscript"/>
        </w:rPr>
        <w:t>i</w:t>
      </w:r>
      <w:r>
        <w:rPr>
          <w:rFonts w:ascii="Times New Roman" w:hAnsi="Times New Roman"/>
          <w:i/>
          <w:iCs/>
          <w:sz w:val="24"/>
          <w:highlight w:val="none"/>
        </w:rPr>
        <w:t xml:space="preserve"> </w:t>
      </w:r>
      <w:r>
        <w:rPr>
          <w:rFonts w:ascii="Times New Roman" w:hAnsi="Times New Roman"/>
          <w:sz w:val="24"/>
          <w:highlight w:val="none"/>
        </w:rPr>
        <w:t xml:space="preserve">and </w:t>
      </w:r>
      <w:r>
        <w:rPr>
          <w:rFonts w:ascii="Times New Roman" w:hAnsi="Times New Roman"/>
          <w:i/>
          <w:iCs/>
          <w:sz w:val="24"/>
          <w:highlight w:val="none"/>
        </w:rPr>
        <w:t>R</w:t>
      </w:r>
      <w:r>
        <w:rPr>
          <w:rFonts w:ascii="Times New Roman" w:hAnsi="Times New Roman"/>
          <w:i/>
          <w:iCs/>
          <w:sz w:val="24"/>
          <w:highlight w:val="none"/>
          <w:vertAlign w:val="subscript"/>
        </w:rPr>
        <w:t>i</w:t>
      </w:r>
      <w:r>
        <w:rPr>
          <w:rFonts w:ascii="Times New Roman" w:hAnsi="Times New Roman"/>
          <w:sz w:val="24"/>
          <w:highlight w:val="none"/>
        </w:rPr>
        <w:t xml:space="preserve"> denote the number of grids of </w:t>
      </w:r>
      <w:r>
        <w:rPr>
          <w:rFonts w:hint="eastAsia" w:ascii="Times New Roman" w:hAnsi="Times New Roman"/>
          <w:sz w:val="24"/>
          <w:highlight w:val="none"/>
        </w:rPr>
        <w:t>crop</w:t>
      </w:r>
      <w:r>
        <w:rPr>
          <w:rFonts w:ascii="Times New Roman" w:hAnsi="Times New Roman"/>
          <w:sz w:val="24"/>
          <w:highlight w:val="none"/>
        </w:rPr>
        <w:t xml:space="preserve">land and rural </w:t>
      </w:r>
      <w:r>
        <w:rPr>
          <w:rFonts w:hint="eastAsia" w:ascii="Times New Roman" w:hAnsi="Times New Roman"/>
          <w:sz w:val="24"/>
          <w:highlight w:val="none"/>
          <w:lang w:val="en-US" w:eastAsia="zh-CN"/>
        </w:rPr>
        <w:t xml:space="preserve">land </w:t>
      </w:r>
      <w:r>
        <w:rPr>
          <w:rFonts w:ascii="Times New Roman" w:hAnsi="Times New Roman"/>
          <w:sz w:val="24"/>
          <w:highlight w:val="none"/>
        </w:rPr>
        <w:t>in 300 × 300 grids, respectively. We ranked all the rural</w:t>
      </w:r>
      <w:r>
        <w:rPr>
          <w:rFonts w:hint="eastAsia" w:ascii="Times New Roman" w:hAnsi="Times New Roman"/>
          <w:sz w:val="24"/>
          <w:highlight w:val="none"/>
        </w:rPr>
        <w:t xml:space="preserve"> </w:t>
      </w:r>
      <w:r>
        <w:rPr>
          <w:rFonts w:ascii="Times New Roman" w:hAnsi="Times New Roman"/>
          <w:sz w:val="24"/>
          <w:highlight w:val="none"/>
        </w:rPr>
        <w:t xml:space="preserve">grids in descending order of </w:t>
      </w:r>
      <w:r>
        <w:rPr>
          <w:rFonts w:hint="eastAsia" w:ascii="Times New Roman" w:hAnsi="Times New Roman"/>
          <w:i/>
          <w:iCs/>
          <w:sz w:val="24"/>
          <w:highlight w:val="none"/>
        </w:rPr>
        <w:t>REP</w:t>
      </w:r>
      <w:r>
        <w:rPr>
          <w:rFonts w:hint="eastAsia" w:ascii="Times New Roman" w:hAnsi="Times New Roman"/>
          <w:i/>
          <w:iCs/>
          <w:sz w:val="24"/>
          <w:highlight w:val="none"/>
          <w:vertAlign w:val="subscript"/>
        </w:rPr>
        <w:t>i</w:t>
      </w:r>
      <w:r>
        <w:rPr>
          <w:rFonts w:ascii="Times New Roman" w:hAnsi="Times New Roman"/>
          <w:sz w:val="24"/>
          <w:highlight w:val="none"/>
        </w:rPr>
        <w:t xml:space="preserve"> and eliminated the grids which </w:t>
      </w:r>
      <w:r>
        <w:rPr>
          <w:rFonts w:hint="eastAsia" w:ascii="Times New Roman" w:hAnsi="Times New Roman"/>
          <w:sz w:val="24"/>
          <w:highlight w:val="none"/>
          <w:lang w:val="en-US" w:eastAsia="zh-CN"/>
        </w:rPr>
        <w:t xml:space="preserve">were </w:t>
      </w:r>
      <w:r>
        <w:rPr>
          <w:rFonts w:ascii="Times New Roman" w:hAnsi="Times New Roman"/>
          <w:sz w:val="24"/>
          <w:highlight w:val="none"/>
        </w:rPr>
        <w:t>unsuitable for reclamation (slope &gt; 25 degrees or elevation &gt; 3000 m). Finally, based on the following linear programming, reclamation grids in 2050 were filtered out.</w:t>
      </w:r>
    </w:p>
    <w:bookmarkEnd w:id="9"/>
    <w:p>
      <w:pPr>
        <w:adjustRightInd w:val="0"/>
        <w:snapToGrid w:val="0"/>
        <w:spacing w:line="300" w:lineRule="auto"/>
        <w:jc w:val="center"/>
        <w:rPr>
          <w:rFonts w:ascii="Times New Roman" w:hAnsi="Times New Roman"/>
          <w:i/>
          <w:iCs/>
          <w:sz w:val="24"/>
          <w:highlight w:val="none"/>
        </w:rPr>
      </w:pPr>
      <w:r>
        <w:rPr>
          <w:rFonts w:hint="eastAsia" w:ascii="Times New Roman" w:hAnsi="Times New Roman"/>
          <w:i/>
          <w:iCs/>
          <w:sz w:val="24"/>
          <w:highlight w:val="none"/>
        </w:rPr>
        <w:t>maxmize  r</w:t>
      </w:r>
      <w:r>
        <w:rPr>
          <w:rFonts w:hint="eastAsia" w:ascii="宋体" w:hAnsi="宋体" w:cs="宋体"/>
          <w:position w:val="-24"/>
          <w:sz w:val="24"/>
          <w:highlight w:val="none"/>
        </w:rPr>
        <w:t xml:space="preserve">                    </w:t>
      </w:r>
    </w:p>
    <w:p>
      <w:pPr>
        <w:adjustRightInd w:val="0"/>
        <w:snapToGrid w:val="0"/>
        <w:spacing w:line="300" w:lineRule="auto"/>
        <w:jc w:val="right"/>
        <w:rPr>
          <w:rFonts w:ascii="Times New Roman" w:hAnsi="Times New Roman"/>
          <w:bCs/>
          <w:sz w:val="24"/>
          <w:highlight w:val="none"/>
        </w:rPr>
      </w:pPr>
      <w:r>
        <w:rPr>
          <w:rFonts w:hint="eastAsia" w:ascii="宋体" w:hAnsi="宋体" w:cs="宋体"/>
          <w:position w:val="-30"/>
          <w:sz w:val="24"/>
          <w:highlight w:val="none"/>
        </w:rPr>
        <w:object>
          <v:shape id="_x0000_i1028" o:spt="75" type="#_x0000_t75" style="height:37.05pt;width:100.8pt;" o:ole="t" filled="f" o:preferrelative="t" stroked="f" coordsize="21600,21600">
            <v:path/>
            <v:fill on="f" focussize="0,0"/>
            <v:stroke on="f" joinstyle="miter"/>
            <v:imagedata r:id="rId12" o:title=""/>
            <o:lock v:ext="edit" aspectratio="t"/>
            <w10:wrap type="none"/>
            <w10:anchorlock/>
          </v:shape>
          <o:OLEObject Type="Embed" ProgID="Equation.KSEE3" ShapeID="_x0000_i1028" DrawAspect="Content" ObjectID="_1468075728" r:id="rId11">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4</w:t>
      </w:r>
      <w:r>
        <w:rPr>
          <w:rFonts w:ascii="Times New Roman" w:hAnsi="Times New Roman"/>
          <w:sz w:val="24"/>
          <w:highlight w:val="none"/>
        </w:rPr>
        <w:t>)</w:t>
      </w:r>
    </w:p>
    <w:p>
      <w:pPr>
        <w:adjustRightInd w:val="0"/>
        <w:snapToGrid w:val="0"/>
        <w:spacing w:line="300" w:lineRule="auto"/>
        <w:rPr>
          <w:rFonts w:ascii="Times New Roman" w:hAnsi="Times New Roman"/>
          <w:sz w:val="24"/>
          <w:highlight w:val="none"/>
        </w:rPr>
      </w:pPr>
      <w:bookmarkStart w:id="10" w:name="OLE_LINK29"/>
      <w:r>
        <w:rPr>
          <w:rFonts w:ascii="Times New Roman" w:hAnsi="Times New Roman"/>
          <w:sz w:val="24"/>
          <w:highlight w:val="none"/>
        </w:rPr>
        <w:t>where</w:t>
      </w:r>
      <w:r>
        <w:rPr>
          <w:rFonts w:ascii="Times New Roman" w:hAnsi="Times New Roman"/>
          <w:i/>
          <w:iCs/>
          <w:sz w:val="24"/>
          <w:highlight w:val="none"/>
        </w:rPr>
        <w:t xml:space="preserve"> j</w:t>
      </w:r>
      <w:r>
        <w:rPr>
          <w:rFonts w:ascii="Times New Roman" w:hAnsi="Times New Roman"/>
          <w:sz w:val="24"/>
          <w:highlight w:val="none"/>
        </w:rPr>
        <w:t xml:space="preserve"> is the raster number ranked by </w:t>
      </w:r>
      <w:r>
        <w:rPr>
          <w:rFonts w:hint="eastAsia" w:ascii="Times New Roman" w:hAnsi="Times New Roman"/>
          <w:i/>
          <w:iCs/>
          <w:sz w:val="24"/>
          <w:highlight w:val="none"/>
        </w:rPr>
        <w:t>RP</w:t>
      </w:r>
      <w:r>
        <w:rPr>
          <w:rFonts w:hint="eastAsia" w:ascii="Times New Roman" w:hAnsi="Times New Roman"/>
          <w:i/>
          <w:iCs/>
          <w:sz w:val="24"/>
          <w:highlight w:val="none"/>
          <w:vertAlign w:val="subscript"/>
        </w:rPr>
        <w:t>i</w:t>
      </w:r>
      <w:r>
        <w:rPr>
          <w:rFonts w:ascii="Times New Roman" w:hAnsi="Times New Roman"/>
          <w:sz w:val="24"/>
          <w:highlight w:val="none"/>
        </w:rPr>
        <w:t xml:space="preserve">, and </w:t>
      </w:r>
      <w:r>
        <w:rPr>
          <w:rFonts w:ascii="Times New Roman" w:hAnsi="Times New Roman"/>
          <w:i/>
          <w:iCs/>
          <w:sz w:val="24"/>
          <w:highlight w:val="none"/>
        </w:rPr>
        <w:t>RP</w:t>
      </w:r>
      <w:r>
        <w:rPr>
          <w:rFonts w:ascii="Times New Roman" w:hAnsi="Times New Roman"/>
          <w:i/>
          <w:iCs/>
          <w:sz w:val="24"/>
          <w:highlight w:val="none"/>
          <w:vertAlign w:val="subscript"/>
        </w:rPr>
        <w:t>j</w:t>
      </w:r>
      <w:r>
        <w:rPr>
          <w:rFonts w:ascii="Times New Roman" w:hAnsi="Times New Roman"/>
          <w:sz w:val="24"/>
          <w:highlight w:val="none"/>
        </w:rPr>
        <w:t xml:space="preserve"> is the rural population in the </w:t>
      </w:r>
      <w:r>
        <w:rPr>
          <w:rFonts w:ascii="Times New Roman" w:hAnsi="Times New Roman"/>
          <w:i/>
          <w:iCs/>
          <w:sz w:val="24"/>
          <w:highlight w:val="none"/>
        </w:rPr>
        <w:t>j</w:t>
      </w:r>
      <w:r>
        <w:rPr>
          <w:rFonts w:ascii="Times New Roman" w:hAnsi="Times New Roman"/>
          <w:sz w:val="24"/>
          <w:highlight w:val="none"/>
        </w:rPr>
        <w:t xml:space="preserve">th </w:t>
      </w:r>
      <w:r>
        <w:rPr>
          <w:rFonts w:hint="eastAsia" w:ascii="Times New Roman" w:hAnsi="Times New Roman"/>
          <w:sz w:val="24"/>
          <w:highlight w:val="none"/>
        </w:rPr>
        <w:t>grid</w:t>
      </w:r>
      <w:r>
        <w:rPr>
          <w:rFonts w:ascii="Times New Roman" w:hAnsi="Times New Roman"/>
          <w:sz w:val="24"/>
          <w:highlight w:val="none"/>
        </w:rPr>
        <w:t xml:space="preserve">, </w:t>
      </w:r>
      <w:r>
        <w:rPr>
          <w:rFonts w:ascii="Times New Roman" w:hAnsi="Times New Roman"/>
          <w:i/>
          <w:iCs/>
          <w:sz w:val="24"/>
          <w:highlight w:val="none"/>
        </w:rPr>
        <w:t>RP</w:t>
      </w:r>
      <w:r>
        <w:rPr>
          <w:rFonts w:hint="eastAsia" w:ascii="Times New Roman" w:hAnsi="Times New Roman"/>
          <w:i/>
          <w:iCs/>
          <w:sz w:val="24"/>
          <w:highlight w:val="none"/>
          <w:vertAlign w:val="subscript"/>
        </w:rPr>
        <w:t>2050</w:t>
      </w:r>
      <w:r>
        <w:rPr>
          <w:rFonts w:ascii="Times New Roman" w:hAnsi="Times New Roman"/>
          <w:sz w:val="24"/>
          <w:highlight w:val="none"/>
        </w:rPr>
        <w:t xml:space="preserve"> is the national rural population in 2050 as projected by United Nations' World Urbanization.</w:t>
      </w:r>
    </w:p>
    <w:bookmarkEnd w:id="10"/>
    <w:p>
      <w:pPr>
        <w:spacing w:line="300" w:lineRule="auto"/>
        <w:rPr>
          <w:rFonts w:ascii="Times New Roman" w:hAnsi="Times New Roman"/>
          <w:bCs/>
          <w:sz w:val="24"/>
          <w:highlight w:val="none"/>
        </w:rPr>
      </w:pPr>
    </w:p>
    <w:p>
      <w:pPr>
        <w:spacing w:line="300" w:lineRule="auto"/>
        <w:outlineLvl w:val="1"/>
        <w:rPr>
          <w:rFonts w:ascii="Times New Roman" w:hAnsi="Times New Roman"/>
          <w:b/>
          <w:sz w:val="24"/>
          <w:highlight w:val="none"/>
        </w:rPr>
      </w:pPr>
      <w:bookmarkStart w:id="11" w:name="_Toc21163"/>
      <w:bookmarkStart w:id="12" w:name="OLE_LINK30"/>
      <w:r>
        <w:rPr>
          <w:rFonts w:ascii="Times New Roman" w:hAnsi="Times New Roman"/>
          <w:b/>
          <w:bCs/>
          <w:sz w:val="24"/>
          <w:highlight w:val="none"/>
        </w:rPr>
        <w:t xml:space="preserve">S1.3 </w:t>
      </w:r>
      <w:r>
        <w:rPr>
          <w:rFonts w:ascii="Times New Roman" w:hAnsi="Times New Roman"/>
          <w:b/>
          <w:sz w:val="24"/>
          <w:highlight w:val="none"/>
        </w:rPr>
        <w:t xml:space="preserve">The potential </w:t>
      </w:r>
      <w:r>
        <w:rPr>
          <w:rFonts w:hint="eastAsia" w:ascii="Times New Roman" w:hAnsi="Times New Roman"/>
          <w:b/>
          <w:sz w:val="24"/>
          <w:highlight w:val="none"/>
        </w:rPr>
        <w:t xml:space="preserve">modeling </w:t>
      </w:r>
      <w:r>
        <w:rPr>
          <w:rFonts w:ascii="Times New Roman" w:hAnsi="Times New Roman"/>
          <w:b/>
          <w:sz w:val="24"/>
          <w:highlight w:val="none"/>
        </w:rPr>
        <w:t>of large-scale farming</w:t>
      </w:r>
      <w:r>
        <w:rPr>
          <w:rFonts w:hint="eastAsia" w:ascii="Times New Roman" w:hAnsi="Times New Roman"/>
          <w:b/>
          <w:sz w:val="24"/>
          <w:highlight w:val="none"/>
        </w:rPr>
        <w:t xml:space="preserve"> potential</w:t>
      </w:r>
      <w:r>
        <w:rPr>
          <w:rFonts w:ascii="Times New Roman" w:hAnsi="Times New Roman"/>
          <w:b/>
          <w:sz w:val="24"/>
          <w:highlight w:val="none"/>
        </w:rPr>
        <w:t>.</w:t>
      </w:r>
      <w:bookmarkEnd w:id="11"/>
      <w:r>
        <w:rPr>
          <w:rFonts w:ascii="Times New Roman" w:hAnsi="Times New Roman"/>
          <w:b/>
          <w:sz w:val="24"/>
          <w:highlight w:val="none"/>
        </w:rPr>
        <w:t xml:space="preserve"> </w:t>
      </w:r>
    </w:p>
    <w:p>
      <w:pPr>
        <w:spacing w:line="300" w:lineRule="auto"/>
        <w:rPr>
          <w:rFonts w:ascii="Times New Roman" w:hAnsi="Times New Roman"/>
          <w:bCs/>
          <w:sz w:val="24"/>
          <w:highlight w:val="none"/>
        </w:rPr>
      </w:pPr>
      <w:r>
        <w:rPr>
          <w:rFonts w:ascii="Times New Roman" w:hAnsi="Times New Roman"/>
          <w:bCs/>
          <w:sz w:val="24"/>
          <w:highlight w:val="none"/>
        </w:rPr>
        <w:t xml:space="preserve">The high-resolution cropland raster data (30×30m) in 2050 </w:t>
      </w:r>
      <w:r>
        <w:rPr>
          <w:rFonts w:hint="eastAsia" w:ascii="Times New Roman" w:hAnsi="Times New Roman"/>
          <w:bCs/>
          <w:sz w:val="24"/>
          <w:highlight w:val="none"/>
        </w:rPr>
        <w:t>was</w:t>
      </w:r>
      <w:r>
        <w:rPr>
          <w:rFonts w:ascii="Times New Roman" w:hAnsi="Times New Roman"/>
          <w:bCs/>
          <w:sz w:val="24"/>
          <w:highlight w:val="none"/>
        </w:rPr>
        <w:t xml:space="preserve"> derived from the land reclamation modeling results. It is assumed that if there are no other features (e.g., rivers, roads, etc.) spatially separating the cropland grids within the county, they can be connected into larger croplands. We first split the raster data using county boundaries, then we used a raster data set to obtain polygon features of every cropland plot through Analysis Toolbox on ArcGIS version 10.</w:t>
      </w:r>
      <w:r>
        <w:rPr>
          <w:rFonts w:hint="eastAsia" w:ascii="Times New Roman" w:hAnsi="Times New Roman"/>
          <w:bCs/>
          <w:sz w:val="24"/>
          <w:highlight w:val="none"/>
        </w:rPr>
        <w:t>6</w:t>
      </w:r>
      <w:r>
        <w:rPr>
          <w:rFonts w:ascii="Times New Roman" w:hAnsi="Times New Roman"/>
          <w:bCs/>
          <w:sz w:val="24"/>
          <w:highlight w:val="none"/>
        </w:rPr>
        <w:t>. Then, the plots were divided into five categories (&lt;0.64, 0.64-2.56, 2.56-16, 16-100, and &gt;100 ha) according to the size of the field plots, and we analyzed the total number of plots and total area of each category. In particular, a grid of points with an interval of 1 km was produced. At each point, the k-nearest neighbour method was applied to the given point, and we set k=5 as suggested to obtain the value of the unknown point. The data analysis was done in R environment. The following R packages were used: raster (</w:t>
      </w:r>
      <w:r>
        <w:rPr>
          <w:highlight w:val="none"/>
        </w:rPr>
        <w:fldChar w:fldCharType="begin"/>
      </w:r>
      <w:r>
        <w:rPr>
          <w:highlight w:val="none"/>
        </w:rPr>
        <w:instrText xml:space="preserve"> HYPERLINK </w:instrText>
      </w:r>
      <w:r>
        <w:rPr>
          <w:highlight w:val="none"/>
        </w:rPr>
        <w:fldChar w:fldCharType="separate"/>
      </w:r>
      <w:r>
        <w:rPr>
          <w:rStyle w:val="14"/>
          <w:rFonts w:ascii="Times New Roman" w:hAnsi="Times New Roman"/>
          <w:bCs/>
          <w:sz w:val="24"/>
          <w:highlight w:val="none"/>
        </w:rPr>
        <w:t>https://CRAN. R-project.org/package=raster</w:t>
      </w:r>
      <w:r>
        <w:rPr>
          <w:rStyle w:val="14"/>
          <w:rFonts w:ascii="Times New Roman" w:hAnsi="Times New Roman"/>
          <w:bCs/>
          <w:sz w:val="24"/>
          <w:highlight w:val="none"/>
        </w:rPr>
        <w:fldChar w:fldCharType="end"/>
      </w:r>
      <w:r>
        <w:rPr>
          <w:rFonts w:ascii="Times New Roman" w:hAnsi="Times New Roman"/>
          <w:bCs/>
          <w:sz w:val="24"/>
          <w:highlight w:val="none"/>
        </w:rPr>
        <w:t>); RANN (</w:t>
      </w:r>
      <w:r>
        <w:rPr>
          <w:highlight w:val="none"/>
        </w:rPr>
        <w:fldChar w:fldCharType="begin"/>
      </w:r>
      <w:r>
        <w:rPr>
          <w:highlight w:val="none"/>
        </w:rPr>
        <w:instrText xml:space="preserve"> HYPERLINK "https://CRAN.R-project.org/package=RANN" </w:instrText>
      </w:r>
      <w:r>
        <w:rPr>
          <w:highlight w:val="none"/>
        </w:rPr>
        <w:fldChar w:fldCharType="separate"/>
      </w:r>
      <w:r>
        <w:rPr>
          <w:rStyle w:val="14"/>
          <w:rFonts w:ascii="Times New Roman" w:hAnsi="Times New Roman"/>
          <w:bCs/>
          <w:sz w:val="24"/>
          <w:highlight w:val="none"/>
        </w:rPr>
        <w:t>https://CRAN.R-project.org/package=RANN</w:t>
      </w:r>
      <w:r>
        <w:rPr>
          <w:rStyle w:val="14"/>
          <w:rFonts w:ascii="Times New Roman" w:hAnsi="Times New Roman"/>
          <w:bCs/>
          <w:sz w:val="24"/>
          <w:highlight w:val="none"/>
        </w:rPr>
        <w:fldChar w:fldCharType="end"/>
      </w:r>
      <w:r>
        <w:rPr>
          <w:rFonts w:ascii="Times New Roman" w:hAnsi="Times New Roman"/>
          <w:bCs/>
          <w:sz w:val="24"/>
          <w:highlight w:val="none"/>
        </w:rPr>
        <w:t>); and sp (</w:t>
      </w:r>
      <w:r>
        <w:rPr>
          <w:highlight w:val="none"/>
        </w:rPr>
        <w:fldChar w:fldCharType="begin"/>
      </w:r>
      <w:r>
        <w:rPr>
          <w:highlight w:val="none"/>
        </w:rPr>
        <w:instrText xml:space="preserve"> HYPERLINK </w:instrText>
      </w:r>
      <w:r>
        <w:rPr>
          <w:highlight w:val="none"/>
        </w:rPr>
        <w:fldChar w:fldCharType="separate"/>
      </w:r>
      <w:r>
        <w:rPr>
          <w:rStyle w:val="14"/>
          <w:rFonts w:ascii="Times New Roman" w:hAnsi="Times New Roman"/>
          <w:bCs/>
          <w:sz w:val="24"/>
          <w:highlight w:val="none"/>
        </w:rPr>
        <w:t>https://CRAN.R- project.org/package=sp</w:t>
      </w:r>
      <w:r>
        <w:rPr>
          <w:rStyle w:val="14"/>
          <w:rFonts w:ascii="Times New Roman" w:hAnsi="Times New Roman"/>
          <w:bCs/>
          <w:sz w:val="24"/>
          <w:highlight w:val="none"/>
        </w:rPr>
        <w:fldChar w:fldCharType="end"/>
      </w:r>
      <w:r>
        <w:rPr>
          <w:rFonts w:ascii="Times New Roman" w:hAnsi="Times New Roman"/>
          <w:bCs/>
          <w:sz w:val="24"/>
          <w:highlight w:val="none"/>
        </w:rPr>
        <w:t>). Finally, the plot number and total area of five categories in the sub-counties were extracted, and the average field size in the sub-counties was estimated.</w:t>
      </w:r>
      <w:r>
        <w:rPr>
          <w:rFonts w:hint="eastAsia" w:ascii="Times New Roman" w:hAnsi="Times New Roman"/>
          <w:bCs/>
          <w:sz w:val="24"/>
          <w:highlight w:val="none"/>
        </w:rPr>
        <w:t xml:space="preserve"> More details can be found in Duan., 2021</w:t>
      </w:r>
      <w:r>
        <w:rPr>
          <w:rFonts w:hint="eastAsia" w:ascii="Times New Roman" w:hAnsi="Times New Roman"/>
          <w:bCs/>
          <w:sz w:val="24"/>
          <w:highlight w:val="none"/>
        </w:rPr>
        <w:fldChar w:fldCharType="begin"/>
      </w:r>
      <w:r>
        <w:rPr>
          <w:rFonts w:hint="eastAsia" w:ascii="Times New Roman" w:hAnsi="Times New Roman"/>
          <w:bCs/>
          <w:sz w:val="24"/>
          <w:highlight w:val="none"/>
          <w:lang w:eastAsia="zh-CN"/>
        </w:rPr>
        <w:instrText xml:space="preserve"> ADDIN NE.Ref.{AD56AF4A-0F0B-460C-B729-43601EF1446B}</w:instrText>
      </w:r>
      <w:r>
        <w:rPr>
          <w:rFonts w:hint="eastAsia" w:ascii="Times New Roman" w:hAnsi="Times New Roman"/>
          <w:bCs/>
          <w:sz w:val="24"/>
          <w:highlight w:val="none"/>
        </w:rPr>
        <w:fldChar w:fldCharType="separate"/>
      </w:r>
      <w:r>
        <w:rPr>
          <w:rFonts w:hint="eastAsia" w:ascii="宋体" w:hAnsi="宋体"/>
          <w:color w:val="080000"/>
          <w:sz w:val="21"/>
          <w:szCs w:val="24"/>
          <w:highlight w:val="none"/>
          <w:vertAlign w:val="superscript"/>
        </w:rPr>
        <w:t>2</w:t>
      </w:r>
      <w:r>
        <w:rPr>
          <w:rFonts w:hint="eastAsia" w:ascii="Times New Roman" w:hAnsi="Times New Roman"/>
          <w:bCs/>
          <w:sz w:val="24"/>
          <w:highlight w:val="none"/>
        </w:rPr>
        <w:fldChar w:fldCharType="end"/>
      </w:r>
      <w:r>
        <w:rPr>
          <w:rFonts w:hint="eastAsia" w:ascii="Times New Roman" w:hAnsi="Times New Roman"/>
          <w:bCs/>
          <w:sz w:val="24"/>
          <w:highlight w:val="none"/>
        </w:rPr>
        <w:t xml:space="preserve">. </w:t>
      </w:r>
    </w:p>
    <w:p>
      <w:pPr>
        <w:spacing w:line="300" w:lineRule="auto"/>
        <w:rPr>
          <w:rFonts w:ascii="Times New Roman" w:hAnsi="Times New Roman"/>
          <w:bCs/>
          <w:sz w:val="24"/>
          <w:highlight w:val="none"/>
        </w:rPr>
      </w:pPr>
    </w:p>
    <w:p>
      <w:pPr>
        <w:spacing w:line="300" w:lineRule="auto"/>
        <w:outlineLvl w:val="1"/>
        <w:rPr>
          <w:rFonts w:ascii="Times New Roman" w:hAnsi="Times New Roman"/>
          <w:b/>
          <w:sz w:val="24"/>
          <w:highlight w:val="none"/>
        </w:rPr>
      </w:pPr>
      <w:bookmarkStart w:id="13" w:name="_Toc21461"/>
      <w:r>
        <w:rPr>
          <w:rFonts w:ascii="Times New Roman" w:hAnsi="Times New Roman"/>
          <w:b/>
          <w:sz w:val="24"/>
          <w:highlight w:val="none"/>
        </w:rPr>
        <w:t>S1.</w:t>
      </w:r>
      <w:r>
        <w:rPr>
          <w:rFonts w:hint="eastAsia" w:ascii="Times New Roman" w:hAnsi="Times New Roman"/>
          <w:b/>
          <w:sz w:val="24"/>
          <w:highlight w:val="none"/>
        </w:rPr>
        <w:t>4</w:t>
      </w:r>
      <w:r>
        <w:rPr>
          <w:rFonts w:ascii="Times New Roman" w:hAnsi="Times New Roman"/>
          <w:b/>
          <w:sz w:val="24"/>
          <w:highlight w:val="none"/>
        </w:rPr>
        <w:t xml:space="preserve"> Crop-livestock coupled production</w:t>
      </w:r>
      <w:r>
        <w:rPr>
          <w:rFonts w:hint="eastAsia" w:ascii="Times New Roman" w:hAnsi="Times New Roman"/>
          <w:b/>
          <w:sz w:val="24"/>
          <w:highlight w:val="none"/>
        </w:rPr>
        <w:t xml:space="preserve"> modeling</w:t>
      </w:r>
      <w:bookmarkEnd w:id="13"/>
    </w:p>
    <w:p>
      <w:pPr>
        <w:spacing w:line="300" w:lineRule="auto"/>
        <w:rPr>
          <w:rFonts w:ascii="Times New Roman" w:hAnsi="Times New Roman"/>
          <w:bCs/>
          <w:sz w:val="24"/>
          <w:highlight w:val="none"/>
        </w:rPr>
      </w:pPr>
      <w:r>
        <w:rPr>
          <w:rFonts w:hint="eastAsia" w:ascii="Times New Roman" w:hAnsi="Times New Roman"/>
          <w:bCs/>
          <w:sz w:val="24"/>
          <w:highlight w:val="none"/>
        </w:rPr>
        <w:t>T</w:t>
      </w:r>
      <w:r>
        <w:rPr>
          <w:rFonts w:ascii="Times New Roman" w:hAnsi="Times New Roman"/>
          <w:bCs/>
          <w:sz w:val="24"/>
          <w:highlight w:val="none"/>
        </w:rPr>
        <w:t xml:space="preserve">he </w:t>
      </w:r>
      <w:r>
        <w:rPr>
          <w:rFonts w:hint="eastAsia" w:ascii="Times New Roman" w:hAnsi="Times New Roman"/>
          <w:bCs/>
          <w:sz w:val="24"/>
          <w:highlight w:val="none"/>
        </w:rPr>
        <w:t>current distribution of livestock manure and manure carrying</w:t>
      </w:r>
      <w:r>
        <w:rPr>
          <w:rFonts w:ascii="Times New Roman" w:hAnsi="Times New Roman"/>
          <w:bCs/>
          <w:sz w:val="24"/>
          <w:highlight w:val="none"/>
        </w:rPr>
        <w:t xml:space="preserve"> capacity of </w:t>
      </w:r>
      <w:r>
        <w:rPr>
          <w:rFonts w:hint="eastAsia" w:ascii="Times New Roman" w:hAnsi="Times New Roman"/>
          <w:bCs/>
          <w:sz w:val="24"/>
          <w:highlight w:val="none"/>
        </w:rPr>
        <w:t>large scale cropland was</w:t>
      </w:r>
      <w:r>
        <w:rPr>
          <w:rFonts w:ascii="Times New Roman" w:hAnsi="Times New Roman"/>
          <w:bCs/>
          <w:sz w:val="24"/>
          <w:highlight w:val="none"/>
        </w:rPr>
        <w:t xml:space="preserve"> estimated </w:t>
      </w:r>
      <w:r>
        <w:rPr>
          <w:rFonts w:hint="eastAsia" w:ascii="Times New Roman" w:hAnsi="Times New Roman"/>
          <w:bCs/>
          <w:sz w:val="24"/>
          <w:highlight w:val="none"/>
        </w:rPr>
        <w:t>in</w:t>
      </w:r>
      <w:r>
        <w:rPr>
          <w:rFonts w:ascii="Times New Roman" w:hAnsi="Times New Roman"/>
          <w:bCs/>
          <w:sz w:val="24"/>
          <w:highlight w:val="none"/>
        </w:rPr>
        <w:t xml:space="preserve"> the </w:t>
      </w:r>
      <w:r>
        <w:rPr>
          <w:rFonts w:hint="eastAsia" w:ascii="Times New Roman" w:hAnsi="Times New Roman"/>
          <w:bCs/>
          <w:sz w:val="24"/>
          <w:highlight w:val="none"/>
        </w:rPr>
        <w:t>grid</w:t>
      </w:r>
      <w:r>
        <w:rPr>
          <w:rFonts w:ascii="Times New Roman" w:hAnsi="Times New Roman"/>
          <w:bCs/>
          <w:sz w:val="24"/>
          <w:highlight w:val="none"/>
        </w:rPr>
        <w:t xml:space="preserve"> scale.</w:t>
      </w:r>
      <w:r>
        <w:rPr>
          <w:rFonts w:hint="eastAsia" w:ascii="Times New Roman" w:hAnsi="Times New Roman"/>
          <w:bCs/>
          <w:sz w:val="24"/>
          <w:highlight w:val="none"/>
        </w:rPr>
        <w:t xml:space="preserve"> Based on FAOSTAT2017 and </w:t>
      </w:r>
      <w:r>
        <w:rPr>
          <w:rFonts w:hint="eastAsia" w:ascii="Times New Roman" w:hAnsi="Times New Roman"/>
          <w:sz w:val="24"/>
          <w:highlight w:val="none"/>
        </w:rPr>
        <w:t xml:space="preserve">NBSC2017 database, numbers and manure N of 17 </w:t>
      </w:r>
      <w:r>
        <w:rPr>
          <w:rFonts w:hint="eastAsia" w:ascii="Times New Roman" w:hAnsi="Times New Roman"/>
          <w:bCs/>
          <w:sz w:val="24"/>
          <w:highlight w:val="none"/>
        </w:rPr>
        <w:t xml:space="preserve">livestock and poultry </w:t>
      </w:r>
      <w:r>
        <w:rPr>
          <w:rFonts w:hint="eastAsia" w:ascii="Times New Roman" w:hAnsi="Times New Roman"/>
          <w:sz w:val="24"/>
          <w:highlight w:val="none"/>
        </w:rPr>
        <w:t xml:space="preserve">species </w:t>
      </w:r>
      <w:r>
        <w:rPr>
          <w:rFonts w:hint="eastAsia" w:ascii="Times New Roman" w:hAnsi="Times New Roman"/>
          <w:bCs/>
          <w:sz w:val="24"/>
          <w:highlight w:val="none"/>
        </w:rPr>
        <w:t xml:space="preserve">were collated </w:t>
      </w:r>
      <w:r>
        <w:rPr>
          <w:rFonts w:hint="eastAsia" w:ascii="Times New Roman" w:hAnsi="Times New Roman"/>
          <w:sz w:val="24"/>
          <w:highlight w:val="none"/>
        </w:rPr>
        <w:t>(</w:t>
      </w:r>
      <w:r>
        <w:rPr>
          <w:rFonts w:hint="eastAsia" w:ascii="Times New Roman" w:hAnsi="Times New Roman"/>
          <w:color w:val="0000FF"/>
          <w:sz w:val="24"/>
          <w:highlight w:val="none"/>
        </w:rPr>
        <w:t>Table S2</w:t>
      </w:r>
      <w:r>
        <w:rPr>
          <w:rFonts w:hint="eastAsia" w:ascii="Times New Roman" w:hAnsi="Times New Roman"/>
          <w:sz w:val="24"/>
          <w:highlight w:val="none"/>
        </w:rPr>
        <w:t xml:space="preserve">). Around 2.3 billion livestock </w:t>
      </w:r>
      <w:r>
        <w:rPr>
          <w:rFonts w:hint="eastAsia" w:ascii="Times New Roman" w:hAnsi="Times New Roman"/>
          <w:bCs/>
          <w:sz w:val="24"/>
          <w:highlight w:val="none"/>
        </w:rPr>
        <w:t xml:space="preserve">were allocated in equal proportions according to </w:t>
      </w:r>
      <w:r>
        <w:rPr>
          <w:rFonts w:hint="eastAsia" w:ascii="Times New Roman" w:hAnsi="Times New Roman"/>
          <w:sz w:val="24"/>
          <w:highlight w:val="none"/>
        </w:rPr>
        <w:t>APSCC2017</w:t>
      </w:r>
      <w:r>
        <w:rPr>
          <w:rFonts w:hint="eastAsia" w:ascii="Times New Roman" w:hAnsi="Times New Roman"/>
          <w:bCs/>
          <w:sz w:val="24"/>
          <w:highlight w:val="none"/>
        </w:rPr>
        <w:t xml:space="preserve"> (5 livestock species, equaling 1.2 billion pig units in total).</w:t>
      </w:r>
      <w:r>
        <w:rPr>
          <w:rFonts w:ascii="Times New Roman" w:hAnsi="Times New Roman"/>
          <w:bCs/>
          <w:sz w:val="24"/>
          <w:highlight w:val="none"/>
        </w:rPr>
        <w:t xml:space="preserve"> </w:t>
      </w:r>
      <w:r>
        <w:rPr>
          <w:rFonts w:hint="eastAsia" w:ascii="Times New Roman" w:hAnsi="Times New Roman"/>
          <w:sz w:val="24"/>
          <w:highlight w:val="none"/>
        </w:rPr>
        <w:t>APSCC2017</w:t>
      </w:r>
      <w:r>
        <w:rPr>
          <w:rFonts w:ascii="Times New Roman" w:hAnsi="Times New Roman"/>
          <w:bCs/>
          <w:sz w:val="24"/>
          <w:highlight w:val="none"/>
        </w:rPr>
        <w:t xml:space="preserve"> covers more than 20,000 farm households and belongs to the Chinese Ministry of Agriculture and Rural Affairs</w:t>
      </w:r>
      <w:r>
        <w:rPr>
          <w:rFonts w:ascii="Times New Roman" w:hAnsi="Times New Roman"/>
          <w:bCs/>
          <w:sz w:val="24"/>
          <w:highlight w:val="none"/>
        </w:rPr>
        <w:fldChar w:fldCharType="begin"/>
      </w:r>
      <w:r>
        <w:rPr>
          <w:rFonts w:hint="eastAsia" w:ascii="Times New Roman" w:hAnsi="Times New Roman"/>
          <w:bCs/>
          <w:sz w:val="24"/>
          <w:highlight w:val="none"/>
          <w:lang w:eastAsia="zh-CN"/>
        </w:rPr>
        <w:instrText xml:space="preserve"> ADDIN NE.Ref.{917663C7-583D-4556-A360-6DC70CE2BCF0}</w:instrText>
      </w:r>
      <w:r>
        <w:rPr>
          <w:rFonts w:ascii="Times New Roman" w:hAnsi="Times New Roman"/>
          <w:bCs/>
          <w:sz w:val="24"/>
          <w:highlight w:val="none"/>
        </w:rPr>
        <w:fldChar w:fldCharType="separate"/>
      </w:r>
      <w:r>
        <w:rPr>
          <w:rFonts w:hint="eastAsia" w:ascii="宋体" w:hAnsi="宋体"/>
          <w:color w:val="080000"/>
          <w:sz w:val="21"/>
          <w:szCs w:val="24"/>
          <w:highlight w:val="none"/>
          <w:vertAlign w:val="superscript"/>
        </w:rPr>
        <w:t>3</w:t>
      </w:r>
      <w:r>
        <w:rPr>
          <w:rFonts w:ascii="Times New Roman" w:hAnsi="Times New Roman"/>
          <w:bCs/>
          <w:sz w:val="24"/>
          <w:highlight w:val="none"/>
        </w:rPr>
        <w:fldChar w:fldCharType="end"/>
      </w:r>
      <w:r>
        <w:rPr>
          <w:rFonts w:ascii="Times New Roman" w:hAnsi="Times New Roman"/>
          <w:bCs/>
          <w:sz w:val="24"/>
          <w:highlight w:val="none"/>
        </w:rPr>
        <w:t>.</w:t>
      </w:r>
      <w:r>
        <w:rPr>
          <w:rFonts w:hint="eastAsia" w:ascii="Times New Roman" w:hAnsi="Times New Roman"/>
          <w:bCs/>
          <w:sz w:val="24"/>
          <w:highlight w:val="none"/>
        </w:rPr>
        <w:t xml:space="preserve"> Coefficients of Nr cycling in livestock systems, i.g. emission factor of NH</w:t>
      </w:r>
      <w:r>
        <w:rPr>
          <w:rFonts w:hint="eastAsia" w:ascii="Times New Roman" w:hAnsi="Times New Roman"/>
          <w:bCs/>
          <w:sz w:val="24"/>
          <w:highlight w:val="none"/>
          <w:vertAlign w:val="subscript"/>
        </w:rPr>
        <w:t>3</w:t>
      </w:r>
      <w:r>
        <w:rPr>
          <w:rFonts w:hint="eastAsia" w:ascii="Times New Roman" w:hAnsi="Times New Roman"/>
          <w:bCs/>
          <w:sz w:val="24"/>
          <w:highlight w:val="none"/>
        </w:rPr>
        <w:t xml:space="preserve"> volatilization, ratio of manure return to the field, etc., also refer to the result of the </w:t>
      </w:r>
      <w:r>
        <w:rPr>
          <w:rFonts w:hint="eastAsia" w:ascii="Times New Roman" w:hAnsi="Times New Roman"/>
          <w:sz w:val="24"/>
          <w:highlight w:val="none"/>
        </w:rPr>
        <w:t>APSCC2017</w:t>
      </w:r>
      <w:r>
        <w:rPr>
          <w:rFonts w:hint="eastAsia" w:ascii="Times New Roman" w:hAnsi="Times New Roman"/>
          <w:sz w:val="24"/>
          <w:highlight w:val="none"/>
        </w:rPr>
        <w:fldChar w:fldCharType="begin"/>
      </w:r>
      <w:r>
        <w:rPr>
          <w:rFonts w:hint="eastAsia" w:ascii="Times New Roman" w:hAnsi="Times New Roman"/>
          <w:sz w:val="24"/>
          <w:highlight w:val="none"/>
          <w:lang w:eastAsia="zh-CN"/>
        </w:rPr>
        <w:instrText xml:space="preserve"> ADDIN NE.Ref.{8F06B732-EBFD-489E-BFFB-FC2558BA8E37}</w:instrText>
      </w:r>
      <w:r>
        <w:rPr>
          <w:rFonts w:hint="eastAsia" w:ascii="Times New Roman" w:hAnsi="Times New Roman"/>
          <w:sz w:val="24"/>
          <w:highlight w:val="none"/>
        </w:rPr>
        <w:fldChar w:fldCharType="separate"/>
      </w:r>
      <w:r>
        <w:rPr>
          <w:rFonts w:hint="eastAsia" w:ascii="宋体" w:hAnsi="宋体"/>
          <w:color w:val="080000"/>
          <w:sz w:val="21"/>
          <w:szCs w:val="24"/>
          <w:highlight w:val="none"/>
          <w:vertAlign w:val="superscript"/>
        </w:rPr>
        <w:t>3</w:t>
      </w:r>
      <w:r>
        <w:rPr>
          <w:rFonts w:hint="eastAsia" w:ascii="Times New Roman" w:hAnsi="Times New Roman"/>
          <w:sz w:val="24"/>
          <w:highlight w:val="none"/>
        </w:rPr>
        <w:fldChar w:fldCharType="end"/>
      </w:r>
      <w:r>
        <w:rPr>
          <w:rFonts w:hint="eastAsia" w:ascii="Times New Roman" w:hAnsi="Times New Roman"/>
          <w:bCs/>
          <w:sz w:val="24"/>
          <w:highlight w:val="none"/>
        </w:rPr>
        <w:t>. The maximum livestock carrying capacity per hectare of cropland is around 30 pig units, equivalent to 117 kg N, referring to the Ministry of Agriculture's recommendation for manure carrying capacity in cropland</w:t>
      </w:r>
      <w:r>
        <w:rPr>
          <w:rFonts w:ascii="Times New Roman" w:hAnsi="Times New Roman"/>
          <w:bCs/>
          <w:sz w:val="24"/>
          <w:highlight w:val="none"/>
        </w:rPr>
        <w:fldChar w:fldCharType="begin"/>
      </w:r>
      <w:r>
        <w:rPr>
          <w:rFonts w:hint="eastAsia" w:ascii="Times New Roman" w:hAnsi="Times New Roman"/>
          <w:bCs/>
          <w:sz w:val="24"/>
          <w:highlight w:val="none"/>
          <w:lang w:eastAsia="zh-CN"/>
        </w:rPr>
        <w:instrText xml:space="preserve"> ADDIN NE.Ref.{D3AED364-0DA1-40AE-9180-02F2F00689D6}</w:instrText>
      </w:r>
      <w:r>
        <w:rPr>
          <w:rFonts w:ascii="Times New Roman" w:hAnsi="Times New Roman"/>
          <w:bCs/>
          <w:sz w:val="24"/>
          <w:highlight w:val="none"/>
        </w:rPr>
        <w:fldChar w:fldCharType="separate"/>
      </w:r>
      <w:r>
        <w:rPr>
          <w:rFonts w:hint="eastAsia" w:ascii="宋体" w:hAnsi="宋体"/>
          <w:color w:val="080000"/>
          <w:sz w:val="21"/>
          <w:szCs w:val="24"/>
          <w:highlight w:val="none"/>
          <w:vertAlign w:val="superscript"/>
        </w:rPr>
        <w:t>4</w:t>
      </w:r>
      <w:r>
        <w:rPr>
          <w:rFonts w:ascii="Times New Roman" w:hAnsi="Times New Roman"/>
          <w:bCs/>
          <w:sz w:val="24"/>
          <w:highlight w:val="none"/>
        </w:rPr>
        <w:fldChar w:fldCharType="end"/>
      </w:r>
      <w:r>
        <w:rPr>
          <w:rFonts w:hint="eastAsia" w:ascii="Times New Roman" w:hAnsi="Times New Roman"/>
          <w:bCs/>
          <w:sz w:val="24"/>
          <w:highlight w:val="none"/>
        </w:rPr>
        <w:t>. If the manure N produced by livestock in the county is larger than the manure N carrying capacity of cropland, the livestock needs to be moved outside the county or province. Here,</w:t>
      </w:r>
      <w:r>
        <w:rPr>
          <w:rFonts w:hint="eastAsia" w:ascii="Times New Roman" w:hAnsi="Times New Roman"/>
          <w:bCs/>
          <w:i/>
          <w:iCs/>
          <w:sz w:val="24"/>
          <w:highlight w:val="none"/>
        </w:rPr>
        <w:t xml:space="preserve"> LRPi</w:t>
      </w:r>
      <w:r>
        <w:rPr>
          <w:rFonts w:hint="eastAsia" w:ascii="Times New Roman" w:hAnsi="Times New Roman"/>
          <w:bCs/>
          <w:sz w:val="24"/>
          <w:highlight w:val="none"/>
        </w:rPr>
        <w:t xml:space="preserve"> was used to quantify this process. </w:t>
      </w:r>
      <w:r>
        <w:rPr>
          <w:rFonts w:ascii="Times New Roman" w:hAnsi="Times New Roman"/>
          <w:bCs/>
          <w:i/>
          <w:iCs/>
          <w:sz w:val="24"/>
          <w:highlight w:val="none"/>
        </w:rPr>
        <w:t>L</w:t>
      </w:r>
      <w:r>
        <w:rPr>
          <w:rFonts w:hint="eastAsia" w:ascii="Times New Roman" w:hAnsi="Times New Roman"/>
          <w:bCs/>
          <w:i/>
          <w:iCs/>
          <w:sz w:val="24"/>
          <w:highlight w:val="none"/>
        </w:rPr>
        <w:t>R</w:t>
      </w:r>
      <w:r>
        <w:rPr>
          <w:rFonts w:ascii="Times New Roman" w:hAnsi="Times New Roman"/>
          <w:bCs/>
          <w:i/>
          <w:iCs/>
          <w:sz w:val="24"/>
          <w:highlight w:val="none"/>
        </w:rPr>
        <w:t>Pi</w:t>
      </w:r>
      <w:r>
        <w:rPr>
          <w:rFonts w:ascii="Times New Roman" w:hAnsi="Times New Roman"/>
          <w:bCs/>
          <w:sz w:val="24"/>
          <w:highlight w:val="none"/>
        </w:rPr>
        <w:t xml:space="preserve"> is less than 0 means that the livestock carrying capacity of the </w:t>
      </w:r>
      <w:r>
        <w:rPr>
          <w:rFonts w:hint="eastAsia" w:ascii="Times New Roman" w:hAnsi="Times New Roman"/>
          <w:bCs/>
          <w:sz w:val="24"/>
          <w:highlight w:val="none"/>
        </w:rPr>
        <w:t>grid</w:t>
      </w:r>
      <w:r>
        <w:rPr>
          <w:rFonts w:ascii="Times New Roman" w:hAnsi="Times New Roman"/>
          <w:bCs/>
          <w:sz w:val="24"/>
          <w:highlight w:val="none"/>
        </w:rPr>
        <w:t xml:space="preserve"> is overload and the livestock need to be removed. While, it is greater than 0 means that the </w:t>
      </w:r>
      <w:r>
        <w:rPr>
          <w:rFonts w:hint="eastAsia" w:ascii="Times New Roman" w:hAnsi="Times New Roman"/>
          <w:bCs/>
          <w:sz w:val="24"/>
          <w:highlight w:val="none"/>
        </w:rPr>
        <w:t>grid</w:t>
      </w:r>
      <w:r>
        <w:rPr>
          <w:rFonts w:ascii="Times New Roman" w:hAnsi="Times New Roman"/>
          <w:bCs/>
          <w:sz w:val="24"/>
          <w:highlight w:val="none"/>
        </w:rPr>
        <w:t xml:space="preserve"> can still carry more livestock and can be moved into the livestock. Then, the provincial livestock </w:t>
      </w:r>
      <w:r>
        <w:rPr>
          <w:rFonts w:hint="eastAsia" w:ascii="Times New Roman" w:hAnsi="Times New Roman"/>
          <w:bCs/>
          <w:sz w:val="24"/>
          <w:highlight w:val="none"/>
        </w:rPr>
        <w:t>relocation</w:t>
      </w:r>
      <w:r>
        <w:rPr>
          <w:rFonts w:ascii="Times New Roman" w:hAnsi="Times New Roman"/>
          <w:bCs/>
          <w:sz w:val="24"/>
          <w:highlight w:val="none"/>
        </w:rPr>
        <w:t xml:space="preserve"> capacity (</w:t>
      </w:r>
      <w:r>
        <w:rPr>
          <w:rFonts w:ascii="Times New Roman" w:hAnsi="Times New Roman"/>
          <w:bCs/>
          <w:i/>
          <w:iCs/>
          <w:sz w:val="24"/>
          <w:highlight w:val="none"/>
        </w:rPr>
        <w:t>PL</w:t>
      </w:r>
      <w:r>
        <w:rPr>
          <w:rFonts w:hint="eastAsia" w:ascii="Times New Roman" w:hAnsi="Times New Roman"/>
          <w:bCs/>
          <w:i/>
          <w:iCs/>
          <w:sz w:val="24"/>
          <w:highlight w:val="none"/>
        </w:rPr>
        <w:t>R</w:t>
      </w:r>
      <w:r>
        <w:rPr>
          <w:rFonts w:ascii="Times New Roman" w:hAnsi="Times New Roman"/>
          <w:bCs/>
          <w:i/>
          <w:iCs/>
          <w:sz w:val="24"/>
          <w:highlight w:val="none"/>
        </w:rPr>
        <w:t>P</w:t>
      </w:r>
      <w:r>
        <w:rPr>
          <w:rFonts w:ascii="Times New Roman" w:hAnsi="Times New Roman"/>
          <w:bCs/>
          <w:i/>
          <w:iCs/>
          <w:sz w:val="24"/>
          <w:highlight w:val="none"/>
          <w:vertAlign w:val="subscript"/>
        </w:rPr>
        <w:t>r</w:t>
      </w:r>
      <w:r>
        <w:rPr>
          <w:rFonts w:ascii="Times New Roman" w:hAnsi="Times New Roman"/>
          <w:bCs/>
          <w:sz w:val="24"/>
          <w:highlight w:val="none"/>
        </w:rPr>
        <w:t>) and relocation amount (</w:t>
      </w:r>
      <w:r>
        <w:rPr>
          <w:rFonts w:ascii="Times New Roman" w:hAnsi="Times New Roman"/>
          <w:bCs/>
          <w:i/>
          <w:iCs/>
          <w:sz w:val="24"/>
          <w:highlight w:val="none"/>
        </w:rPr>
        <w:t>PRA</w:t>
      </w:r>
      <w:r>
        <w:rPr>
          <w:rFonts w:ascii="Times New Roman" w:hAnsi="Times New Roman"/>
          <w:bCs/>
          <w:i/>
          <w:iCs/>
          <w:sz w:val="24"/>
          <w:highlight w:val="none"/>
          <w:vertAlign w:val="subscript"/>
        </w:rPr>
        <w:t>r</w:t>
      </w:r>
      <w:r>
        <w:rPr>
          <w:rFonts w:ascii="Times New Roman" w:hAnsi="Times New Roman"/>
          <w:bCs/>
          <w:sz w:val="24"/>
          <w:highlight w:val="none"/>
        </w:rPr>
        <w:t>) were calculated.</w:t>
      </w:r>
      <w:r>
        <w:rPr>
          <w:rFonts w:hint="eastAsia" w:ascii="Times New Roman" w:hAnsi="Times New Roman"/>
          <w:bCs/>
          <w:sz w:val="24"/>
          <w:highlight w:val="none"/>
        </w:rPr>
        <w:t xml:space="preserve"> </w:t>
      </w:r>
      <w:r>
        <w:rPr>
          <w:rFonts w:ascii="Times New Roman" w:hAnsi="Times New Roman"/>
          <w:bCs/>
          <w:sz w:val="24"/>
          <w:highlight w:val="none"/>
        </w:rPr>
        <w:t xml:space="preserve">If </w:t>
      </w:r>
      <w:r>
        <w:rPr>
          <w:rFonts w:ascii="Times New Roman" w:hAnsi="Times New Roman"/>
          <w:bCs/>
          <w:i/>
          <w:iCs/>
          <w:sz w:val="24"/>
          <w:highlight w:val="none"/>
        </w:rPr>
        <w:t>PL</w:t>
      </w:r>
      <w:r>
        <w:rPr>
          <w:rFonts w:hint="eastAsia" w:ascii="Times New Roman" w:hAnsi="Times New Roman"/>
          <w:bCs/>
          <w:i/>
          <w:iCs/>
          <w:sz w:val="24"/>
          <w:highlight w:val="none"/>
        </w:rPr>
        <w:t>R</w:t>
      </w:r>
      <w:r>
        <w:rPr>
          <w:rFonts w:ascii="Times New Roman" w:hAnsi="Times New Roman"/>
          <w:bCs/>
          <w:i/>
          <w:iCs/>
          <w:sz w:val="24"/>
          <w:highlight w:val="none"/>
        </w:rPr>
        <w:t>P</w:t>
      </w:r>
      <w:r>
        <w:rPr>
          <w:rFonts w:ascii="Times New Roman" w:hAnsi="Times New Roman"/>
          <w:bCs/>
          <w:sz w:val="24"/>
          <w:highlight w:val="none"/>
        </w:rPr>
        <w:t>&gt;</w:t>
      </w:r>
      <w:r>
        <w:rPr>
          <w:rFonts w:ascii="Times New Roman" w:hAnsi="Times New Roman"/>
          <w:bCs/>
          <w:i/>
          <w:iCs/>
          <w:sz w:val="24"/>
          <w:highlight w:val="none"/>
        </w:rPr>
        <w:t>PRA</w:t>
      </w:r>
      <w:r>
        <w:rPr>
          <w:rFonts w:ascii="Times New Roman" w:hAnsi="Times New Roman"/>
          <w:bCs/>
          <w:sz w:val="24"/>
          <w:highlight w:val="none"/>
        </w:rPr>
        <w:t xml:space="preserve">, which represent the provincial livestock manure N can be </w:t>
      </w:r>
      <w:r>
        <w:rPr>
          <w:rFonts w:hint="eastAsia" w:ascii="Times New Roman" w:hAnsi="Times New Roman"/>
          <w:bCs/>
          <w:sz w:val="24"/>
          <w:highlight w:val="none"/>
        </w:rPr>
        <w:t>carried</w:t>
      </w:r>
      <w:r>
        <w:rPr>
          <w:rFonts w:ascii="Times New Roman" w:hAnsi="Times New Roman"/>
          <w:bCs/>
          <w:sz w:val="24"/>
          <w:highlight w:val="none"/>
        </w:rPr>
        <w:t xml:space="preserve"> by cropland, livestock relocation </w:t>
      </w:r>
      <w:r>
        <w:rPr>
          <w:rFonts w:hint="eastAsia" w:ascii="Times New Roman" w:hAnsi="Times New Roman"/>
          <w:bCs/>
          <w:sz w:val="24"/>
          <w:highlight w:val="none"/>
        </w:rPr>
        <w:t>would be</w:t>
      </w:r>
      <w:r>
        <w:rPr>
          <w:rFonts w:ascii="Times New Roman" w:hAnsi="Times New Roman"/>
          <w:bCs/>
          <w:sz w:val="24"/>
          <w:highlight w:val="none"/>
        </w:rPr>
        <w:t xml:space="preserve"> conducted inner province. </w:t>
      </w:r>
    </w:p>
    <w:p>
      <w:pPr>
        <w:spacing w:line="300" w:lineRule="auto"/>
        <w:rPr>
          <w:rFonts w:ascii="Times New Roman" w:hAnsi="Times New Roman"/>
          <w:bCs/>
          <w:sz w:val="24"/>
          <w:highlight w:val="none"/>
        </w:rPr>
      </w:pPr>
    </w:p>
    <w:p>
      <w:pPr>
        <w:adjustRightInd w:val="0"/>
        <w:snapToGrid w:val="0"/>
        <w:spacing w:line="300" w:lineRule="auto"/>
        <w:jc w:val="right"/>
        <w:rPr>
          <w:rFonts w:ascii="Times New Roman" w:hAnsi="Times New Roman"/>
          <w:sz w:val="24"/>
          <w:highlight w:val="none"/>
        </w:rPr>
      </w:pPr>
      <w:r>
        <w:rPr>
          <w:rFonts w:ascii="Times New Roman" w:hAnsi="Times New Roman"/>
          <w:sz w:val="24"/>
          <w:highlight w:val="none"/>
        </w:rPr>
        <w:t xml:space="preserve">   </w:t>
      </w:r>
      <w:r>
        <w:rPr>
          <w:rFonts w:ascii="Times New Roman" w:hAnsi="Times New Roman"/>
          <w:position w:val="-28"/>
          <w:sz w:val="24"/>
          <w:highlight w:val="none"/>
        </w:rPr>
        <w:object>
          <v:shape id="_x0000_i1029" o:spt="75" type="#_x0000_t75" style="height:33.7pt;width:128.05pt;" o:ole="t" filled="f" o:preferrelative="t" stroked="f" coordsize="21600,21600">
            <v:path/>
            <v:fill on="f" focussize="0,0"/>
            <v:stroke on="f" joinstyle="miter"/>
            <v:imagedata r:id="rId14" o:title=""/>
            <o:lock v:ext="edit" aspectratio="t"/>
            <w10:wrap type="none"/>
            <w10:anchorlock/>
          </v:shape>
          <o:OLEObject Type="Embed" ProgID="Equation.KSEE3" ShapeID="_x0000_i1029" DrawAspect="Content" ObjectID="_1468075729" r:id="rId13">
            <o:LockedField>false</o:LockedField>
          </o:OLEObject>
        </w:object>
      </w:r>
      <w:r>
        <w:rPr>
          <w:rFonts w:ascii="Times New Roman" w:hAnsi="Times New Roman"/>
          <w:sz w:val="24"/>
          <w:highlight w:val="none"/>
        </w:rPr>
        <w:t xml:space="preserve">                       (5)</w:t>
      </w:r>
    </w:p>
    <w:p>
      <w:pPr>
        <w:adjustRightInd w:val="0"/>
        <w:snapToGrid w:val="0"/>
        <w:spacing w:line="300" w:lineRule="auto"/>
        <w:jc w:val="right"/>
        <w:rPr>
          <w:rFonts w:ascii="Times New Roman" w:hAnsi="Times New Roman"/>
          <w:bCs/>
          <w:sz w:val="24"/>
          <w:highlight w:val="none"/>
        </w:rPr>
      </w:pPr>
      <w:r>
        <w:rPr>
          <w:rFonts w:ascii="Times New Roman" w:hAnsi="Times New Roman"/>
          <w:sz w:val="24"/>
          <w:highlight w:val="none"/>
        </w:rPr>
        <w:t xml:space="preserve">   </w:t>
      </w:r>
      <w:r>
        <w:rPr>
          <w:rFonts w:ascii="Times New Roman" w:hAnsi="Times New Roman"/>
          <w:position w:val="-28"/>
          <w:sz w:val="24"/>
          <w:highlight w:val="none"/>
        </w:rPr>
        <w:object>
          <v:shape id="_x0000_i1030" o:spt="75" type="#_x0000_t75" style="height:33.7pt;width:122.9pt;" o:ole="t" filled="f" o:preferrelative="t" stroked="f" coordsize="21600,21600">
            <v:path/>
            <v:fill on="f" focussize="0,0"/>
            <v:stroke on="f" joinstyle="miter"/>
            <v:imagedata r:id="rId16" o:title=""/>
            <o:lock v:ext="edit" aspectratio="t"/>
            <w10:wrap type="none"/>
            <w10:anchorlock/>
          </v:shape>
          <o:OLEObject Type="Embed" ProgID="Equation.KSEE3" ShapeID="_x0000_i1030" DrawAspect="Content" ObjectID="_1468075730" r:id="rId15">
            <o:LockedField>false</o:LockedField>
          </o:OLEObject>
        </w:object>
      </w:r>
      <w:r>
        <w:rPr>
          <w:rFonts w:ascii="Times New Roman" w:hAnsi="Times New Roman"/>
          <w:sz w:val="24"/>
          <w:highlight w:val="none"/>
        </w:rPr>
        <w:t xml:space="preserve">                        (6)</w:t>
      </w:r>
    </w:p>
    <w:p>
      <w:pPr>
        <w:spacing w:line="300" w:lineRule="auto"/>
        <w:rPr>
          <w:rFonts w:ascii="Times New Roman" w:hAnsi="Times New Roman"/>
          <w:b/>
          <w:sz w:val="24"/>
          <w:highlight w:val="none"/>
        </w:rPr>
      </w:pPr>
    </w:p>
    <w:p>
      <w:pPr>
        <w:spacing w:line="300" w:lineRule="auto"/>
        <w:outlineLvl w:val="1"/>
        <w:rPr>
          <w:rFonts w:ascii="Times New Roman" w:hAnsi="Times New Roman"/>
          <w:b/>
          <w:bCs/>
          <w:sz w:val="24"/>
          <w:highlight w:val="none"/>
        </w:rPr>
      </w:pPr>
      <w:bookmarkStart w:id="14" w:name="_Toc20116"/>
      <w:r>
        <w:rPr>
          <w:rFonts w:ascii="Times New Roman" w:hAnsi="Times New Roman"/>
          <w:b/>
          <w:bCs/>
          <w:sz w:val="24"/>
          <w:highlight w:val="none"/>
        </w:rPr>
        <w:t>S1.</w:t>
      </w:r>
      <w:r>
        <w:rPr>
          <w:rFonts w:hint="eastAsia" w:ascii="Times New Roman" w:hAnsi="Times New Roman"/>
          <w:b/>
          <w:bCs/>
          <w:sz w:val="24"/>
          <w:highlight w:val="none"/>
        </w:rPr>
        <w:t>5</w:t>
      </w:r>
      <w:r>
        <w:rPr>
          <w:rFonts w:ascii="Times New Roman" w:hAnsi="Times New Roman"/>
          <w:b/>
          <w:bCs/>
          <w:sz w:val="24"/>
          <w:highlight w:val="none"/>
        </w:rPr>
        <w:t xml:space="preserve"> </w:t>
      </w:r>
      <w:r>
        <w:rPr>
          <w:rFonts w:hint="eastAsia" w:ascii="Times New Roman" w:hAnsi="Times New Roman"/>
          <w:b/>
          <w:bCs/>
          <w:sz w:val="24"/>
          <w:highlight w:val="none"/>
        </w:rPr>
        <w:t>Nitrogen budget modeling.</w:t>
      </w:r>
      <w:bookmarkEnd w:id="14"/>
      <w:r>
        <w:rPr>
          <w:rFonts w:hint="eastAsia" w:ascii="Times New Roman" w:hAnsi="Times New Roman"/>
          <w:b/>
          <w:bCs/>
          <w:sz w:val="24"/>
          <w:highlight w:val="none"/>
        </w:rPr>
        <w:t xml:space="preserve"> </w:t>
      </w:r>
    </w:p>
    <w:p>
      <w:pPr>
        <w:spacing w:line="300" w:lineRule="auto"/>
        <w:rPr>
          <w:rFonts w:ascii="Times New Roman" w:hAnsi="Times New Roman"/>
          <w:bCs/>
          <w:sz w:val="24"/>
          <w:highlight w:val="none"/>
        </w:rPr>
      </w:pPr>
      <w:r>
        <w:rPr>
          <w:rFonts w:hint="eastAsia" w:ascii="Times New Roman" w:hAnsi="Times New Roman"/>
          <w:bCs/>
          <w:sz w:val="24"/>
          <w:highlight w:val="none"/>
        </w:rPr>
        <w:t>The Couple Human and Natural System (CHANS) model was applied to calculated the nitrogen budget among 14 ecosystems with urbanization (</w:t>
      </w:r>
      <w:r>
        <w:rPr>
          <w:rFonts w:hint="eastAsia" w:ascii="Times New Roman" w:hAnsi="Times New Roman"/>
          <w:bCs/>
          <w:color w:val="0000FF"/>
          <w:sz w:val="24"/>
          <w:highlight w:val="none"/>
        </w:rPr>
        <w:t>Fig. S2</w:t>
      </w:r>
      <w:r>
        <w:rPr>
          <w:rFonts w:hint="eastAsia" w:ascii="Times New Roman" w:hAnsi="Times New Roman"/>
          <w:bCs/>
          <w:sz w:val="24"/>
          <w:highlight w:val="none"/>
        </w:rPr>
        <w:t>). Nitrogen mass balance is used to calculate and quantify N inputs and outputs, and then to determine if the system is an N source (input &lt; output) or a sink (output &lt; input) . The N balance calculations of the whole system, and for each subsystem follow the basic principle:</w:t>
      </w:r>
    </w:p>
    <w:p>
      <w:pPr>
        <w:spacing w:line="300" w:lineRule="auto"/>
        <w:jc w:val="right"/>
        <w:rPr>
          <w:highlight w:val="none"/>
        </w:rPr>
      </w:pPr>
    </w:p>
    <w:p>
      <w:pPr>
        <w:spacing w:line="300" w:lineRule="auto"/>
        <w:jc w:val="right"/>
        <w:rPr>
          <w:rFonts w:ascii="宋体" w:hAnsi="宋体" w:cs="宋体"/>
          <w:position w:val="-30"/>
          <w:sz w:val="24"/>
          <w:highlight w:val="none"/>
        </w:rPr>
      </w:pPr>
      <w:r>
        <w:rPr>
          <w:rFonts w:ascii="宋体" w:hAnsi="宋体" w:cs="宋体"/>
          <w:position w:val="-12"/>
          <w:sz w:val="24"/>
          <w:highlight w:val="none"/>
        </w:rPr>
        <w:object>
          <v:shape id="_x0000_i1031" o:spt="75" type="#_x0000_t75" style="height:19pt;width:72pt;" o:ole="t" filled="f" o:preferrelative="t" stroked="f" coordsize="21600,21600">
            <v:path/>
            <v:fill on="f" focussize="0,0"/>
            <v:stroke on="f" joinstyle="miter"/>
            <v:imagedata r:id="rId18" o:title=""/>
            <o:lock v:ext="edit" aspectratio="t"/>
            <w10:wrap type="none"/>
            <w10:anchorlock/>
          </v:shape>
          <o:OLEObject Type="Embed" ProgID="Equation.KSEE3" ShapeID="_x0000_i1031" DrawAspect="Content" ObjectID="_1468075731" r:id="rId17">
            <o:LockedField>false</o:LockedField>
          </o:OLEObject>
        </w:object>
      </w:r>
      <w:r>
        <w:rPr>
          <w:position w:val="-30"/>
          <w:highlight w:val="none"/>
        </w:rPr>
        <w:object>
          <v:shape id="_x0000_i1032" o:spt="75" type="#_x0000_t75" style="height:36pt;width:163pt;" o:ole="t" filled="f" o:preferrelative="t" stroked="f" coordsize="21600,21600">
            <v:path/>
            <v:fill on="f" focussize="0,0"/>
            <v:stroke on="f" joinstyle="miter"/>
            <v:imagedata r:id="rId20" o:title=""/>
            <o:lock v:ext="edit" aspectratio="t"/>
            <w10:wrap type="none"/>
            <w10:anchorlock/>
          </v:shape>
          <o:OLEObject Type="Embed" ProgID="Equation.KSEE3" ShapeID="_x0000_i1032" DrawAspect="Content" ObjectID="_1468075732" r:id="rId19">
            <o:LockedField>false</o:LockedField>
          </o:OLEObject>
        </w:object>
      </w:r>
      <w:r>
        <w:rPr>
          <w:rFonts w:hint="eastAsia"/>
          <w:highlight w:val="none"/>
        </w:rPr>
        <w:t xml:space="preserve">                      (7)</w:t>
      </w:r>
    </w:p>
    <w:p>
      <w:pPr>
        <w:spacing w:line="300" w:lineRule="auto"/>
        <w:rPr>
          <w:rFonts w:ascii="Times New Roman" w:hAnsi="Times New Roman"/>
          <w:bCs/>
          <w:sz w:val="24"/>
          <w:highlight w:val="none"/>
        </w:rPr>
      </w:pPr>
      <w:r>
        <w:rPr>
          <w:rFonts w:ascii="Times New Roman" w:hAnsi="Times New Roman"/>
          <w:bCs/>
          <w:sz w:val="24"/>
          <w:highlight w:val="none"/>
        </w:rPr>
        <w:t xml:space="preserve">where </w:t>
      </w:r>
      <w:r>
        <w:rPr>
          <w:rFonts w:ascii="Times New Roman" w:hAnsi="Times New Roman"/>
          <w:bCs/>
          <w:i/>
          <w:iCs/>
          <w:sz w:val="24"/>
          <w:highlight w:val="none"/>
        </w:rPr>
        <w:t>IN</w:t>
      </w:r>
      <w:r>
        <w:rPr>
          <w:rFonts w:ascii="Times New Roman" w:hAnsi="Times New Roman"/>
          <w:bCs/>
          <w:i/>
          <w:iCs/>
          <w:sz w:val="24"/>
          <w:highlight w:val="none"/>
          <w:vertAlign w:val="subscript"/>
        </w:rPr>
        <w:t>h</w:t>
      </w:r>
      <w:r>
        <w:rPr>
          <w:rFonts w:ascii="Times New Roman" w:hAnsi="Times New Roman"/>
          <w:bCs/>
          <w:sz w:val="24"/>
          <w:highlight w:val="none"/>
        </w:rPr>
        <w:t xml:space="preserve"> and </w:t>
      </w:r>
      <w:r>
        <w:rPr>
          <w:rFonts w:ascii="Times New Roman" w:hAnsi="Times New Roman"/>
          <w:bCs/>
          <w:i/>
          <w:iCs/>
          <w:sz w:val="24"/>
          <w:highlight w:val="none"/>
        </w:rPr>
        <w:t>OUT</w:t>
      </w:r>
      <w:r>
        <w:rPr>
          <w:rFonts w:ascii="Times New Roman" w:hAnsi="Times New Roman"/>
          <w:bCs/>
          <w:i/>
          <w:iCs/>
          <w:sz w:val="24"/>
          <w:highlight w:val="none"/>
          <w:vertAlign w:val="subscript"/>
        </w:rPr>
        <w:t>g</w:t>
      </w:r>
      <w:r>
        <w:rPr>
          <w:rFonts w:ascii="Times New Roman" w:hAnsi="Times New Roman"/>
          <w:bCs/>
          <w:sz w:val="24"/>
          <w:highlight w:val="none"/>
        </w:rPr>
        <w:t xml:space="preserve"> represent N inputs and outputs, respectively, and </w:t>
      </w:r>
      <w:r>
        <w:rPr>
          <w:rFonts w:ascii="Times New Roman" w:hAnsi="Times New Roman"/>
          <w:bCs/>
          <w:i/>
          <w:iCs/>
          <w:sz w:val="24"/>
          <w:highlight w:val="none"/>
        </w:rPr>
        <w:t>A</w:t>
      </w:r>
      <w:r>
        <w:rPr>
          <w:rFonts w:hint="eastAsia" w:ascii="Times New Roman" w:hAnsi="Times New Roman"/>
          <w:bCs/>
          <w:i/>
          <w:iCs/>
          <w:sz w:val="24"/>
          <w:highlight w:val="none"/>
        </w:rPr>
        <w:t>CC</w:t>
      </w:r>
      <w:r>
        <w:rPr>
          <w:rFonts w:ascii="Times New Roman" w:hAnsi="Times New Roman"/>
          <w:bCs/>
          <w:i/>
          <w:iCs/>
          <w:sz w:val="24"/>
          <w:highlight w:val="none"/>
          <w:vertAlign w:val="subscript"/>
        </w:rPr>
        <w:t>k</w:t>
      </w:r>
      <w:r>
        <w:rPr>
          <w:rFonts w:ascii="Times New Roman" w:hAnsi="Times New Roman"/>
          <w:bCs/>
          <w:sz w:val="24"/>
          <w:highlight w:val="none"/>
        </w:rPr>
        <w:t xml:space="preserve"> represents the different N</w:t>
      </w:r>
      <w:r>
        <w:rPr>
          <w:rFonts w:hint="eastAsia" w:ascii="Times New Roman" w:hAnsi="Times New Roman"/>
          <w:bCs/>
          <w:sz w:val="24"/>
          <w:highlight w:val="none"/>
        </w:rPr>
        <w:t xml:space="preserve"> </w:t>
      </w:r>
      <w:r>
        <w:rPr>
          <w:rFonts w:ascii="Times New Roman" w:hAnsi="Times New Roman"/>
          <w:bCs/>
          <w:sz w:val="24"/>
          <w:highlight w:val="none"/>
        </w:rPr>
        <w:t>accumulation terms. Most N input cycles into</w:t>
      </w:r>
      <w:r>
        <w:rPr>
          <w:rFonts w:hint="eastAsia" w:ascii="Times New Roman" w:hAnsi="Times New Roman"/>
          <w:bCs/>
          <w:sz w:val="24"/>
          <w:highlight w:val="none"/>
        </w:rPr>
        <w:t xml:space="preserve"> </w:t>
      </w:r>
      <w:r>
        <w:rPr>
          <w:rFonts w:ascii="Times New Roman" w:hAnsi="Times New Roman"/>
          <w:bCs/>
          <w:sz w:val="24"/>
          <w:highlight w:val="none"/>
        </w:rPr>
        <w:t>different subsystems, for example NO</w:t>
      </w:r>
      <w:r>
        <w:rPr>
          <w:rFonts w:ascii="Times New Roman" w:hAnsi="Times New Roman"/>
          <w:bCs/>
          <w:sz w:val="24"/>
          <w:highlight w:val="none"/>
          <w:vertAlign w:val="subscript"/>
        </w:rPr>
        <w:t>x</w:t>
      </w:r>
      <w:r>
        <w:rPr>
          <w:rFonts w:ascii="Times New Roman" w:hAnsi="Times New Roman"/>
          <w:bCs/>
          <w:sz w:val="24"/>
          <w:highlight w:val="none"/>
        </w:rPr>
        <w:t xml:space="preserve"> emission from fossil fuel combustion further deposits onto three major</w:t>
      </w:r>
      <w:r>
        <w:rPr>
          <w:rFonts w:hint="eastAsia" w:ascii="Times New Roman" w:hAnsi="Times New Roman"/>
          <w:bCs/>
          <w:sz w:val="24"/>
          <w:highlight w:val="none"/>
        </w:rPr>
        <w:t xml:space="preserve"> </w:t>
      </w:r>
      <w:r>
        <w:rPr>
          <w:rFonts w:ascii="Times New Roman" w:hAnsi="Times New Roman"/>
          <w:bCs/>
          <w:sz w:val="24"/>
          <w:highlight w:val="none"/>
        </w:rPr>
        <w:t>landscapes, natural land (i.e., forest, grassland), water bodies and cropland.</w:t>
      </w:r>
      <w:r>
        <w:rPr>
          <w:rFonts w:hint="eastAsia" w:ascii="Times New Roman" w:hAnsi="Times New Roman"/>
          <w:bCs/>
          <w:sz w:val="24"/>
          <w:highlight w:val="none"/>
        </w:rPr>
        <w:t xml:space="preserve"> </w:t>
      </w:r>
      <w:r>
        <w:rPr>
          <w:rFonts w:ascii="Times New Roman" w:hAnsi="Times New Roman"/>
          <w:bCs/>
          <w:sz w:val="24"/>
          <w:highlight w:val="none"/>
        </w:rPr>
        <w:t xml:space="preserve">The nitrogen cycling processes within and between different subsystems are described in detail in </w:t>
      </w:r>
      <w:r>
        <w:rPr>
          <w:rFonts w:hint="eastAsia" w:ascii="Times New Roman" w:hAnsi="Times New Roman"/>
          <w:bCs/>
          <w:sz w:val="24"/>
          <w:highlight w:val="none"/>
        </w:rPr>
        <w:t>past studies</w:t>
      </w:r>
      <w:r>
        <w:rPr>
          <w:rFonts w:hint="eastAsia" w:ascii="Times New Roman" w:hAnsi="Times New Roman"/>
          <w:bCs/>
          <w:sz w:val="24"/>
          <w:highlight w:val="none"/>
        </w:rPr>
        <w:fldChar w:fldCharType="begin"/>
      </w:r>
      <w:r>
        <w:rPr>
          <w:rFonts w:hint="eastAsia" w:ascii="Times New Roman" w:hAnsi="Times New Roman"/>
          <w:bCs/>
          <w:sz w:val="24"/>
          <w:highlight w:val="none"/>
          <w:lang w:eastAsia="zh-CN"/>
        </w:rPr>
        <w:instrText xml:space="preserve"> ADDIN NE.Ref.{A6F4DF6F-7051-4FDE-A208-64CE337836E1}</w:instrText>
      </w:r>
      <w:r>
        <w:rPr>
          <w:rFonts w:hint="eastAsia" w:ascii="Times New Roman" w:hAnsi="Times New Roman"/>
          <w:bCs/>
          <w:sz w:val="24"/>
          <w:highlight w:val="none"/>
        </w:rPr>
        <w:fldChar w:fldCharType="separate"/>
      </w:r>
      <w:r>
        <w:rPr>
          <w:rFonts w:hint="eastAsia" w:ascii="宋体" w:hAnsi="宋体"/>
          <w:color w:val="080000"/>
          <w:sz w:val="21"/>
          <w:szCs w:val="24"/>
          <w:highlight w:val="none"/>
          <w:vertAlign w:val="superscript"/>
        </w:rPr>
        <w:t>5,6</w:t>
      </w:r>
      <w:r>
        <w:rPr>
          <w:rFonts w:hint="eastAsia" w:ascii="Times New Roman" w:hAnsi="Times New Roman"/>
          <w:bCs/>
          <w:sz w:val="24"/>
          <w:highlight w:val="none"/>
        </w:rPr>
        <w:fldChar w:fldCharType="end"/>
      </w:r>
      <w:r>
        <w:rPr>
          <w:rFonts w:ascii="Times New Roman" w:hAnsi="Times New Roman"/>
          <w:bCs/>
          <w:sz w:val="24"/>
          <w:highlight w:val="none"/>
        </w:rPr>
        <w:t xml:space="preserve">. In this study, to make the human system more responsive to urbanization, the original human system was divided into urban and rural </w:t>
      </w:r>
      <w:r>
        <w:rPr>
          <w:rFonts w:hint="eastAsia" w:ascii="Times New Roman" w:hAnsi="Times New Roman"/>
          <w:bCs/>
          <w:sz w:val="24"/>
          <w:highlight w:val="none"/>
        </w:rPr>
        <w:t>sub</w:t>
      </w:r>
      <w:r>
        <w:rPr>
          <w:rFonts w:ascii="Times New Roman" w:hAnsi="Times New Roman"/>
          <w:bCs/>
          <w:sz w:val="24"/>
          <w:highlight w:val="none"/>
        </w:rPr>
        <w:t>systems (</w:t>
      </w:r>
      <w:r>
        <w:rPr>
          <w:rFonts w:hint="eastAsia" w:ascii="Times New Roman" w:hAnsi="Times New Roman"/>
          <w:bCs/>
          <w:color w:val="0000FF"/>
          <w:sz w:val="24"/>
          <w:highlight w:val="none"/>
        </w:rPr>
        <w:t>Extended Fig.</w:t>
      </w:r>
      <w:r>
        <w:rPr>
          <w:rFonts w:hint="eastAsia" w:ascii="Times New Roman" w:hAnsi="Times New Roman"/>
          <w:bCs/>
          <w:color w:val="0000FF"/>
          <w:sz w:val="24"/>
          <w:highlight w:val="none"/>
          <w:lang w:val="en-US" w:eastAsia="zh-CN"/>
        </w:rPr>
        <w:t xml:space="preserve"> </w:t>
      </w:r>
      <w:r>
        <w:rPr>
          <w:rFonts w:hint="eastAsia" w:ascii="Times New Roman" w:hAnsi="Times New Roman"/>
          <w:bCs/>
          <w:color w:val="0000FF"/>
          <w:sz w:val="24"/>
          <w:highlight w:val="none"/>
        </w:rPr>
        <w:t>S3</w:t>
      </w:r>
      <w:r>
        <w:rPr>
          <w:rFonts w:ascii="Times New Roman" w:hAnsi="Times New Roman"/>
          <w:bCs/>
          <w:sz w:val="24"/>
          <w:highlight w:val="none"/>
        </w:rPr>
        <w:t>). At the same time, nitrogen cycling processes were constructed for the urban and rural systems (</w:t>
      </w:r>
      <w:r>
        <w:rPr>
          <w:rFonts w:ascii="Times New Roman" w:hAnsi="Times New Roman"/>
          <w:bCs/>
          <w:color w:val="0000FF"/>
          <w:sz w:val="24"/>
          <w:highlight w:val="none"/>
        </w:rPr>
        <w:t xml:space="preserve">Equations </w:t>
      </w:r>
      <w:r>
        <w:rPr>
          <w:rFonts w:hint="eastAsia" w:ascii="Times New Roman" w:hAnsi="Times New Roman"/>
          <w:bCs/>
          <w:color w:val="0000FF"/>
          <w:sz w:val="24"/>
          <w:highlight w:val="none"/>
        </w:rPr>
        <w:t>8-11</w:t>
      </w:r>
      <w:r>
        <w:rPr>
          <w:rFonts w:ascii="Times New Roman" w:hAnsi="Times New Roman"/>
          <w:bCs/>
          <w:sz w:val="24"/>
          <w:highlight w:val="none"/>
        </w:rPr>
        <w:t>), and activity data and parameters were collected</w:t>
      </w:r>
      <w:r>
        <w:rPr>
          <w:rFonts w:hint="eastAsia" w:ascii="Times New Roman" w:hAnsi="Times New Roman"/>
          <w:bCs/>
          <w:sz w:val="24"/>
          <w:highlight w:val="none"/>
        </w:rPr>
        <w:t xml:space="preserve"> </w:t>
      </w:r>
      <w:r>
        <w:rPr>
          <w:rFonts w:ascii="Times New Roman" w:hAnsi="Times New Roman"/>
          <w:bCs/>
          <w:sz w:val="24"/>
          <w:highlight w:val="none"/>
        </w:rPr>
        <w:t>(</w:t>
      </w:r>
      <w:r>
        <w:rPr>
          <w:rFonts w:ascii="Times New Roman" w:hAnsi="Times New Roman"/>
          <w:bCs/>
          <w:color w:val="0000FF"/>
          <w:sz w:val="24"/>
          <w:highlight w:val="none"/>
        </w:rPr>
        <w:t>see Table</w:t>
      </w:r>
      <w:r>
        <w:rPr>
          <w:rFonts w:hint="eastAsia" w:ascii="Times New Roman" w:hAnsi="Times New Roman"/>
          <w:bCs/>
          <w:color w:val="0000FF"/>
          <w:sz w:val="24"/>
          <w:highlight w:val="none"/>
        </w:rPr>
        <w:t xml:space="preserve"> S11</w:t>
      </w:r>
      <w:r>
        <w:rPr>
          <w:rFonts w:ascii="Times New Roman" w:hAnsi="Times New Roman"/>
          <w:bCs/>
          <w:color w:val="0000FF"/>
          <w:sz w:val="24"/>
          <w:highlight w:val="none"/>
        </w:rPr>
        <w:t xml:space="preserve"> for details</w:t>
      </w:r>
      <w:r>
        <w:rPr>
          <w:rFonts w:ascii="Times New Roman" w:hAnsi="Times New Roman"/>
          <w:bCs/>
          <w:sz w:val="24"/>
          <w:highlight w:val="none"/>
        </w:rPr>
        <w:t>).</w:t>
      </w:r>
      <w:r>
        <w:rPr>
          <w:rFonts w:hint="eastAsia" w:ascii="Times New Roman" w:hAnsi="Times New Roman"/>
          <w:bCs/>
          <w:sz w:val="24"/>
          <w:highlight w:val="none"/>
        </w:rPr>
        <w:t xml:space="preserve"> </w:t>
      </w:r>
    </w:p>
    <w:p>
      <w:pPr>
        <w:spacing w:line="300" w:lineRule="auto"/>
        <w:jc w:val="right"/>
        <w:rPr>
          <w:highlight w:val="none"/>
        </w:rPr>
      </w:pPr>
      <w:r>
        <w:rPr>
          <w:position w:val="-28"/>
          <w:highlight w:val="none"/>
        </w:rPr>
        <w:object>
          <v:shape id="_x0000_i1033" o:spt="75" type="#_x0000_t75" style="height:35pt;width:214pt;" o:ole="t" filled="f" o:preferrelative="t" stroked="f" coordsize="21600,21600">
            <v:path/>
            <v:fill on="f" focussize="0,0"/>
            <v:stroke on="f" joinstyle="miter"/>
            <v:imagedata r:id="rId22" o:title=""/>
            <o:lock v:ext="edit" aspectratio="t"/>
            <w10:wrap type="none"/>
            <w10:anchorlock/>
          </v:shape>
          <o:OLEObject Type="Embed" ProgID="Equation.KSEE3" ShapeID="_x0000_i1033" DrawAspect="Content" ObjectID="_1468075733" r:id="rId21">
            <o:LockedField>false</o:LockedField>
          </o:OLEObject>
        </w:object>
      </w:r>
      <w:r>
        <w:rPr>
          <w:rFonts w:hint="eastAsia"/>
          <w:highlight w:val="none"/>
        </w:rPr>
        <w:t xml:space="preserve">                  (8)</w:t>
      </w:r>
    </w:p>
    <w:p>
      <w:pPr>
        <w:tabs>
          <w:tab w:val="left" w:pos="7143"/>
        </w:tabs>
        <w:spacing w:line="300" w:lineRule="auto"/>
        <w:jc w:val="right"/>
        <w:rPr>
          <w:highlight w:val="none"/>
        </w:rPr>
      </w:pPr>
      <w:r>
        <w:rPr>
          <w:position w:val="-28"/>
          <w:highlight w:val="none"/>
        </w:rPr>
        <w:object>
          <v:shape id="_x0000_i1034" o:spt="75" type="#_x0000_t75" style="height:35pt;width:171pt;" o:ole="t" filled="f" o:preferrelative="t" stroked="f" coordsize="21600,21600">
            <v:path/>
            <v:fill on="f" focussize="0,0"/>
            <v:stroke on="f" joinstyle="miter"/>
            <v:imagedata r:id="rId24" o:title=""/>
            <o:lock v:ext="edit" aspectratio="t"/>
            <w10:wrap type="none"/>
            <w10:anchorlock/>
          </v:shape>
          <o:OLEObject Type="Embed" ProgID="Equation.KSEE3" ShapeID="_x0000_i1034" DrawAspect="Content" ObjectID="_1468075734" r:id="rId23">
            <o:LockedField>false</o:LockedField>
          </o:OLEObject>
        </w:object>
      </w:r>
      <w:r>
        <w:rPr>
          <w:rFonts w:hint="eastAsia"/>
          <w:highlight w:val="none"/>
        </w:rPr>
        <w:t xml:space="preserve">                           (9)</w:t>
      </w:r>
    </w:p>
    <w:p>
      <w:pPr>
        <w:tabs>
          <w:tab w:val="left" w:pos="7143"/>
        </w:tabs>
        <w:spacing w:line="300" w:lineRule="auto"/>
        <w:jc w:val="right"/>
        <w:rPr>
          <w:highlight w:val="none"/>
        </w:rPr>
      </w:pPr>
      <w:r>
        <w:rPr>
          <w:position w:val="-28"/>
          <w:highlight w:val="none"/>
        </w:rPr>
        <w:object>
          <v:shape id="_x0000_i1035" o:spt="75" type="#_x0000_t75" style="height:35pt;width:258.95pt;" o:ole="t" filled="f" o:preferrelative="t" stroked="f" coordsize="21600,21600">
            <v:path/>
            <v:fill on="f" focussize="0,0"/>
            <v:stroke on="f" joinstyle="miter"/>
            <v:imagedata r:id="rId26" o:title=""/>
            <o:lock v:ext="edit" aspectratio="t"/>
            <w10:wrap type="none"/>
            <w10:anchorlock/>
          </v:shape>
          <o:OLEObject Type="Embed" ProgID="Equation.KSEE3" ShapeID="_x0000_i1035" DrawAspect="Content" ObjectID="_1468075735" r:id="rId25">
            <o:LockedField>false</o:LockedField>
          </o:OLEObject>
        </w:object>
      </w:r>
      <w:r>
        <w:rPr>
          <w:rFonts w:hint="eastAsia"/>
          <w:highlight w:val="none"/>
        </w:rPr>
        <w:t xml:space="preserve">           (10)</w:t>
      </w:r>
    </w:p>
    <w:p>
      <w:pPr>
        <w:tabs>
          <w:tab w:val="left" w:pos="7143"/>
        </w:tabs>
        <w:spacing w:line="300" w:lineRule="auto"/>
        <w:jc w:val="right"/>
        <w:rPr>
          <w:highlight w:val="none"/>
        </w:rPr>
      </w:pPr>
      <w:r>
        <w:rPr>
          <w:position w:val="-28"/>
          <w:highlight w:val="none"/>
        </w:rPr>
        <w:object>
          <v:shape id="_x0000_i1036" o:spt="75" type="#_x0000_t75" style="height:35pt;width:347pt;" o:ole="t" filled="f" o:preferrelative="t" stroked="f" coordsize="21600,21600">
            <v:path/>
            <v:fill on="f" focussize="0,0"/>
            <v:stroke on="f" joinstyle="miter"/>
            <v:imagedata r:id="rId28" o:title=""/>
            <o:lock v:ext="edit" aspectratio="t"/>
            <w10:wrap type="none"/>
            <w10:anchorlock/>
          </v:shape>
          <o:OLEObject Type="Embed" ProgID="Equation.KSEE3" ShapeID="_x0000_i1036" DrawAspect="Content" ObjectID="_1468075736" r:id="rId27">
            <o:LockedField>false</o:LockedField>
          </o:OLEObject>
        </w:object>
      </w:r>
      <w:r>
        <w:rPr>
          <w:rFonts w:hint="eastAsia"/>
          <w:highlight w:val="none"/>
        </w:rPr>
        <w:t xml:space="preserve">   (11)</w:t>
      </w:r>
    </w:p>
    <w:p>
      <w:pPr>
        <w:spacing w:line="300" w:lineRule="auto"/>
        <w:rPr>
          <w:rFonts w:ascii="Times New Roman" w:hAnsi="Times New Roman"/>
          <w:sz w:val="24"/>
          <w:highlight w:val="none"/>
        </w:rPr>
      </w:pPr>
      <w:r>
        <w:rPr>
          <w:rFonts w:hint="eastAsia" w:ascii="Times New Roman" w:hAnsi="Times New Roman"/>
          <w:sz w:val="24"/>
          <w:highlight w:val="none"/>
        </w:rPr>
        <w:t xml:space="preserve">Where </w:t>
      </w:r>
      <w:r>
        <w:rPr>
          <w:rFonts w:hint="eastAsia" w:ascii="Times New Roman" w:hAnsi="Times New Roman"/>
          <w:i/>
          <w:iCs/>
          <w:sz w:val="24"/>
          <w:highlight w:val="none"/>
        </w:rPr>
        <w:t>UIN</w:t>
      </w:r>
      <w:r>
        <w:rPr>
          <w:rFonts w:hint="eastAsia" w:ascii="Times New Roman" w:hAnsi="Times New Roman"/>
          <w:sz w:val="24"/>
          <w:highlight w:val="none"/>
        </w:rPr>
        <w:t xml:space="preserve"> and </w:t>
      </w:r>
      <w:r>
        <w:rPr>
          <w:rFonts w:hint="eastAsia" w:ascii="Times New Roman" w:hAnsi="Times New Roman"/>
          <w:i/>
          <w:iCs/>
          <w:sz w:val="24"/>
          <w:highlight w:val="none"/>
        </w:rPr>
        <w:t>RIN</w:t>
      </w:r>
      <w:r>
        <w:rPr>
          <w:rFonts w:hint="eastAsia" w:ascii="Times New Roman" w:hAnsi="Times New Roman"/>
          <w:sz w:val="24"/>
          <w:highlight w:val="none"/>
        </w:rPr>
        <w:t xml:space="preserve"> represent the input of nitrogen into urban and rural subsystems, respectively. </w:t>
      </w:r>
      <w:r>
        <w:rPr>
          <w:rFonts w:hint="eastAsia" w:ascii="Times New Roman" w:hAnsi="Times New Roman"/>
          <w:i/>
          <w:iCs/>
          <w:sz w:val="24"/>
          <w:highlight w:val="none"/>
        </w:rPr>
        <w:t>UOUT</w:t>
      </w:r>
      <w:r>
        <w:rPr>
          <w:rFonts w:hint="eastAsia" w:ascii="Times New Roman" w:hAnsi="Times New Roman"/>
          <w:sz w:val="24"/>
          <w:highlight w:val="none"/>
        </w:rPr>
        <w:t xml:space="preserve"> and </w:t>
      </w:r>
      <w:r>
        <w:rPr>
          <w:rFonts w:hint="eastAsia" w:ascii="Times New Roman" w:hAnsi="Times New Roman"/>
          <w:i/>
          <w:iCs/>
          <w:sz w:val="24"/>
          <w:highlight w:val="none"/>
        </w:rPr>
        <w:t>ROUT</w:t>
      </w:r>
      <w:r>
        <w:rPr>
          <w:rFonts w:hint="eastAsia" w:ascii="Times New Roman" w:hAnsi="Times New Roman"/>
          <w:sz w:val="24"/>
          <w:highlight w:val="none"/>
        </w:rPr>
        <w:t xml:space="preserve"> represent the output of nitrogen from urban and rural subsystems, respectively. </w:t>
      </w:r>
      <w:r>
        <w:rPr>
          <w:rFonts w:hint="eastAsia" w:ascii="Times New Roman" w:hAnsi="Times New Roman"/>
          <w:i/>
          <w:iCs/>
          <w:sz w:val="24"/>
          <w:highlight w:val="none"/>
        </w:rPr>
        <w:t>UFood</w:t>
      </w:r>
      <w:r>
        <w:rPr>
          <w:rFonts w:hint="eastAsia" w:ascii="Times New Roman" w:hAnsi="Times New Roman"/>
          <w:i/>
          <w:iCs/>
          <w:sz w:val="24"/>
          <w:highlight w:val="none"/>
          <w:vertAlign w:val="subscript"/>
        </w:rPr>
        <w:t>a</w:t>
      </w:r>
      <w:r>
        <w:rPr>
          <w:rFonts w:hint="eastAsia" w:ascii="Times New Roman" w:hAnsi="Times New Roman"/>
          <w:sz w:val="24"/>
          <w:highlight w:val="none"/>
        </w:rPr>
        <w:t xml:space="preserve"> and </w:t>
      </w:r>
      <w:r>
        <w:rPr>
          <w:rFonts w:hint="eastAsia" w:ascii="Times New Roman" w:hAnsi="Times New Roman"/>
          <w:i/>
          <w:iCs/>
          <w:sz w:val="24"/>
          <w:highlight w:val="none"/>
        </w:rPr>
        <w:t>RFood</w:t>
      </w:r>
      <w:r>
        <w:rPr>
          <w:rFonts w:hint="eastAsia" w:ascii="Times New Roman" w:hAnsi="Times New Roman"/>
          <w:i/>
          <w:iCs/>
          <w:sz w:val="24"/>
          <w:highlight w:val="none"/>
          <w:vertAlign w:val="subscript"/>
        </w:rPr>
        <w:t>a</w:t>
      </w:r>
      <w:r>
        <w:rPr>
          <w:rFonts w:hint="eastAsia" w:ascii="Times New Roman" w:hAnsi="Times New Roman"/>
          <w:sz w:val="24"/>
          <w:highlight w:val="none"/>
        </w:rPr>
        <w:t xml:space="preserve"> refer to the consumption of  human food in urban and rural, including crop, livestock product (meat and milk) and aquaculture product (fish and others), respectively. </w:t>
      </w:r>
      <w:r>
        <w:rPr>
          <w:rFonts w:hint="eastAsia" w:ascii="Times New Roman" w:hAnsi="Times New Roman"/>
          <w:i/>
          <w:iCs/>
          <w:color w:val="000000" w:themeColor="text1"/>
          <w:sz w:val="24"/>
          <w:highlight w:val="none"/>
          <w14:textFill>
            <w14:solidFill>
              <w14:schemeClr w14:val="tx1"/>
            </w14:solidFill>
          </w14:textFill>
        </w:rPr>
        <w:t>UIndu</w:t>
      </w:r>
      <w:r>
        <w:rPr>
          <w:rFonts w:hint="eastAsia" w:ascii="Times New Roman" w:hAnsi="Times New Roman"/>
          <w:i/>
          <w:iCs/>
          <w:color w:val="000000" w:themeColor="text1"/>
          <w:sz w:val="24"/>
          <w:highlight w:val="none"/>
          <w:vertAlign w:val="subscript"/>
          <w14:textFill>
            <w14:solidFill>
              <w14:schemeClr w14:val="tx1"/>
            </w14:solidFill>
          </w14:textFill>
        </w:rPr>
        <w:t>b</w:t>
      </w:r>
      <w:r>
        <w:rPr>
          <w:rFonts w:hint="eastAsia" w:ascii="Times New Roman" w:hAnsi="Times New Roman"/>
          <w:color w:val="000000" w:themeColor="text1"/>
          <w:sz w:val="24"/>
          <w:highlight w:val="none"/>
          <w14:textFill>
            <w14:solidFill>
              <w14:schemeClr w14:val="tx1"/>
            </w14:solidFill>
          </w14:textFill>
        </w:rPr>
        <w:t xml:space="preserve"> and </w:t>
      </w:r>
      <w:r>
        <w:rPr>
          <w:rFonts w:hint="eastAsia" w:ascii="Times New Roman" w:hAnsi="Times New Roman"/>
          <w:i/>
          <w:iCs/>
          <w:color w:val="000000" w:themeColor="text1"/>
          <w:sz w:val="24"/>
          <w:highlight w:val="none"/>
          <w14:textFill>
            <w14:solidFill>
              <w14:schemeClr w14:val="tx1"/>
            </w14:solidFill>
          </w14:textFill>
        </w:rPr>
        <w:t>RIndu</w:t>
      </w:r>
      <w:r>
        <w:rPr>
          <w:rFonts w:hint="eastAsia" w:ascii="Times New Roman" w:hAnsi="Times New Roman"/>
          <w:i/>
          <w:iCs/>
          <w:color w:val="000000" w:themeColor="text1"/>
          <w:sz w:val="24"/>
          <w:highlight w:val="none"/>
          <w:vertAlign w:val="subscript"/>
          <w14:textFill>
            <w14:solidFill>
              <w14:schemeClr w14:val="tx1"/>
            </w14:solidFill>
          </w14:textFill>
        </w:rPr>
        <w:t>b</w:t>
      </w:r>
      <w:r>
        <w:rPr>
          <w:rFonts w:hint="eastAsia" w:ascii="Times New Roman" w:hAnsi="Times New Roman"/>
          <w:color w:val="000000" w:themeColor="text1"/>
          <w:sz w:val="24"/>
          <w:highlight w:val="none"/>
          <w14:textFill>
            <w14:solidFill>
              <w14:schemeClr w14:val="tx1"/>
            </w14:solidFill>
          </w14:textFill>
        </w:rPr>
        <w:t xml:space="preserve"> represent the consumption of industrial product in urban and rural, respectively. </w:t>
      </w:r>
      <w:r>
        <w:rPr>
          <w:rFonts w:hint="eastAsia" w:ascii="Times New Roman" w:hAnsi="Times New Roman"/>
          <w:i/>
          <w:iCs/>
          <w:color w:val="000000" w:themeColor="text1"/>
          <w:sz w:val="24"/>
          <w:highlight w:val="none"/>
          <w14:textFill>
            <w14:solidFill>
              <w14:schemeClr w14:val="tx1"/>
            </w14:solidFill>
          </w14:textFill>
        </w:rPr>
        <w:t>UFue</w:t>
      </w:r>
      <w:r>
        <w:rPr>
          <w:rFonts w:hint="eastAsia" w:ascii="Times New Roman" w:hAnsi="Times New Roman"/>
          <w:color w:val="000000" w:themeColor="text1"/>
          <w:sz w:val="24"/>
          <w:highlight w:val="none"/>
          <w14:textFill>
            <w14:solidFill>
              <w14:schemeClr w14:val="tx1"/>
            </w14:solidFill>
          </w14:textFill>
        </w:rPr>
        <w:t xml:space="preserve"> and </w:t>
      </w:r>
      <w:r>
        <w:rPr>
          <w:rFonts w:hint="eastAsia" w:ascii="Times New Roman" w:hAnsi="Times New Roman"/>
          <w:i/>
          <w:iCs/>
          <w:color w:val="000000" w:themeColor="text1"/>
          <w:sz w:val="24"/>
          <w:highlight w:val="none"/>
          <w14:textFill>
            <w14:solidFill>
              <w14:schemeClr w14:val="tx1"/>
            </w14:solidFill>
          </w14:textFill>
        </w:rPr>
        <w:t xml:space="preserve">RFuel </w:t>
      </w:r>
      <w:r>
        <w:rPr>
          <w:rFonts w:hint="eastAsia" w:ascii="Times New Roman" w:hAnsi="Times New Roman"/>
          <w:color w:val="000000" w:themeColor="text1"/>
          <w:sz w:val="24"/>
          <w:highlight w:val="none"/>
          <w14:textFill>
            <w14:solidFill>
              <w14:schemeClr w14:val="tx1"/>
            </w14:solidFill>
          </w14:textFill>
        </w:rPr>
        <w:t xml:space="preserve">represent the the consumption of fossil fuels in urban and rural, respectively. RStr refer to the straw input in rural. </w:t>
      </w:r>
      <w:r>
        <w:rPr>
          <w:rFonts w:hint="eastAsia" w:ascii="Times New Roman" w:hAnsi="Times New Roman"/>
          <w:i/>
          <w:iCs/>
          <w:color w:val="000000" w:themeColor="text1"/>
          <w:sz w:val="24"/>
          <w:highlight w:val="none"/>
          <w14:textFill>
            <w14:solidFill>
              <w14:schemeClr w14:val="tx1"/>
            </w14:solidFill>
          </w14:textFill>
        </w:rPr>
        <w:t>UWTP</w:t>
      </w:r>
      <w:r>
        <w:rPr>
          <w:rFonts w:hint="eastAsia" w:ascii="Times New Roman" w:hAnsi="Times New Roman"/>
          <w:i/>
          <w:iCs/>
          <w:color w:val="000000" w:themeColor="text1"/>
          <w:sz w:val="24"/>
          <w:highlight w:val="none"/>
          <w:vertAlign w:val="subscript"/>
          <w14:textFill>
            <w14:solidFill>
              <w14:schemeClr w14:val="tx1"/>
            </w14:solidFill>
          </w14:textFill>
        </w:rPr>
        <w:t>c</w:t>
      </w:r>
      <w:r>
        <w:rPr>
          <w:rFonts w:hint="eastAsia" w:ascii="Times New Roman" w:hAnsi="Times New Roman"/>
          <w:color w:val="000000" w:themeColor="text1"/>
          <w:sz w:val="24"/>
          <w:highlight w:val="none"/>
          <w14:textFill>
            <w14:solidFill>
              <w14:schemeClr w14:val="tx1"/>
            </w14:solidFill>
          </w14:textFill>
        </w:rPr>
        <w:t xml:space="preserve"> and </w:t>
      </w:r>
      <w:r>
        <w:rPr>
          <w:rFonts w:hint="eastAsia" w:ascii="Times New Roman" w:hAnsi="Times New Roman"/>
          <w:i/>
          <w:iCs/>
          <w:color w:val="000000" w:themeColor="text1"/>
          <w:sz w:val="24"/>
          <w:highlight w:val="none"/>
          <w14:textFill>
            <w14:solidFill>
              <w14:schemeClr w14:val="tx1"/>
            </w14:solidFill>
          </w14:textFill>
        </w:rPr>
        <w:t>RWTP</w:t>
      </w:r>
      <w:r>
        <w:rPr>
          <w:rFonts w:hint="eastAsia" w:ascii="Times New Roman" w:hAnsi="Times New Roman"/>
          <w:i/>
          <w:iCs/>
          <w:color w:val="000000" w:themeColor="text1"/>
          <w:sz w:val="24"/>
          <w:highlight w:val="none"/>
          <w:vertAlign w:val="subscript"/>
          <w14:textFill>
            <w14:solidFill>
              <w14:schemeClr w14:val="tx1"/>
            </w14:solidFill>
          </w14:textFill>
        </w:rPr>
        <w:t xml:space="preserve">c </w:t>
      </w:r>
      <w:r>
        <w:rPr>
          <w:rFonts w:hint="eastAsia" w:ascii="Times New Roman" w:hAnsi="Times New Roman"/>
          <w:color w:val="000000" w:themeColor="text1"/>
          <w:sz w:val="24"/>
          <w:highlight w:val="none"/>
          <w14:textFill>
            <w14:solidFill>
              <w14:schemeClr w14:val="tx1"/>
            </w14:solidFill>
          </w14:textFill>
        </w:rPr>
        <w:t>refer to the domest</w:t>
      </w:r>
      <w:r>
        <w:rPr>
          <w:rFonts w:hint="eastAsia" w:ascii="Times New Roman" w:hAnsi="Times New Roman"/>
          <w:sz w:val="24"/>
          <w:highlight w:val="none"/>
        </w:rPr>
        <w:t xml:space="preserve">ic wastewater collected from urban and rural and treated by wastewater treatment plant, respectively. </w:t>
      </w:r>
      <w:r>
        <w:rPr>
          <w:rFonts w:hint="eastAsia" w:ascii="Times New Roman" w:hAnsi="Times New Roman"/>
          <w:i/>
          <w:iCs/>
          <w:sz w:val="24"/>
          <w:highlight w:val="none"/>
        </w:rPr>
        <w:t>UGT</w:t>
      </w:r>
      <w:r>
        <w:rPr>
          <w:rFonts w:hint="eastAsia" w:ascii="Times New Roman" w:hAnsi="Times New Roman"/>
          <w:i/>
          <w:iCs/>
          <w:sz w:val="24"/>
          <w:highlight w:val="none"/>
          <w:vertAlign w:val="subscript"/>
        </w:rPr>
        <w:t>d</w:t>
      </w:r>
      <w:r>
        <w:rPr>
          <w:rFonts w:hint="eastAsia" w:ascii="Times New Roman" w:hAnsi="Times New Roman"/>
          <w:sz w:val="24"/>
          <w:highlight w:val="none"/>
        </w:rPr>
        <w:t xml:space="preserve"> and </w:t>
      </w:r>
      <w:r>
        <w:rPr>
          <w:rFonts w:hint="eastAsia" w:ascii="Times New Roman" w:hAnsi="Times New Roman"/>
          <w:i/>
          <w:iCs/>
          <w:sz w:val="24"/>
          <w:highlight w:val="none"/>
        </w:rPr>
        <w:t>RGT</w:t>
      </w:r>
      <w:r>
        <w:rPr>
          <w:rFonts w:hint="eastAsia" w:ascii="Times New Roman" w:hAnsi="Times New Roman"/>
          <w:i/>
          <w:iCs/>
          <w:sz w:val="24"/>
          <w:highlight w:val="none"/>
          <w:vertAlign w:val="subscript"/>
        </w:rPr>
        <w:t>d</w:t>
      </w:r>
      <w:r>
        <w:rPr>
          <w:rFonts w:hint="eastAsia" w:ascii="Times New Roman" w:hAnsi="Times New Roman"/>
          <w:sz w:val="24"/>
          <w:highlight w:val="none"/>
        </w:rPr>
        <w:t xml:space="preserve"> are domestic garbage collected by urban and rural and disposed of by sound waste treatment methods (i.e., landfill, incineration and other), respectively. </w:t>
      </w:r>
      <w:r>
        <w:rPr>
          <w:rFonts w:hint="eastAsia" w:ascii="Times New Roman" w:hAnsi="Times New Roman"/>
          <w:i/>
          <w:iCs/>
          <w:sz w:val="24"/>
          <w:highlight w:val="none"/>
        </w:rPr>
        <w:t>NOx</w:t>
      </w:r>
      <w:r>
        <w:rPr>
          <w:rFonts w:hint="eastAsia" w:ascii="Times New Roman" w:hAnsi="Times New Roman"/>
          <w:i/>
          <w:iCs/>
          <w:sz w:val="24"/>
          <w:highlight w:val="none"/>
          <w:vertAlign w:val="subscript"/>
        </w:rPr>
        <w:t>e</w:t>
      </w:r>
      <w:r>
        <w:rPr>
          <w:rFonts w:hint="eastAsia" w:ascii="Times New Roman" w:hAnsi="Times New Roman"/>
          <w:sz w:val="24"/>
          <w:highlight w:val="none"/>
        </w:rPr>
        <w:t xml:space="preserve"> refers to NO</w:t>
      </w:r>
      <w:r>
        <w:rPr>
          <w:rFonts w:hint="eastAsia" w:ascii="Times New Roman" w:hAnsi="Times New Roman"/>
          <w:sz w:val="24"/>
          <w:highlight w:val="none"/>
          <w:vertAlign w:val="subscript"/>
        </w:rPr>
        <w:t>x</w:t>
      </w:r>
      <w:r>
        <w:rPr>
          <w:rFonts w:hint="eastAsia" w:ascii="Times New Roman" w:hAnsi="Times New Roman"/>
          <w:sz w:val="24"/>
          <w:highlight w:val="none"/>
        </w:rPr>
        <w:t xml:space="preserve"> emission from fuel and straw consumption. </w:t>
      </w:r>
      <w:r>
        <w:rPr>
          <w:rFonts w:hint="eastAsia" w:ascii="Times New Roman" w:hAnsi="Times New Roman"/>
          <w:i/>
          <w:iCs/>
          <w:sz w:val="24"/>
          <w:highlight w:val="none"/>
        </w:rPr>
        <w:t>OUT</w:t>
      </w:r>
      <w:r>
        <w:rPr>
          <w:rFonts w:hint="eastAsia" w:ascii="Times New Roman" w:hAnsi="Times New Roman"/>
          <w:i/>
          <w:iCs/>
          <w:sz w:val="24"/>
          <w:highlight w:val="none"/>
          <w:vertAlign w:val="subscript"/>
        </w:rPr>
        <w:t>com</w:t>
      </w:r>
      <w:r>
        <w:rPr>
          <w:rFonts w:hint="eastAsia" w:ascii="Times New Roman" w:hAnsi="Times New Roman"/>
          <w:sz w:val="24"/>
          <w:highlight w:val="none"/>
        </w:rPr>
        <w:t xml:space="preserve"> refers to the nitrogen content of compost from rural domestic garbage, while </w:t>
      </w:r>
      <w:r>
        <w:rPr>
          <w:rFonts w:hint="eastAsia" w:ascii="Times New Roman" w:hAnsi="Times New Roman"/>
          <w:i/>
          <w:iCs/>
          <w:sz w:val="24"/>
          <w:highlight w:val="none"/>
        </w:rPr>
        <w:t>OUT</w:t>
      </w:r>
      <w:r>
        <w:rPr>
          <w:rFonts w:hint="eastAsia" w:ascii="Times New Roman" w:hAnsi="Times New Roman"/>
          <w:i/>
          <w:iCs/>
          <w:sz w:val="24"/>
          <w:highlight w:val="none"/>
          <w:vertAlign w:val="subscript"/>
        </w:rPr>
        <w:t>runoff</w:t>
      </w:r>
      <w:r>
        <w:rPr>
          <w:rFonts w:hint="eastAsia" w:ascii="Times New Roman" w:hAnsi="Times New Roman"/>
          <w:sz w:val="24"/>
          <w:highlight w:val="none"/>
          <w:vertAlign w:val="subscript"/>
        </w:rPr>
        <w:t xml:space="preserve"> </w:t>
      </w:r>
      <w:r>
        <w:rPr>
          <w:rFonts w:hint="eastAsia" w:ascii="Times New Roman" w:hAnsi="Times New Roman"/>
          <w:sz w:val="24"/>
          <w:highlight w:val="none"/>
        </w:rPr>
        <w:t xml:space="preserve">refers to the nitrogen that leaches into waters from direct wastewater discharge and discarded garbage.    </w:t>
      </w:r>
    </w:p>
    <w:p>
      <w:pPr>
        <w:spacing w:line="300" w:lineRule="auto"/>
        <w:rPr>
          <w:rFonts w:ascii="Times New Roman" w:hAnsi="Times New Roman"/>
          <w:b/>
          <w:bCs/>
          <w:sz w:val="24"/>
          <w:highlight w:val="none"/>
        </w:rPr>
      </w:pPr>
    </w:p>
    <w:p>
      <w:pPr>
        <w:spacing w:line="300" w:lineRule="auto"/>
        <w:outlineLvl w:val="1"/>
        <w:rPr>
          <w:rFonts w:ascii="Times New Roman" w:hAnsi="Times New Roman"/>
          <w:b/>
          <w:sz w:val="24"/>
          <w:highlight w:val="none"/>
        </w:rPr>
      </w:pPr>
      <w:bookmarkStart w:id="15" w:name="_Toc21398"/>
      <w:r>
        <w:rPr>
          <w:rFonts w:ascii="Times New Roman" w:hAnsi="Times New Roman"/>
          <w:b/>
          <w:bCs/>
          <w:sz w:val="24"/>
          <w:highlight w:val="none"/>
        </w:rPr>
        <w:t>S1.</w:t>
      </w:r>
      <w:r>
        <w:rPr>
          <w:rFonts w:hint="eastAsia" w:ascii="Times New Roman" w:hAnsi="Times New Roman"/>
          <w:b/>
          <w:bCs/>
          <w:sz w:val="24"/>
          <w:highlight w:val="none"/>
          <w:lang w:val="en-US" w:eastAsia="zh-CN"/>
        </w:rPr>
        <w:t>6</w:t>
      </w:r>
      <w:r>
        <w:rPr>
          <w:rFonts w:ascii="Times New Roman" w:hAnsi="Times New Roman"/>
          <w:b/>
          <w:bCs/>
          <w:sz w:val="24"/>
          <w:highlight w:val="none"/>
        </w:rPr>
        <w:t xml:space="preserve"> </w:t>
      </w:r>
      <w:r>
        <w:rPr>
          <w:rFonts w:ascii="Times New Roman" w:hAnsi="Times New Roman"/>
          <w:b/>
          <w:sz w:val="24"/>
          <w:highlight w:val="none"/>
        </w:rPr>
        <w:t xml:space="preserve">High spatial </w:t>
      </w:r>
      <w:r>
        <w:rPr>
          <w:rFonts w:hint="eastAsia" w:ascii="Times New Roman" w:hAnsi="Times New Roman"/>
          <w:b/>
          <w:sz w:val="24"/>
          <w:highlight w:val="none"/>
        </w:rPr>
        <w:t xml:space="preserve">resolution </w:t>
      </w:r>
      <w:r>
        <w:rPr>
          <w:rFonts w:ascii="Times New Roman" w:hAnsi="Times New Roman"/>
          <w:b/>
          <w:sz w:val="24"/>
          <w:highlight w:val="none"/>
        </w:rPr>
        <w:t>N loss inventory building.</w:t>
      </w:r>
      <w:bookmarkEnd w:id="15"/>
    </w:p>
    <w:p>
      <w:pPr>
        <w:spacing w:line="300" w:lineRule="auto"/>
        <w:rPr>
          <w:rFonts w:ascii="Times New Roman" w:hAnsi="Times New Roman"/>
          <w:bCs/>
          <w:sz w:val="24"/>
          <w:highlight w:val="none"/>
        </w:rPr>
      </w:pPr>
      <w:r>
        <w:rPr>
          <w:rFonts w:ascii="Times New Roman" w:hAnsi="Times New Roman"/>
          <w:bCs/>
          <w:sz w:val="24"/>
          <w:highlight w:val="none"/>
        </w:rPr>
        <w:t>Annual N emissions, including NH</w:t>
      </w:r>
      <w:r>
        <w:rPr>
          <w:rFonts w:ascii="Times New Roman" w:hAnsi="Times New Roman"/>
          <w:bCs/>
          <w:sz w:val="24"/>
          <w:highlight w:val="none"/>
          <w:vertAlign w:val="subscript"/>
        </w:rPr>
        <w:t>3</w:t>
      </w:r>
      <w:r>
        <w:rPr>
          <w:rFonts w:ascii="Times New Roman" w:hAnsi="Times New Roman"/>
          <w:bCs/>
          <w:sz w:val="24"/>
          <w:highlight w:val="none"/>
        </w:rPr>
        <w:t>, NO</w:t>
      </w:r>
      <w:r>
        <w:rPr>
          <w:rFonts w:ascii="Times New Roman" w:hAnsi="Times New Roman"/>
          <w:bCs/>
          <w:sz w:val="24"/>
          <w:highlight w:val="none"/>
          <w:vertAlign w:val="subscript"/>
        </w:rPr>
        <w:t>x</w:t>
      </w:r>
      <w:r>
        <w:rPr>
          <w:rFonts w:ascii="Times New Roman" w:hAnsi="Times New Roman"/>
          <w:bCs/>
          <w:sz w:val="24"/>
          <w:highlight w:val="none"/>
        </w:rPr>
        <w:t>, N</w:t>
      </w:r>
      <w:r>
        <w:rPr>
          <w:rFonts w:ascii="Times New Roman" w:hAnsi="Times New Roman"/>
          <w:bCs/>
          <w:sz w:val="24"/>
          <w:highlight w:val="none"/>
          <w:vertAlign w:val="subscript"/>
        </w:rPr>
        <w:t>2</w:t>
      </w:r>
      <w:r>
        <w:rPr>
          <w:rFonts w:ascii="Times New Roman" w:hAnsi="Times New Roman"/>
          <w:bCs/>
          <w:sz w:val="24"/>
          <w:highlight w:val="none"/>
        </w:rPr>
        <w:t>O, and NO</w:t>
      </w:r>
      <w:r>
        <w:rPr>
          <w:rFonts w:ascii="Times New Roman" w:hAnsi="Times New Roman"/>
          <w:bCs/>
          <w:sz w:val="24"/>
          <w:highlight w:val="none"/>
          <w:vertAlign w:val="subscript"/>
        </w:rPr>
        <w:t>3</w:t>
      </w:r>
      <w:r>
        <w:rPr>
          <w:rFonts w:ascii="Times New Roman" w:hAnsi="Times New Roman"/>
          <w:bCs/>
          <w:sz w:val="24"/>
          <w:highlight w:val="none"/>
          <w:vertAlign w:val="superscript"/>
        </w:rPr>
        <w:t>-</w:t>
      </w:r>
      <w:r>
        <w:rPr>
          <w:rFonts w:ascii="Times New Roman" w:hAnsi="Times New Roman"/>
          <w:bCs/>
          <w:sz w:val="24"/>
          <w:highlight w:val="none"/>
        </w:rPr>
        <w:t>, derived from each subsystem of the CHANS model were assigned to counties by proxy parameters. Among them, the results of Wang</w:t>
      </w:r>
      <w:r>
        <w:rPr>
          <w:rFonts w:hint="eastAsia" w:ascii="Times New Roman" w:hAnsi="Times New Roman"/>
          <w:bCs/>
          <w:sz w:val="24"/>
          <w:highlight w:val="none"/>
        </w:rPr>
        <w:t xml:space="preserve"> et al.</w:t>
      </w:r>
      <w:r>
        <w:rPr>
          <w:rFonts w:ascii="Times New Roman" w:hAnsi="Times New Roman"/>
          <w:bCs/>
          <w:sz w:val="24"/>
          <w:highlight w:val="none"/>
        </w:rPr>
        <w:t xml:space="preserve"> 2021</w:t>
      </w:r>
      <w:r>
        <w:rPr>
          <w:rFonts w:ascii="Times New Roman" w:hAnsi="Times New Roman"/>
          <w:bCs/>
          <w:sz w:val="24"/>
          <w:highlight w:val="none"/>
        </w:rPr>
        <w:fldChar w:fldCharType="begin"/>
      </w:r>
      <w:r>
        <w:rPr>
          <w:rFonts w:hint="eastAsia" w:ascii="Times New Roman" w:hAnsi="Times New Roman"/>
          <w:bCs/>
          <w:sz w:val="24"/>
          <w:highlight w:val="none"/>
          <w:lang w:eastAsia="zh-CN"/>
        </w:rPr>
        <w:instrText xml:space="preserve"> ADDIN NE.Ref.{F742E52A-6760-4C11-AC04-18F30E965441}</w:instrText>
      </w:r>
      <w:r>
        <w:rPr>
          <w:rFonts w:ascii="Times New Roman" w:hAnsi="Times New Roman"/>
          <w:bCs/>
          <w:sz w:val="24"/>
          <w:highlight w:val="none"/>
        </w:rPr>
        <w:fldChar w:fldCharType="separate"/>
      </w:r>
      <w:r>
        <w:rPr>
          <w:rFonts w:hint="eastAsia" w:ascii="宋体" w:hAnsi="宋体"/>
          <w:color w:val="080000"/>
          <w:sz w:val="21"/>
          <w:szCs w:val="24"/>
          <w:highlight w:val="none"/>
          <w:vertAlign w:val="superscript"/>
        </w:rPr>
        <w:t>7,8</w:t>
      </w:r>
      <w:r>
        <w:rPr>
          <w:rFonts w:ascii="Times New Roman" w:hAnsi="Times New Roman"/>
          <w:bCs/>
          <w:sz w:val="24"/>
          <w:highlight w:val="none"/>
        </w:rPr>
        <w:fldChar w:fldCharType="end"/>
      </w:r>
      <w:r>
        <w:rPr>
          <w:rFonts w:ascii="Times New Roman" w:hAnsi="Times New Roman"/>
          <w:bCs/>
          <w:sz w:val="24"/>
          <w:highlight w:val="none"/>
        </w:rPr>
        <w:t xml:space="preserve"> were used for the inventory of ammonia emissions from cropland because of the large emissions and complex influencing factors. The </w:t>
      </w:r>
      <w:r>
        <w:rPr>
          <w:rFonts w:hint="eastAsia" w:ascii="Times New Roman" w:hAnsi="Times New Roman"/>
          <w:bCs/>
          <w:sz w:val="24"/>
          <w:highlight w:val="none"/>
        </w:rPr>
        <w:t>geo-distribution of NH</w:t>
      </w:r>
      <w:r>
        <w:rPr>
          <w:rFonts w:hint="eastAsia" w:ascii="Times New Roman" w:hAnsi="Times New Roman"/>
          <w:bCs/>
          <w:sz w:val="24"/>
          <w:highlight w:val="none"/>
          <w:vertAlign w:val="subscript"/>
        </w:rPr>
        <w:t>3</w:t>
      </w:r>
      <w:r>
        <w:rPr>
          <w:rFonts w:hint="eastAsia" w:ascii="Times New Roman" w:hAnsi="Times New Roman"/>
          <w:bCs/>
          <w:sz w:val="24"/>
          <w:highlight w:val="none"/>
        </w:rPr>
        <w:t xml:space="preserve"> emission from livestock was from APSCC</w:t>
      </w:r>
      <w:r>
        <w:rPr>
          <w:rFonts w:ascii="Times New Roman" w:hAnsi="Times New Roman"/>
          <w:bCs/>
          <w:sz w:val="24"/>
          <w:highlight w:val="none"/>
        </w:rPr>
        <w:t>2017. Then, emissions from each subsystem were assigned to the corresponding land-use raster on a county basis, plotted as a</w:t>
      </w:r>
      <w:r>
        <w:rPr>
          <w:rFonts w:hint="eastAsia" w:ascii="Times New Roman" w:hAnsi="Times New Roman"/>
          <w:bCs/>
          <w:sz w:val="24"/>
          <w:highlight w:val="none"/>
        </w:rPr>
        <w:t xml:space="preserve"> set of </w:t>
      </w:r>
      <w:r>
        <w:rPr>
          <w:rFonts w:ascii="Times New Roman" w:hAnsi="Times New Roman"/>
          <w:bCs/>
          <w:sz w:val="24"/>
          <w:highlight w:val="none"/>
        </w:rPr>
        <w:t xml:space="preserve">high-resolution emission inventory. For example, ammonia </w:t>
      </w:r>
      <w:r>
        <w:rPr>
          <w:rFonts w:hint="eastAsia" w:ascii="Times New Roman" w:hAnsi="Times New Roman"/>
          <w:bCs/>
          <w:sz w:val="24"/>
          <w:highlight w:val="none"/>
        </w:rPr>
        <w:t>emission</w:t>
      </w:r>
      <w:r>
        <w:rPr>
          <w:rFonts w:ascii="Times New Roman" w:hAnsi="Times New Roman"/>
          <w:bCs/>
          <w:sz w:val="24"/>
          <w:highlight w:val="none"/>
        </w:rPr>
        <w:t xml:space="preserve"> from chemical and organic fertilizers is assigned to agricultural land, and ammonia </w:t>
      </w:r>
      <w:r>
        <w:rPr>
          <w:rFonts w:hint="eastAsia" w:ascii="Times New Roman" w:hAnsi="Times New Roman"/>
          <w:bCs/>
          <w:sz w:val="24"/>
          <w:highlight w:val="none"/>
        </w:rPr>
        <w:t>emission</w:t>
      </w:r>
      <w:r>
        <w:rPr>
          <w:rFonts w:ascii="Times New Roman" w:hAnsi="Times New Roman"/>
          <w:bCs/>
          <w:sz w:val="24"/>
          <w:highlight w:val="none"/>
        </w:rPr>
        <w:t xml:space="preserve"> from industry and urban is assigned to urban. The proxy parameters and allocation raster for the spatial inventory of N</w:t>
      </w:r>
      <w:r>
        <w:rPr>
          <w:rFonts w:hint="eastAsia" w:ascii="Times New Roman" w:hAnsi="Times New Roman"/>
          <w:bCs/>
          <w:sz w:val="24"/>
          <w:highlight w:val="none"/>
        </w:rPr>
        <w:t>r</w:t>
      </w:r>
      <w:r>
        <w:rPr>
          <w:rFonts w:ascii="Times New Roman" w:hAnsi="Times New Roman"/>
          <w:bCs/>
          <w:sz w:val="24"/>
          <w:highlight w:val="none"/>
        </w:rPr>
        <w:t xml:space="preserve"> emissions are shown in </w:t>
      </w:r>
      <w:r>
        <w:rPr>
          <w:rFonts w:ascii="Times New Roman" w:hAnsi="Times New Roman"/>
          <w:bCs/>
          <w:color w:val="0000FF"/>
          <w:sz w:val="24"/>
          <w:highlight w:val="none"/>
        </w:rPr>
        <w:t xml:space="preserve">Supplementary Table </w:t>
      </w:r>
      <w:r>
        <w:rPr>
          <w:rFonts w:hint="eastAsia" w:ascii="Times New Roman" w:hAnsi="Times New Roman"/>
          <w:bCs/>
          <w:color w:val="0000FF"/>
          <w:sz w:val="24"/>
          <w:highlight w:val="none"/>
        </w:rPr>
        <w:t>S5</w:t>
      </w:r>
      <w:r>
        <w:rPr>
          <w:rFonts w:ascii="Times New Roman" w:hAnsi="Times New Roman"/>
          <w:bCs/>
          <w:sz w:val="24"/>
          <w:highlight w:val="none"/>
        </w:rPr>
        <w:t>.</w:t>
      </w:r>
    </w:p>
    <w:p>
      <w:pPr>
        <w:spacing w:line="300" w:lineRule="auto"/>
        <w:rPr>
          <w:rFonts w:ascii="Times New Roman" w:hAnsi="Times New Roman"/>
          <w:b/>
          <w:bCs/>
          <w:sz w:val="24"/>
          <w:highlight w:val="none"/>
        </w:rPr>
      </w:pPr>
    </w:p>
    <w:p>
      <w:pPr>
        <w:spacing w:line="300" w:lineRule="auto"/>
        <w:outlineLvl w:val="1"/>
        <w:rPr>
          <w:rFonts w:hint="default" w:ascii="Times New Roman" w:hAnsi="Times New Roman" w:eastAsia="宋体"/>
          <w:b/>
          <w:sz w:val="24"/>
          <w:highlight w:val="none"/>
          <w:lang w:val="en-US" w:eastAsia="zh-CN"/>
        </w:rPr>
      </w:pPr>
      <w:bookmarkStart w:id="16" w:name="_Toc21765"/>
      <w:r>
        <w:rPr>
          <w:rFonts w:ascii="Times New Roman" w:hAnsi="Times New Roman"/>
          <w:b/>
          <w:bCs/>
          <w:sz w:val="24"/>
          <w:highlight w:val="none"/>
        </w:rPr>
        <w:t>S1.</w:t>
      </w:r>
      <w:r>
        <w:rPr>
          <w:rFonts w:hint="eastAsia" w:ascii="Times New Roman" w:hAnsi="Times New Roman"/>
          <w:b/>
          <w:bCs/>
          <w:sz w:val="24"/>
          <w:highlight w:val="none"/>
          <w:lang w:val="en-US" w:eastAsia="zh-CN"/>
        </w:rPr>
        <w:t>7</w:t>
      </w:r>
      <w:r>
        <w:rPr>
          <w:rFonts w:ascii="Times New Roman" w:hAnsi="Times New Roman"/>
          <w:b/>
          <w:bCs/>
          <w:sz w:val="24"/>
          <w:highlight w:val="none"/>
        </w:rPr>
        <w:t xml:space="preserve"> </w:t>
      </w:r>
      <w:r>
        <w:rPr>
          <w:rFonts w:ascii="Times New Roman" w:hAnsi="Times New Roman"/>
          <w:b/>
          <w:sz w:val="24"/>
          <w:highlight w:val="none"/>
        </w:rPr>
        <w:t xml:space="preserve">Air </w:t>
      </w:r>
      <w:r>
        <w:rPr>
          <w:rFonts w:hint="eastAsia" w:ascii="Times New Roman" w:hAnsi="Times New Roman"/>
          <w:b/>
          <w:sz w:val="24"/>
          <w:highlight w:val="none"/>
          <w:lang w:val="en-US" w:eastAsia="zh-CN"/>
        </w:rPr>
        <w:t>PM</w:t>
      </w:r>
      <w:r>
        <w:rPr>
          <w:rFonts w:hint="eastAsia" w:ascii="Times New Roman" w:hAnsi="Times New Roman"/>
          <w:b/>
          <w:sz w:val="24"/>
          <w:highlight w:val="none"/>
          <w:vertAlign w:val="subscript"/>
          <w:lang w:val="en-US" w:eastAsia="zh-CN"/>
        </w:rPr>
        <w:t>2.5</w:t>
      </w:r>
      <w:r>
        <w:rPr>
          <w:rFonts w:ascii="Times New Roman" w:hAnsi="Times New Roman"/>
          <w:b/>
          <w:sz w:val="24"/>
          <w:highlight w:val="none"/>
        </w:rPr>
        <w:t xml:space="preserve"> estimation</w:t>
      </w:r>
      <w:r>
        <w:rPr>
          <w:rFonts w:hint="eastAsia" w:ascii="Times New Roman" w:hAnsi="Times New Roman"/>
          <w:b/>
          <w:sz w:val="24"/>
          <w:highlight w:val="none"/>
          <w:lang w:val="en-US" w:eastAsia="zh-CN"/>
        </w:rPr>
        <w:t xml:space="preserve"> and validation</w:t>
      </w:r>
      <w:bookmarkEnd w:id="16"/>
    </w:p>
    <w:bookmarkEnd w:id="12"/>
    <w:p>
      <w:pPr>
        <w:spacing w:line="300" w:lineRule="auto"/>
        <w:rPr>
          <w:rFonts w:ascii="Times New Roman" w:hAnsi="Times New Roman"/>
          <w:bCs/>
          <w:sz w:val="24"/>
          <w:highlight w:val="none"/>
        </w:rPr>
      </w:pPr>
      <w:r>
        <w:rPr>
          <w:rFonts w:ascii="Times New Roman" w:hAnsi="Times New Roman"/>
          <w:bCs/>
          <w:sz w:val="24"/>
          <w:highlight w:val="none"/>
        </w:rPr>
        <w:t>We used the WRF-Chem model to assess surface concentrations of PM</w:t>
      </w:r>
      <w:r>
        <w:rPr>
          <w:rFonts w:ascii="Times New Roman" w:hAnsi="Times New Roman"/>
          <w:bCs/>
          <w:sz w:val="24"/>
          <w:highlight w:val="none"/>
          <w:vertAlign w:val="subscript"/>
        </w:rPr>
        <w:t>2.5</w:t>
      </w:r>
      <w:r>
        <w:rPr>
          <w:rFonts w:ascii="Times New Roman" w:hAnsi="Times New Roman"/>
          <w:bCs/>
          <w:sz w:val="24"/>
          <w:highlight w:val="none"/>
        </w:rPr>
        <w:t xml:space="preserve"> in 2017 and 2050. The model covers China and its surrounding area with a horizontal resolution of 27 km and 37 vertical layers extending from a 40 m thick surface layer to 50 mbar (mb)</w:t>
      </w:r>
      <w:r>
        <w:rPr>
          <w:rFonts w:ascii="Times New Roman" w:hAnsi="Times New Roman"/>
          <w:bCs/>
          <w:sz w:val="24"/>
          <w:highlight w:val="none"/>
        </w:rPr>
        <w:fldChar w:fldCharType="begin"/>
      </w:r>
      <w:r>
        <w:rPr>
          <w:rFonts w:hint="eastAsia" w:ascii="Times New Roman" w:hAnsi="Times New Roman"/>
          <w:bCs/>
          <w:sz w:val="24"/>
          <w:highlight w:val="none"/>
          <w:lang w:eastAsia="zh-CN"/>
        </w:rPr>
        <w:instrText xml:space="preserve"> ADDIN NE.Ref.{93E8FC97-451C-4563-B26C-B5AAEE834BC4}</w:instrText>
      </w:r>
      <w:r>
        <w:rPr>
          <w:rFonts w:ascii="Times New Roman" w:hAnsi="Times New Roman"/>
          <w:bCs/>
          <w:sz w:val="24"/>
          <w:highlight w:val="none"/>
        </w:rPr>
        <w:fldChar w:fldCharType="separate"/>
      </w:r>
      <w:r>
        <w:rPr>
          <w:rFonts w:hint="eastAsia" w:ascii="宋体" w:hAnsi="宋体"/>
          <w:color w:val="080000"/>
          <w:sz w:val="21"/>
          <w:szCs w:val="24"/>
          <w:highlight w:val="none"/>
          <w:vertAlign w:val="superscript"/>
        </w:rPr>
        <w:t>9</w:t>
      </w:r>
      <w:r>
        <w:rPr>
          <w:rFonts w:ascii="Times New Roman" w:hAnsi="Times New Roman"/>
          <w:bCs/>
          <w:sz w:val="24"/>
          <w:highlight w:val="none"/>
        </w:rPr>
        <w:fldChar w:fldCharType="end"/>
      </w:r>
      <w:r>
        <w:rPr>
          <w:rFonts w:ascii="Times New Roman" w:hAnsi="Times New Roman"/>
          <w:bCs/>
          <w:sz w:val="24"/>
          <w:highlight w:val="none"/>
        </w:rPr>
        <w:t>. We drive the model with initial and boundary conditions from the 2017 atmospheric chemistry. Meteorological initial and lateral boundary conditions were provided by the National Centers for Environmental Prediction Final Global Run Analysis data at a resolution of 1º× 1º. Chemical initial and boundary conditions are archived from the Community Atmospheric Model with Chemistry(CAM-Chem). We simulated January, April, July, and October for 2017 and 2050, and assumed annual average concentrations as the average of these four months. We restarted WRF-Chem every 48 hours to prevent the drift effect of the simulated meteorological field. We assessed simulated 2017 surface PM</w:t>
      </w:r>
      <w:r>
        <w:rPr>
          <w:rFonts w:ascii="Times New Roman" w:hAnsi="Times New Roman"/>
          <w:bCs/>
          <w:sz w:val="24"/>
          <w:highlight w:val="none"/>
          <w:vertAlign w:val="subscript"/>
        </w:rPr>
        <w:t>2.5</w:t>
      </w:r>
      <w:r>
        <w:rPr>
          <w:rFonts w:ascii="Times New Roman" w:hAnsi="Times New Roman"/>
          <w:bCs/>
          <w:sz w:val="24"/>
          <w:highlight w:val="none"/>
        </w:rPr>
        <w:t xml:space="preserve"> concentrations against ground-based observations from the Ministry of Ecology and Environment (MEE). Monitoring sites with monthly data missing rate less than 5% of monitoring site data were selected for model validation.</w:t>
      </w:r>
      <w:r>
        <w:rPr>
          <w:rFonts w:hint="eastAsia" w:ascii="Times New Roman" w:hAnsi="Times New Roman"/>
          <w:bCs/>
          <w:sz w:val="24"/>
          <w:highlight w:val="none"/>
        </w:rPr>
        <w:t xml:space="preserve"> </w:t>
      </w:r>
      <w:r>
        <w:rPr>
          <w:rFonts w:ascii="Times New Roman" w:hAnsi="Times New Roman"/>
          <w:bCs/>
          <w:color w:val="0000FF"/>
          <w:sz w:val="24"/>
          <w:highlight w:val="none"/>
        </w:rPr>
        <w:t>Fig.S</w:t>
      </w:r>
      <w:r>
        <w:rPr>
          <w:rFonts w:hint="eastAsia" w:ascii="Times New Roman" w:hAnsi="Times New Roman"/>
          <w:bCs/>
          <w:color w:val="0000FF"/>
          <w:sz w:val="24"/>
          <w:highlight w:val="none"/>
        </w:rPr>
        <w:t>2</w:t>
      </w:r>
      <w:r>
        <w:rPr>
          <w:rFonts w:ascii="Times New Roman" w:hAnsi="Times New Roman"/>
          <w:bCs/>
          <w:sz w:val="24"/>
          <w:highlight w:val="none"/>
        </w:rPr>
        <w:t xml:space="preserve"> shows that the model well simulates the monthly variation and spatial pattern of surface PM</w:t>
      </w:r>
      <w:r>
        <w:rPr>
          <w:rFonts w:ascii="Times New Roman" w:hAnsi="Times New Roman"/>
          <w:bCs/>
          <w:sz w:val="24"/>
          <w:highlight w:val="none"/>
          <w:vertAlign w:val="subscript"/>
        </w:rPr>
        <w:t>2.5</w:t>
      </w:r>
      <w:r>
        <w:rPr>
          <w:rFonts w:ascii="Times New Roman" w:hAnsi="Times New Roman"/>
          <w:bCs/>
          <w:sz w:val="24"/>
          <w:highlight w:val="none"/>
        </w:rPr>
        <w:t xml:space="preserve"> concentrations in mainland China.</w:t>
      </w:r>
    </w:p>
    <w:p>
      <w:pPr>
        <w:spacing w:line="300" w:lineRule="auto"/>
        <w:rPr>
          <w:rFonts w:ascii="Times New Roman" w:hAnsi="Times New Roman"/>
          <w:bCs/>
          <w:sz w:val="24"/>
          <w:highlight w:val="none"/>
        </w:rPr>
      </w:pPr>
    </w:p>
    <w:p>
      <w:pPr>
        <w:spacing w:line="300" w:lineRule="auto"/>
        <w:outlineLvl w:val="1"/>
        <w:rPr>
          <w:rFonts w:hint="default" w:ascii="Times New Roman" w:hAnsi="Times New Roman" w:eastAsia="宋体"/>
          <w:b/>
          <w:sz w:val="24"/>
          <w:highlight w:val="none"/>
          <w:lang w:val="en-US" w:eastAsia="zh-CN"/>
        </w:rPr>
      </w:pPr>
      <w:bookmarkStart w:id="17" w:name="_Toc3784"/>
      <w:r>
        <w:rPr>
          <w:rFonts w:ascii="Times New Roman" w:hAnsi="Times New Roman"/>
          <w:b/>
          <w:bCs/>
          <w:sz w:val="24"/>
          <w:highlight w:val="none"/>
        </w:rPr>
        <w:t>S1.</w:t>
      </w:r>
      <w:r>
        <w:rPr>
          <w:rFonts w:hint="eastAsia" w:ascii="Times New Roman" w:hAnsi="Times New Roman"/>
          <w:b/>
          <w:bCs/>
          <w:sz w:val="24"/>
          <w:highlight w:val="none"/>
          <w:lang w:val="en-US" w:eastAsia="zh-CN"/>
        </w:rPr>
        <w:t>8</w:t>
      </w:r>
      <w:r>
        <w:rPr>
          <w:rFonts w:ascii="Times New Roman" w:hAnsi="Times New Roman"/>
          <w:b/>
          <w:bCs/>
          <w:sz w:val="24"/>
          <w:highlight w:val="none"/>
        </w:rPr>
        <w:t xml:space="preserve"> </w:t>
      </w:r>
      <w:r>
        <w:rPr>
          <w:rFonts w:hint="eastAsia" w:ascii="Times New Roman" w:hAnsi="Times New Roman"/>
          <w:b/>
          <w:bCs/>
          <w:sz w:val="24"/>
          <w:highlight w:val="none"/>
          <w:lang w:val="en-US" w:eastAsia="zh-CN"/>
        </w:rPr>
        <w:t>E</w:t>
      </w:r>
      <w:r>
        <w:rPr>
          <w:rFonts w:ascii="Times New Roman" w:hAnsi="Times New Roman"/>
          <w:b/>
          <w:sz w:val="24"/>
          <w:highlight w:val="none"/>
        </w:rPr>
        <w:t>stimation</w:t>
      </w:r>
      <w:r>
        <w:rPr>
          <w:rFonts w:hint="eastAsia" w:ascii="Times New Roman" w:hAnsi="Times New Roman"/>
          <w:b/>
          <w:sz w:val="24"/>
          <w:highlight w:val="none"/>
          <w:lang w:val="en-US" w:eastAsia="zh-CN"/>
        </w:rPr>
        <w:t xml:space="preserve"> of </w:t>
      </w:r>
      <w:r>
        <w:rPr>
          <w:rFonts w:ascii="Times New Roman" w:hAnsi="Times New Roman"/>
          <w:b/>
          <w:sz w:val="24"/>
          <w:highlight w:val="none"/>
        </w:rPr>
        <w:t xml:space="preserve">Nr </w:t>
      </w:r>
      <w:r>
        <w:rPr>
          <w:rFonts w:hint="eastAsia" w:ascii="Times New Roman" w:hAnsi="Times New Roman"/>
          <w:b/>
          <w:sz w:val="24"/>
          <w:highlight w:val="none"/>
          <w:lang w:val="en-US" w:eastAsia="zh-CN"/>
        </w:rPr>
        <w:t>output to sea and its imitation</w:t>
      </w:r>
      <w:bookmarkEnd w:id="17"/>
    </w:p>
    <w:p>
      <w:pPr>
        <w:keepNext w:val="0"/>
        <w:keepLines w:val="0"/>
        <w:widowControl/>
        <w:suppressLineNumbers w:val="0"/>
        <w:jc w:val="left"/>
        <w:rPr>
          <w:rFonts w:hint="default" w:ascii="Times New Roman" w:hAnsi="Times New Roman" w:eastAsia="等线" w:cs="Times New Roman"/>
          <w:highlight w:val="none"/>
          <w:lang w:val="en-US" w:eastAsia="zh-CN"/>
        </w:rPr>
      </w:pPr>
      <w:r>
        <w:rPr>
          <w:rFonts w:hint="default" w:ascii="Times New Roman" w:hAnsi="Times New Roman" w:eastAsia="仿宋" w:cs="Times New Roman"/>
          <w:color w:val="auto"/>
          <w:sz w:val="24"/>
          <w:szCs w:val="24"/>
          <w:highlight w:val="none"/>
          <w:lang w:val="en-US" w:eastAsia="zh-CN"/>
        </w:rPr>
        <w:t xml:space="preserve">With </w:t>
      </w:r>
      <w:r>
        <w:rPr>
          <w:rFonts w:hint="eastAsia" w:ascii="Times New Roman" w:hAnsi="Times New Roman" w:eastAsia="仿宋" w:cs="Times New Roman"/>
          <w:color w:val="auto"/>
          <w:sz w:val="24"/>
          <w:szCs w:val="24"/>
          <w:highlight w:val="none"/>
          <w:lang w:val="en-US" w:eastAsia="zh-CN"/>
        </w:rPr>
        <w:t>the inventory of Nr loss to surface water</w:t>
      </w:r>
      <w:r>
        <w:rPr>
          <w:rFonts w:hint="default" w:ascii="Times New Roman" w:hAnsi="Times New Roman" w:eastAsia="仿宋" w:cs="Times New Roman"/>
          <w:color w:val="auto"/>
          <w:sz w:val="24"/>
          <w:szCs w:val="24"/>
          <w:highlight w:val="none"/>
          <w:lang w:val="en-US" w:eastAsia="zh-CN"/>
        </w:rPr>
        <w:t xml:space="preserve"> as the primary data source, we </w:t>
      </w:r>
      <w:r>
        <w:rPr>
          <w:rFonts w:hint="eastAsia" w:ascii="Times New Roman" w:hAnsi="Times New Roman" w:eastAsia="仿宋" w:cs="Times New Roman"/>
          <w:color w:val="auto"/>
          <w:sz w:val="24"/>
          <w:szCs w:val="24"/>
          <w:highlight w:val="none"/>
          <w:lang w:val="en-US" w:eastAsia="zh-CN"/>
        </w:rPr>
        <w:t xml:space="preserve">estimated national Nr output to sea based on </w:t>
      </w:r>
      <w:r>
        <w:rPr>
          <w:rFonts w:hint="default" w:ascii="Times New Roman" w:hAnsi="Times New Roman" w:cs="Times New Roman"/>
          <w:bCs/>
          <w:sz w:val="24"/>
          <w:highlight w:val="none"/>
          <w:lang w:val="en-US" w:eastAsia="zh-CN"/>
        </w:rPr>
        <w:t>a water network-based framework (WNF)</w:t>
      </w:r>
      <w:r>
        <w:rPr>
          <w:rFonts w:hint="default" w:ascii="Times New Roman" w:hAnsi="Times New Roman" w:cs="Times New Roman"/>
          <w:bCs/>
          <w:sz w:val="24"/>
          <w:highlight w:val="none"/>
          <w:lang w:val="en-US" w:eastAsia="zh-CN"/>
        </w:rPr>
        <w:fldChar w:fldCharType="begin"/>
      </w:r>
      <w:r>
        <w:rPr>
          <w:rFonts w:hint="eastAsia" w:ascii="Times New Roman" w:hAnsi="Times New Roman" w:cs="Times New Roman"/>
          <w:bCs/>
          <w:sz w:val="24"/>
          <w:highlight w:val="none"/>
          <w:lang w:val="en-US" w:eastAsia="zh-CN"/>
        </w:rPr>
        <w:instrText xml:space="preserve"> ADDIN NE.Ref.{A75B97B2-9921-424C-860C-6E8E78501541}</w:instrText>
      </w:r>
      <w:r>
        <w:rPr>
          <w:rFonts w:hint="default" w:ascii="Times New Roman" w:hAnsi="Times New Roman" w:cs="Times New Roman"/>
          <w:bCs/>
          <w:sz w:val="24"/>
          <w:highlight w:val="none"/>
          <w:lang w:val="en-US" w:eastAsia="zh-CN"/>
        </w:rPr>
        <w:fldChar w:fldCharType="separate"/>
      </w:r>
      <w:r>
        <w:rPr>
          <w:rFonts w:hint="eastAsia" w:ascii="宋体" w:hAnsi="宋体"/>
          <w:color w:val="080000"/>
          <w:sz w:val="21"/>
          <w:szCs w:val="24"/>
          <w:highlight w:val="none"/>
          <w:vertAlign w:val="superscript"/>
        </w:rPr>
        <w:t>10</w:t>
      </w:r>
      <w:r>
        <w:rPr>
          <w:rFonts w:hint="default" w:ascii="Times New Roman" w:hAnsi="Times New Roman" w:cs="Times New Roman"/>
          <w:bCs/>
          <w:sz w:val="24"/>
          <w:highlight w:val="none"/>
          <w:lang w:val="en-US" w:eastAsia="zh-CN"/>
        </w:rPr>
        <w:fldChar w:fldCharType="end"/>
      </w:r>
      <w:r>
        <w:rPr>
          <w:rFonts w:hint="eastAsia" w:ascii="Times New Roman" w:hAnsi="Times New Roman" w:cs="Times New Roman"/>
          <w:bCs/>
          <w:sz w:val="24"/>
          <w:highlight w:val="none"/>
          <w:lang w:val="en-US" w:eastAsia="zh-CN"/>
        </w:rPr>
        <w:t xml:space="preserve">, </w:t>
      </w:r>
      <w:r>
        <w:rPr>
          <w:rFonts w:hint="default" w:ascii="Times New Roman" w:hAnsi="Times New Roman" w:cs="Times New Roman"/>
          <w:bCs/>
          <w:sz w:val="24"/>
          <w:highlight w:val="none"/>
          <w:lang w:val="en-US" w:eastAsia="zh-CN"/>
        </w:rPr>
        <w:t>which incorporates topology structure, hydrological and biogeochemical processes. It assumes that the N</w:t>
      </w:r>
      <w:r>
        <w:rPr>
          <w:rFonts w:hint="eastAsia" w:ascii="Times New Roman" w:hAnsi="Times New Roman" w:cs="Times New Roman"/>
          <w:bCs/>
          <w:sz w:val="24"/>
          <w:highlight w:val="none"/>
          <w:lang w:val="en-US" w:eastAsia="zh-CN"/>
        </w:rPr>
        <w:t>r</w:t>
      </w:r>
      <w:r>
        <w:rPr>
          <w:rFonts w:hint="default" w:ascii="Times New Roman" w:hAnsi="Times New Roman" w:cs="Times New Roman"/>
          <w:bCs/>
          <w:sz w:val="24"/>
          <w:highlight w:val="none"/>
          <w:lang w:val="en-US" w:eastAsia="zh-CN"/>
        </w:rPr>
        <w:t xml:space="preserve"> entering the </w:t>
      </w:r>
      <w:r>
        <w:rPr>
          <w:rFonts w:hint="eastAsia" w:ascii="Times New Roman" w:hAnsi="Times New Roman" w:cs="Times New Roman"/>
          <w:bCs/>
          <w:sz w:val="24"/>
          <w:highlight w:val="none"/>
          <w:lang w:val="en-US" w:eastAsia="zh-CN"/>
        </w:rPr>
        <w:t xml:space="preserve">surface </w:t>
      </w:r>
      <w:r>
        <w:rPr>
          <w:rFonts w:hint="default" w:ascii="Times New Roman" w:hAnsi="Times New Roman" w:cs="Times New Roman"/>
          <w:bCs/>
          <w:sz w:val="24"/>
          <w:highlight w:val="none"/>
          <w:lang w:val="en-US" w:eastAsia="zh-CN"/>
        </w:rPr>
        <w:t xml:space="preserve">water body, through a combination of linear water bodies (LW) and isolated areal water bodies (AW), eventually enters the ocean. Loading of Nr in </w:t>
      </w:r>
      <w:r>
        <w:rPr>
          <w:rFonts w:hint="default" w:ascii="Times New Roman" w:hAnsi="Times New Roman" w:cs="Times New Roman"/>
          <w:bCs/>
          <w:i/>
          <w:iCs/>
          <w:sz w:val="24"/>
          <w:highlight w:val="none"/>
          <w:lang w:val="en-US" w:eastAsia="zh-CN"/>
        </w:rPr>
        <w:t>i</w:t>
      </w:r>
      <w:r>
        <w:rPr>
          <w:rFonts w:hint="default" w:ascii="Times New Roman" w:hAnsi="Times New Roman" w:cs="Times New Roman"/>
          <w:bCs/>
          <w:sz w:val="24"/>
          <w:highlight w:val="none"/>
          <w:lang w:val="en-US" w:eastAsia="zh-CN"/>
        </w:rPr>
        <w:t>th grid to sea</w:t>
      </w:r>
      <w:r>
        <w:rPr>
          <w:rFonts w:hint="default" w:ascii="Times New Roman" w:hAnsi="Times New Roman" w:eastAsia="等线" w:cs="Times New Roman"/>
          <w:highlight w:val="none"/>
          <w:lang w:val="en-US" w:eastAsia="zh-CN"/>
        </w:rPr>
        <w:t xml:space="preserve"> (</w:t>
      </w:r>
      <w:r>
        <w:rPr>
          <w:rFonts w:hint="default" w:ascii="Times New Roman" w:hAnsi="Times New Roman" w:eastAsia="等线" w:cs="Times New Roman"/>
          <w:i/>
          <w:iCs/>
          <w:highlight w:val="none"/>
          <w:lang w:val="en-US" w:eastAsia="zh-CN"/>
        </w:rPr>
        <w:t>NtoS</w:t>
      </w:r>
      <w:r>
        <w:rPr>
          <w:rFonts w:hint="default" w:ascii="Times New Roman" w:hAnsi="Times New Roman" w:eastAsia="等线" w:cs="Times New Roman"/>
          <w:i/>
          <w:iCs/>
          <w:highlight w:val="none"/>
          <w:vertAlign w:val="subscript"/>
          <w:lang w:val="en-US" w:eastAsia="zh-CN"/>
        </w:rPr>
        <w:t>i</w:t>
      </w:r>
      <w:r>
        <w:rPr>
          <w:rFonts w:hint="default" w:ascii="Times New Roman" w:hAnsi="Times New Roman" w:eastAsia="等线" w:cs="Times New Roman"/>
          <w:highlight w:val="none"/>
          <w:lang w:val="en-US" w:eastAsia="zh-CN"/>
        </w:rPr>
        <w:t xml:space="preserve">) </w:t>
      </w:r>
      <w:r>
        <w:rPr>
          <w:rFonts w:hint="default" w:ascii="Times New Roman" w:hAnsi="Times New Roman" w:cs="Times New Roman"/>
          <w:bCs/>
          <w:sz w:val="24"/>
          <w:highlight w:val="none"/>
          <w:lang w:val="en-US" w:eastAsia="zh-CN"/>
        </w:rPr>
        <w:t xml:space="preserve">were estimated as follow: </w:t>
      </w:r>
    </w:p>
    <w:p>
      <w:pPr>
        <w:adjustRightInd w:val="0"/>
        <w:snapToGrid w:val="0"/>
        <w:jc w:val="right"/>
        <w:rPr>
          <w:rFonts w:hint="default" w:ascii="Times New Roman" w:hAnsi="Times New Roman" w:cs="Times New Roman"/>
          <w:position w:val="-28"/>
          <w:sz w:val="24"/>
          <w:highlight w:val="none"/>
        </w:rPr>
      </w:pPr>
      <w:r>
        <w:rPr>
          <w:rFonts w:hint="default" w:ascii="Times New Roman" w:hAnsi="Times New Roman" w:cs="Times New Roman"/>
          <w:position w:val="-18"/>
          <w:sz w:val="24"/>
          <w:highlight w:val="none"/>
        </w:rPr>
        <w:object>
          <v:shape id="_x0000_i1037" o:spt="75" type="#_x0000_t75" style="height:29.4pt;width:143.65pt;" o:ole="t" filled="f" o:preferrelative="t" stroked="f" coordsize="21600,21600">
            <v:path/>
            <v:fill on="f" focussize="0,0"/>
            <v:stroke on="f"/>
            <v:imagedata r:id="rId30" o:title=""/>
            <o:lock v:ext="edit" aspectratio="t"/>
            <w10:wrap type="none"/>
            <w10:anchorlock/>
          </v:shape>
          <o:OLEObject Type="Embed" ProgID="Equation.KSEE3" ShapeID="_x0000_i1037" DrawAspect="Content" ObjectID="_1468075737" r:id="rId29">
            <o:LockedField>false</o:LockedField>
          </o:OLEObject>
        </w:object>
      </w:r>
      <w:r>
        <w:rPr>
          <w:rFonts w:hint="default" w:ascii="Times New Roman" w:hAnsi="Times New Roman" w:cs="Times New Roman"/>
          <w:position w:val="-16"/>
          <w:sz w:val="24"/>
          <w:highlight w:val="none"/>
          <w:lang w:val="en-US" w:eastAsia="zh-CN"/>
        </w:rPr>
        <w:t xml:space="preserve">     </w:t>
      </w:r>
      <w:r>
        <w:rPr>
          <w:rFonts w:hint="eastAsia" w:ascii="Times New Roman" w:hAnsi="Times New Roman" w:cs="Times New Roman"/>
          <w:position w:val="-16"/>
          <w:sz w:val="24"/>
          <w:highlight w:val="none"/>
          <w:lang w:val="en-US" w:eastAsia="zh-CN"/>
        </w:rPr>
        <w:t xml:space="preserve">         </w:t>
      </w:r>
      <w:r>
        <w:rPr>
          <w:rFonts w:hint="default" w:ascii="Times New Roman" w:hAnsi="Times New Roman" w:cs="Times New Roman"/>
          <w:position w:val="-16"/>
          <w:sz w:val="24"/>
          <w:highlight w:val="none"/>
          <w:lang w:val="en-US" w:eastAsia="zh-CN"/>
        </w:rPr>
        <w:t xml:space="preserve">     </w:t>
      </w:r>
      <w:r>
        <w:rPr>
          <w:rFonts w:hint="default" w:ascii="Times New Roman" w:hAnsi="Times New Roman" w:cs="Times New Roman"/>
          <w:sz w:val="24"/>
          <w:highlight w:val="none"/>
        </w:rPr>
        <w:t xml:space="preserve"> (</w:t>
      </w:r>
      <w:r>
        <w:rPr>
          <w:rFonts w:hint="eastAsia" w:ascii="Times New Roman" w:hAnsi="Times New Roman" w:cs="Times New Roman"/>
          <w:sz w:val="24"/>
          <w:highlight w:val="none"/>
          <w:lang w:val="en-US" w:eastAsia="zh-CN"/>
        </w:rPr>
        <w:t>12</w:t>
      </w:r>
      <w:r>
        <w:rPr>
          <w:rFonts w:hint="default" w:ascii="Times New Roman" w:hAnsi="Times New Roman" w:cs="Times New Roman"/>
          <w:sz w:val="24"/>
          <w:highlight w:val="none"/>
        </w:rPr>
        <w:t>)</w:t>
      </w:r>
    </w:p>
    <w:p>
      <w:pPr>
        <w:keepNext w:val="0"/>
        <w:keepLines w:val="0"/>
        <w:widowControl/>
        <w:suppressLineNumbers w:val="0"/>
        <w:jc w:val="left"/>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cs="Times New Roman"/>
          <w:highlight w:val="none"/>
          <w:lang w:val="en-US" w:eastAsia="zh-CN"/>
        </w:rPr>
        <w:t>where</w:t>
      </w:r>
      <w:r>
        <w:rPr>
          <w:rFonts w:hint="default" w:ascii="Times New Roman" w:hAnsi="Times New Roman" w:cs="Times New Roman"/>
          <w:i/>
          <w:iCs/>
          <w:highlight w:val="none"/>
          <w:lang w:val="en-US" w:eastAsia="zh-CN"/>
        </w:rPr>
        <w:t xml:space="preserve"> S</w:t>
      </w:r>
      <w:r>
        <w:rPr>
          <w:rFonts w:hint="default" w:ascii="Times New Roman" w:hAnsi="Times New Roman" w:cs="Times New Roman"/>
          <w:i/>
          <w:iCs/>
          <w:highlight w:val="none"/>
          <w:vertAlign w:val="subscript"/>
          <w:lang w:val="en-US" w:eastAsia="zh-CN"/>
        </w:rPr>
        <w:t>i</w:t>
      </w:r>
      <w:r>
        <w:rPr>
          <w:rFonts w:hint="default" w:ascii="Times New Roman" w:hAnsi="Times New Roman" w:cs="Times New Roman"/>
          <w:highlight w:val="none"/>
          <w:lang w:val="en-US" w:eastAsia="zh-CN"/>
        </w:rPr>
        <w:t xml:space="preserve"> refers Nr output to inland water in </w:t>
      </w:r>
      <w:r>
        <w:rPr>
          <w:rFonts w:hint="default" w:ascii="Times New Roman" w:hAnsi="Times New Roman" w:cs="Times New Roman"/>
          <w:i/>
          <w:iCs/>
          <w:highlight w:val="none"/>
          <w:lang w:val="en-US" w:eastAsia="zh-CN"/>
        </w:rPr>
        <w:t>i</w:t>
      </w:r>
      <w:r>
        <w:rPr>
          <w:rFonts w:hint="default" w:ascii="Times New Roman" w:hAnsi="Times New Roman" w:cs="Times New Roman"/>
          <w:highlight w:val="none"/>
          <w:lang w:val="en-US" w:eastAsia="zh-CN"/>
        </w:rPr>
        <w:t xml:space="preserve">th grid calculating by CHANS. </w:t>
      </w:r>
      <w:r>
        <w:rPr>
          <w:rFonts w:hint="default" w:ascii="Times New Roman" w:hAnsi="Times New Roman" w:cs="Times New Roman"/>
          <w:i/>
          <w:iCs/>
          <w:highlight w:val="none"/>
          <w:lang w:val="en-US" w:eastAsia="zh-CN"/>
        </w:rPr>
        <w:t>R</w:t>
      </w:r>
      <w:r>
        <w:rPr>
          <w:rFonts w:hint="default" w:ascii="Times New Roman" w:hAnsi="Times New Roman" w:cs="Times New Roman"/>
          <w:i/>
          <w:iCs/>
          <w:highlight w:val="none"/>
          <w:vertAlign w:val="subscript"/>
          <w:lang w:val="en-US" w:eastAsia="zh-CN"/>
        </w:rPr>
        <w:t>l</w:t>
      </w:r>
      <w:r>
        <w:rPr>
          <w:rFonts w:hint="default" w:ascii="Times New Roman" w:hAnsi="Times New Roman" w:cs="Times New Roman"/>
          <w:highlight w:val="none"/>
          <w:lang w:val="en-US" w:eastAsia="zh-CN"/>
        </w:rPr>
        <w:t xml:space="preserve"> and </w:t>
      </w:r>
      <w:r>
        <w:rPr>
          <w:rFonts w:hint="default" w:ascii="Times New Roman" w:hAnsi="Times New Roman" w:cs="Times New Roman"/>
          <w:i/>
          <w:iCs/>
          <w:highlight w:val="none"/>
          <w:lang w:val="en-US" w:eastAsia="zh-CN"/>
        </w:rPr>
        <w:t>R</w:t>
      </w:r>
      <w:r>
        <w:rPr>
          <w:rFonts w:hint="default" w:ascii="Times New Roman" w:hAnsi="Times New Roman" w:cs="Times New Roman"/>
          <w:i/>
          <w:iCs/>
          <w:highlight w:val="none"/>
          <w:vertAlign w:val="subscript"/>
          <w:lang w:val="en-US" w:eastAsia="zh-CN"/>
        </w:rPr>
        <w:t>a</w:t>
      </w:r>
      <w:r>
        <w:rPr>
          <w:rFonts w:hint="default" w:ascii="Times New Roman" w:hAnsi="Times New Roman" w:cs="Times New Roman"/>
          <w:i/>
          <w:iCs/>
          <w:highlight w:val="none"/>
          <w:lang w:val="en-US" w:eastAsia="zh-CN"/>
        </w:rPr>
        <w:t xml:space="preserve"> </w:t>
      </w:r>
      <w:r>
        <w:rPr>
          <w:rFonts w:hint="default" w:ascii="Times New Roman" w:hAnsi="Times New Roman" w:cs="Times New Roman"/>
          <w:highlight w:val="none"/>
          <w:lang w:val="en-US" w:eastAsia="zh-CN"/>
        </w:rPr>
        <w:t xml:space="preserve">were the released factor of Nr during linear water bodies and areal water bodies, respectively. </w:t>
      </w:r>
      <w:r>
        <w:rPr>
          <w:rFonts w:hint="default" w:ascii="Times New Roman" w:hAnsi="Times New Roman" w:cs="Times New Roman"/>
          <w:i/>
          <w:iCs/>
          <w:highlight w:val="none"/>
          <w:lang w:val="en-US" w:eastAsia="zh-CN"/>
        </w:rPr>
        <w:t>j</w:t>
      </w:r>
      <w:r>
        <w:rPr>
          <w:rFonts w:hint="default" w:ascii="Times New Roman" w:hAnsi="Times New Roman" w:cs="Times New Roman"/>
          <w:highlight w:val="none"/>
          <w:lang w:val="en-US" w:eastAsia="zh-CN"/>
        </w:rPr>
        <w:t xml:space="preserve"> refers the different </w:t>
      </w:r>
      <w:r>
        <w:rPr>
          <w:rFonts w:hint="default" w:ascii="Times New Roman" w:hAnsi="Times New Roman" w:eastAsia="等线" w:cs="Times New Roman"/>
          <w:highlight w:val="none"/>
          <w:lang w:val="en-US" w:eastAsia="zh-CN"/>
        </w:rPr>
        <w:t>Strahler Order</w:t>
      </w:r>
      <w:r>
        <w:rPr>
          <w:rFonts w:hint="default" w:ascii="Times New Roman" w:hAnsi="Times New Roman" w:cs="Times New Roman"/>
          <w:highlight w:val="none"/>
          <w:lang w:val="en-US" w:eastAsia="zh-CN"/>
        </w:rPr>
        <w:t xml:space="preserve"> for different linear water bodies. </w:t>
      </w:r>
      <w:r>
        <w:rPr>
          <w:rFonts w:hint="default" w:ascii="Times New Roman" w:hAnsi="Times New Roman" w:eastAsia="宋体" w:cs="Times New Roman"/>
          <w:color w:val="000000"/>
          <w:kern w:val="0"/>
          <w:sz w:val="21"/>
          <w:szCs w:val="21"/>
          <w:highlight w:val="none"/>
          <w:lang w:val="en-US" w:eastAsia="zh-CN" w:bidi="ar"/>
        </w:rPr>
        <w:t xml:space="preserve">We calculate the released factor of </w:t>
      </w:r>
      <w:r>
        <w:rPr>
          <w:rFonts w:hint="default" w:ascii="Times New Roman" w:hAnsi="Times New Roman" w:cs="Times New Roman"/>
          <w:color w:val="000000"/>
          <w:kern w:val="0"/>
          <w:sz w:val="21"/>
          <w:szCs w:val="21"/>
          <w:highlight w:val="none"/>
          <w:lang w:val="en-US" w:eastAsia="zh-CN" w:bidi="ar"/>
        </w:rPr>
        <w:t>Nr</w:t>
      </w:r>
      <w:r>
        <w:rPr>
          <w:rFonts w:hint="default" w:ascii="Times New Roman" w:hAnsi="Times New Roman" w:eastAsia="宋体" w:cs="Times New Roman"/>
          <w:color w:val="000000"/>
          <w:kern w:val="0"/>
          <w:sz w:val="21"/>
          <w:szCs w:val="21"/>
          <w:highlight w:val="none"/>
          <w:lang w:val="en-US" w:eastAsia="zh-CN" w:bidi="ar"/>
        </w:rPr>
        <w:t xml:space="preserve"> during water transport (</w:t>
      </w:r>
      <w:r>
        <w:rPr>
          <w:rFonts w:hint="default" w:ascii="Times New Roman" w:hAnsi="Times New Roman" w:cs="Times New Roman"/>
          <w:i/>
          <w:iCs/>
          <w:color w:val="000000"/>
          <w:kern w:val="0"/>
          <w:sz w:val="21"/>
          <w:szCs w:val="21"/>
          <w:highlight w:val="none"/>
          <w:lang w:val="en-US" w:eastAsia="zh-CN" w:bidi="ar"/>
        </w:rPr>
        <w:t>R</w:t>
      </w:r>
      <w:r>
        <w:rPr>
          <w:rFonts w:hint="default" w:ascii="Times New Roman" w:hAnsi="Times New Roman" w:cs="Times New Roman"/>
          <w:i/>
          <w:iCs/>
          <w:color w:val="000000"/>
          <w:kern w:val="0"/>
          <w:sz w:val="21"/>
          <w:szCs w:val="21"/>
          <w:highlight w:val="none"/>
          <w:vertAlign w:val="subscript"/>
          <w:lang w:val="en-US" w:eastAsia="zh-CN" w:bidi="ar"/>
        </w:rPr>
        <w:t>l</w:t>
      </w:r>
      <w:r>
        <w:rPr>
          <w:rFonts w:hint="default" w:ascii="Times New Roman" w:hAnsi="Times New Roman" w:cs="Times New Roman"/>
          <w:color w:val="000000"/>
          <w:kern w:val="0"/>
          <w:sz w:val="21"/>
          <w:szCs w:val="21"/>
          <w:highlight w:val="none"/>
          <w:lang w:val="en-US" w:eastAsia="zh-CN" w:bidi="ar"/>
        </w:rPr>
        <w:t xml:space="preserve"> and </w:t>
      </w:r>
      <w:r>
        <w:rPr>
          <w:rFonts w:hint="default" w:ascii="Times New Roman" w:hAnsi="Times New Roman" w:cs="Times New Roman"/>
          <w:i/>
          <w:iCs/>
          <w:color w:val="000000"/>
          <w:kern w:val="0"/>
          <w:sz w:val="21"/>
          <w:szCs w:val="21"/>
          <w:highlight w:val="none"/>
          <w:lang w:val="en-US" w:eastAsia="zh-CN" w:bidi="ar"/>
        </w:rPr>
        <w:t>R</w:t>
      </w:r>
      <w:r>
        <w:rPr>
          <w:rFonts w:hint="default" w:ascii="Times New Roman" w:hAnsi="Times New Roman" w:cs="Times New Roman"/>
          <w:i/>
          <w:iCs/>
          <w:color w:val="000000"/>
          <w:kern w:val="0"/>
          <w:sz w:val="21"/>
          <w:szCs w:val="21"/>
          <w:highlight w:val="none"/>
          <w:vertAlign w:val="subscript"/>
          <w:lang w:val="en-US" w:eastAsia="zh-CN" w:bidi="ar"/>
        </w:rPr>
        <w:t>a</w:t>
      </w:r>
      <w:r>
        <w:rPr>
          <w:rFonts w:hint="default" w:ascii="Times New Roman" w:hAnsi="Times New Roman" w:eastAsia="宋体" w:cs="Times New Roman"/>
          <w:color w:val="000000"/>
          <w:kern w:val="0"/>
          <w:sz w:val="21"/>
          <w:szCs w:val="21"/>
          <w:highlight w:val="none"/>
          <w:lang w:val="en-US" w:eastAsia="zh-CN" w:bidi="ar"/>
        </w:rPr>
        <w:t>) by letting each</w:t>
      </w:r>
      <w:r>
        <w:rPr>
          <w:rFonts w:hint="default" w:ascii="Times New Roman" w:hAnsi="Times New Roman" w:cs="Times New Roman"/>
          <w:color w:val="000000"/>
          <w:kern w:val="0"/>
          <w:sz w:val="21"/>
          <w:szCs w:val="21"/>
          <w:highlight w:val="none"/>
          <w:lang w:val="en-US" w:eastAsia="zh-CN" w:bidi="ar"/>
        </w:rPr>
        <w:t xml:space="preserve"> </w:t>
      </w:r>
      <w:r>
        <w:rPr>
          <w:rFonts w:hint="default" w:ascii="Times New Roman" w:hAnsi="Times New Roman" w:eastAsia="宋体" w:cs="Times New Roman"/>
          <w:color w:val="000000"/>
          <w:kern w:val="0"/>
          <w:sz w:val="21"/>
          <w:szCs w:val="21"/>
          <w:highlight w:val="none"/>
          <w:lang w:val="en-US" w:eastAsia="zh-CN" w:bidi="ar"/>
        </w:rPr>
        <w:t>unit of travel time (</w:t>
      </w:r>
      <w:r>
        <w:rPr>
          <w:rFonts w:hint="default" w:ascii="Times New Roman" w:hAnsi="Times New Roman" w:cs="Times New Roman"/>
          <w:i/>
          <w:iCs/>
          <w:color w:val="000000"/>
          <w:kern w:val="0"/>
          <w:sz w:val="21"/>
          <w:szCs w:val="21"/>
          <w:highlight w:val="none"/>
          <w:lang w:val="en-US" w:eastAsia="zh-CN" w:bidi="ar"/>
        </w:rPr>
        <w:t>t</w:t>
      </w:r>
      <w:r>
        <w:rPr>
          <w:rFonts w:hint="default" w:ascii="Times New Roman" w:hAnsi="Times New Roman" w:eastAsia="宋体" w:cs="Times New Roman"/>
          <w:color w:val="000000"/>
          <w:kern w:val="0"/>
          <w:sz w:val="21"/>
          <w:szCs w:val="21"/>
          <w:highlight w:val="none"/>
          <w:lang w:val="en-US" w:eastAsia="zh-CN" w:bidi="ar"/>
        </w:rPr>
        <w:t>) have a dynamic removal rate (</w:t>
      </w:r>
      <w:r>
        <w:rPr>
          <w:rFonts w:hint="default" w:ascii="Times New Roman" w:hAnsi="Times New Roman" w:cs="Times New Roman"/>
          <w:i/>
          <w:iCs/>
          <w:color w:val="000000"/>
          <w:kern w:val="0"/>
          <w:sz w:val="21"/>
          <w:szCs w:val="21"/>
          <w:highlight w:val="none"/>
          <w:lang w:val="en-US" w:eastAsia="zh-CN" w:bidi="ar"/>
        </w:rPr>
        <w:t>k</w:t>
      </w:r>
      <w:r>
        <w:rPr>
          <w:rFonts w:hint="default" w:ascii="Times New Roman" w:hAnsi="Times New Roman" w:eastAsia="宋体" w:cs="Times New Roman"/>
          <w:color w:val="000000"/>
          <w:kern w:val="0"/>
          <w:sz w:val="21"/>
          <w:szCs w:val="21"/>
          <w:highlight w:val="none"/>
          <w:lang w:val="en-US" w:eastAsia="zh-CN" w:bidi="ar"/>
        </w:rPr>
        <w:t xml:space="preserve">) of the </w:t>
      </w:r>
      <w:r>
        <w:rPr>
          <w:rFonts w:hint="default" w:ascii="Times New Roman" w:hAnsi="Times New Roman" w:cs="Times New Roman"/>
          <w:color w:val="000000"/>
          <w:kern w:val="0"/>
          <w:sz w:val="21"/>
          <w:szCs w:val="21"/>
          <w:highlight w:val="none"/>
          <w:lang w:val="en-US" w:eastAsia="zh-CN" w:bidi="ar"/>
        </w:rPr>
        <w:t>Nr</w:t>
      </w:r>
      <w:r>
        <w:rPr>
          <w:rFonts w:hint="default" w:ascii="Times New Roman" w:hAnsi="Times New Roman" w:eastAsia="宋体" w:cs="Times New Roman"/>
          <w:color w:val="000000"/>
          <w:kern w:val="0"/>
          <w:sz w:val="21"/>
          <w:szCs w:val="21"/>
          <w:highlight w:val="none"/>
          <w:lang w:val="en-US" w:eastAsia="zh-CN" w:bidi="ar"/>
        </w:rPr>
        <w:t xml:space="preserve"> it receives</w:t>
      </w:r>
      <w:r>
        <w:rPr>
          <w:rFonts w:hint="default" w:ascii="Times New Roman" w:hAnsi="Times New Roman" w:cs="Times New Roman"/>
          <w:bCs/>
          <w:sz w:val="24"/>
          <w:highlight w:val="none"/>
        </w:rPr>
        <w:fldChar w:fldCharType="begin"/>
      </w:r>
      <w:r>
        <w:rPr>
          <w:rFonts w:hint="eastAsia" w:ascii="Times New Roman" w:hAnsi="Times New Roman" w:cs="Times New Roman"/>
          <w:bCs/>
          <w:sz w:val="24"/>
          <w:highlight w:val="none"/>
          <w:lang w:eastAsia="zh-CN"/>
        </w:rPr>
        <w:instrText xml:space="preserve"> ADDIN NE.Ref.{66578471-7418-4B7F-90B2-93F350BDD0E3}</w:instrText>
      </w:r>
      <w:r>
        <w:rPr>
          <w:rFonts w:hint="default" w:ascii="Times New Roman" w:hAnsi="Times New Roman" w:cs="Times New Roman"/>
          <w:bCs/>
          <w:sz w:val="24"/>
          <w:highlight w:val="none"/>
        </w:rPr>
        <w:fldChar w:fldCharType="separate"/>
      </w:r>
      <w:r>
        <w:rPr>
          <w:rFonts w:hint="default" w:ascii="Times New Roman" w:hAnsi="Times New Roman" w:eastAsia="Times New Roman"/>
          <w:color w:val="080000"/>
          <w:sz w:val="24"/>
          <w:szCs w:val="24"/>
          <w:highlight w:val="none"/>
          <w:vertAlign w:val="superscript"/>
        </w:rPr>
        <w:t>11</w:t>
      </w:r>
      <w:r>
        <w:rPr>
          <w:rFonts w:hint="default" w:ascii="Times New Roman" w:hAnsi="Times New Roman" w:cs="Times New Roman"/>
          <w:bCs/>
          <w:sz w:val="24"/>
          <w:highlight w:val="none"/>
        </w:rPr>
        <w:fldChar w:fldCharType="end"/>
      </w:r>
      <w:r>
        <w:rPr>
          <w:rFonts w:hint="default" w:ascii="Times New Roman" w:hAnsi="Times New Roman" w:eastAsia="宋体" w:cs="Times New Roman"/>
          <w:color w:val="000000"/>
          <w:kern w:val="0"/>
          <w:sz w:val="21"/>
          <w:szCs w:val="21"/>
          <w:highlight w:val="none"/>
          <w:lang w:val="en-US" w:eastAsia="zh-CN" w:bidi="ar"/>
        </w:rPr>
        <w:t xml:space="preserve">. </w:t>
      </w:r>
    </w:p>
    <w:p>
      <w:pPr>
        <w:adjustRightInd w:val="0"/>
        <w:snapToGrid w:val="0"/>
        <w:jc w:val="right"/>
        <w:rPr>
          <w:rFonts w:hint="default" w:ascii="Times New Roman" w:hAnsi="Times New Roman" w:cs="Times New Roman"/>
          <w:position w:val="-28"/>
          <w:sz w:val="24"/>
          <w:highlight w:val="none"/>
        </w:rPr>
      </w:pPr>
      <w:r>
        <w:rPr>
          <w:rFonts w:hint="default" w:ascii="Times New Roman" w:hAnsi="Times New Roman" w:cs="Times New Roman"/>
          <w:highlight w:val="none"/>
          <w:lang w:val="en-US" w:eastAsia="zh-CN"/>
        </w:rPr>
        <w:t xml:space="preserve"> </w:t>
      </w:r>
      <w:r>
        <w:rPr>
          <w:rFonts w:hint="default" w:ascii="Times New Roman" w:hAnsi="Times New Roman" w:cs="Times New Roman"/>
          <w:position w:val="-10"/>
          <w:sz w:val="24"/>
          <w:highlight w:val="none"/>
        </w:rPr>
        <w:object>
          <v:shape id="_x0000_i1038" o:spt="75" type="#_x0000_t75" style="height:22.75pt;width:87.85pt;" o:ole="t" filled="f" o:preferrelative="t" stroked="f" coordsize="21600,21600">
            <v:path/>
            <v:fill on="f" focussize="0,0"/>
            <v:stroke on="f"/>
            <v:imagedata r:id="rId32" o:title=""/>
            <o:lock v:ext="edit" aspectratio="t"/>
            <w10:wrap type="none"/>
            <w10:anchorlock/>
          </v:shape>
          <o:OLEObject Type="Embed" ProgID="Equation.KSEE3" ShapeID="_x0000_i1038" DrawAspect="Content" ObjectID="_1468075738" r:id="rId31">
            <o:LockedField>false</o:LockedField>
          </o:OLEObject>
        </w:object>
      </w:r>
      <w:r>
        <w:rPr>
          <w:rFonts w:hint="eastAsia" w:ascii="Times New Roman" w:hAnsi="Times New Roman" w:cs="Times New Roman"/>
          <w:position w:val="-10"/>
          <w:sz w:val="24"/>
          <w:highlight w:val="none"/>
          <w:lang w:val="en-US" w:eastAsia="zh-CN"/>
        </w:rPr>
        <w:t xml:space="preserve">                        </w:t>
      </w:r>
      <w:r>
        <w:rPr>
          <w:rFonts w:hint="default" w:ascii="Times New Roman" w:hAnsi="Times New Roman" w:cs="Times New Roman"/>
          <w:position w:val="-16"/>
          <w:sz w:val="24"/>
          <w:highlight w:val="none"/>
          <w:lang w:val="en-US" w:eastAsia="zh-CN"/>
        </w:rPr>
        <w:t xml:space="preserve"> </w:t>
      </w:r>
      <w:r>
        <w:rPr>
          <w:rFonts w:hint="default" w:ascii="Times New Roman" w:hAnsi="Times New Roman" w:cs="Times New Roman"/>
          <w:sz w:val="24"/>
          <w:highlight w:val="none"/>
        </w:rPr>
        <w:t xml:space="preserve"> (</w:t>
      </w:r>
      <w:r>
        <w:rPr>
          <w:rFonts w:hint="eastAsia" w:ascii="Times New Roman" w:hAnsi="Times New Roman" w:cs="Times New Roman"/>
          <w:sz w:val="24"/>
          <w:highlight w:val="none"/>
          <w:lang w:val="en-US" w:eastAsia="zh-CN"/>
        </w:rPr>
        <w:t>13</w:t>
      </w:r>
      <w:r>
        <w:rPr>
          <w:rFonts w:hint="default" w:ascii="Times New Roman" w:hAnsi="Times New Roman" w:cs="Times New Roman"/>
          <w:sz w:val="24"/>
          <w:highlight w:val="none"/>
        </w:rPr>
        <w:t>)</w:t>
      </w:r>
    </w:p>
    <w:p>
      <w:pPr>
        <w:keepNext w:val="0"/>
        <w:keepLines w:val="0"/>
        <w:widowControl/>
        <w:suppressLineNumbers w:val="0"/>
        <w:jc w:val="left"/>
        <w:rPr>
          <w:rFonts w:hint="default" w:ascii="Times New Roman" w:hAnsi="Times New Roman" w:cs="Times New Roman"/>
          <w:position w:val="-10"/>
          <w:sz w:val="24"/>
          <w:highlight w:val="none"/>
        </w:rPr>
      </w:pPr>
    </w:p>
    <w:p>
      <w:pPr>
        <w:adjustRightInd w:val="0"/>
        <w:snapToGrid w:val="0"/>
        <w:jc w:val="left"/>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 xml:space="preserve">The calculation of </w:t>
      </w:r>
      <w:r>
        <w:rPr>
          <w:rFonts w:hint="default" w:ascii="Times New Roman" w:hAnsi="Times New Roman" w:cs="Times New Roman"/>
          <w:i/>
          <w:iCs/>
          <w:color w:val="000000"/>
          <w:kern w:val="0"/>
          <w:sz w:val="21"/>
          <w:szCs w:val="21"/>
          <w:highlight w:val="none"/>
          <w:lang w:val="en-US" w:eastAsia="zh-CN" w:bidi="ar"/>
        </w:rPr>
        <w:t>k</w:t>
      </w:r>
      <w:r>
        <w:rPr>
          <w:rFonts w:hint="default" w:ascii="Times New Roman" w:hAnsi="Times New Roman" w:cs="Times New Roman"/>
          <w:color w:val="000000"/>
          <w:kern w:val="0"/>
          <w:sz w:val="21"/>
          <w:szCs w:val="21"/>
          <w:highlight w:val="none"/>
          <w:lang w:val="en-US" w:eastAsia="zh-CN" w:bidi="ar"/>
        </w:rPr>
        <w:t xml:space="preserve"> </w:t>
      </w:r>
      <w:r>
        <w:rPr>
          <w:rFonts w:hint="default" w:ascii="Times New Roman" w:hAnsi="Times New Roman" w:eastAsia="宋体" w:cs="Times New Roman"/>
          <w:color w:val="000000"/>
          <w:kern w:val="0"/>
          <w:sz w:val="21"/>
          <w:szCs w:val="21"/>
          <w:highlight w:val="none"/>
          <w:lang w:val="en-US" w:eastAsia="zh-CN" w:bidi="ar"/>
        </w:rPr>
        <w:t>includes the importance of water size,</w:t>
      </w:r>
      <w:r>
        <w:rPr>
          <w:rFonts w:hint="default" w:ascii="Times New Roman" w:hAnsi="Times New Roman" w:eastAsia="宋体" w:cs="Times New Roman"/>
          <w:color w:val="auto"/>
          <w:kern w:val="0"/>
          <w:sz w:val="21"/>
          <w:szCs w:val="21"/>
          <w:highlight w:val="none"/>
          <w:lang w:val="en-US" w:eastAsia="zh-CN" w:bidi="ar"/>
        </w:rPr>
        <w:t xml:space="preserve"> location, and water type as described in</w:t>
      </w:r>
      <w:r>
        <w:rPr>
          <w:rFonts w:hint="default" w:ascii="Times New Roman" w:hAnsi="Times New Roman" w:cs="Times New Roman"/>
          <w:color w:val="auto"/>
          <w:kern w:val="0"/>
          <w:sz w:val="21"/>
          <w:szCs w:val="21"/>
          <w:highlight w:val="none"/>
          <w:lang w:val="en-US" w:eastAsia="zh-CN" w:bidi="ar"/>
        </w:rPr>
        <w:t xml:space="preserve"> </w:t>
      </w:r>
      <w:r>
        <w:rPr>
          <w:rFonts w:hint="default" w:ascii="Times New Roman" w:hAnsi="Times New Roman" w:eastAsia="宋体" w:cs="Times New Roman"/>
          <w:color w:val="auto"/>
          <w:kern w:val="0"/>
          <w:sz w:val="21"/>
          <w:szCs w:val="21"/>
          <w:highlight w:val="none"/>
          <w:lang w:val="en-US" w:eastAsia="zh-CN" w:bidi="ar"/>
        </w:rPr>
        <w:t>Xia and Yan</w:t>
      </w:r>
      <w:r>
        <w:rPr>
          <w:rFonts w:hint="default" w:ascii="Times New Roman" w:hAnsi="Times New Roman" w:cs="Times New Roman"/>
          <w:color w:val="auto"/>
          <w:kern w:val="0"/>
          <w:sz w:val="21"/>
          <w:szCs w:val="21"/>
          <w:highlight w:val="none"/>
          <w:lang w:val="en-US" w:eastAsia="zh-CN" w:bidi="ar"/>
        </w:rPr>
        <w:t xml:space="preserve"> (</w:t>
      </w:r>
      <w:r>
        <w:rPr>
          <w:rFonts w:hint="default" w:ascii="Times New Roman" w:hAnsi="Times New Roman" w:eastAsia="宋体" w:cs="Times New Roman"/>
          <w:color w:val="auto"/>
          <w:kern w:val="0"/>
          <w:sz w:val="21"/>
          <w:szCs w:val="21"/>
          <w:highlight w:val="none"/>
          <w:lang w:val="en-US" w:eastAsia="zh-CN" w:bidi="ar"/>
        </w:rPr>
        <w:t>2020</w:t>
      </w:r>
      <w:r>
        <w:rPr>
          <w:rFonts w:hint="default" w:ascii="Times New Roman" w:hAnsi="Times New Roman" w:cs="Times New Roman"/>
          <w:color w:val="auto"/>
          <w:kern w:val="0"/>
          <w:sz w:val="21"/>
          <w:szCs w:val="21"/>
          <w:highlight w:val="none"/>
          <w:lang w:val="en-US" w:eastAsia="zh-CN" w:bidi="ar"/>
        </w:rPr>
        <w:t>)</w:t>
      </w:r>
      <w:r>
        <w:rPr>
          <w:rFonts w:hint="default" w:ascii="Times New Roman" w:hAnsi="Times New Roman" w:cs="Times New Roman"/>
          <w:color w:val="auto"/>
          <w:kern w:val="0"/>
          <w:sz w:val="21"/>
          <w:szCs w:val="21"/>
          <w:highlight w:val="none"/>
          <w:lang w:val="en-US" w:eastAsia="zh-CN" w:bidi="ar"/>
        </w:rPr>
        <w:fldChar w:fldCharType="begin"/>
      </w:r>
      <w:r>
        <w:rPr>
          <w:rFonts w:hint="eastAsia" w:ascii="Times New Roman" w:hAnsi="Times New Roman" w:cs="Times New Roman"/>
          <w:color w:val="auto"/>
          <w:kern w:val="0"/>
          <w:sz w:val="21"/>
          <w:szCs w:val="21"/>
          <w:highlight w:val="none"/>
          <w:lang w:val="en-US" w:eastAsia="zh-CN" w:bidi="ar"/>
        </w:rPr>
        <w:instrText xml:space="preserve"> ADDIN NE.Ref.{3B857C44-31A0-4AB3-ABE1-F0F26E55CEDF}</w:instrText>
      </w:r>
      <w:r>
        <w:rPr>
          <w:rFonts w:hint="default" w:ascii="Times New Roman" w:hAnsi="Times New Roman" w:cs="Times New Roman"/>
          <w:color w:val="auto"/>
          <w:kern w:val="0"/>
          <w:sz w:val="21"/>
          <w:szCs w:val="21"/>
          <w:highlight w:val="none"/>
          <w:lang w:val="en-US" w:eastAsia="zh-CN" w:bidi="ar"/>
        </w:rPr>
        <w:fldChar w:fldCharType="separate"/>
      </w:r>
      <w:r>
        <w:rPr>
          <w:rFonts w:hint="eastAsia" w:ascii="宋体" w:hAnsi="宋体"/>
          <w:color w:val="080000"/>
          <w:sz w:val="21"/>
          <w:szCs w:val="24"/>
          <w:highlight w:val="none"/>
          <w:vertAlign w:val="superscript"/>
        </w:rPr>
        <w:t>12</w:t>
      </w:r>
      <w:r>
        <w:rPr>
          <w:rFonts w:hint="default" w:ascii="Times New Roman" w:hAnsi="Times New Roman" w:cs="Times New Roman"/>
          <w:color w:val="auto"/>
          <w:kern w:val="0"/>
          <w:sz w:val="21"/>
          <w:szCs w:val="21"/>
          <w:highlight w:val="none"/>
          <w:lang w:val="en-US" w:eastAsia="zh-CN" w:bidi="ar"/>
        </w:rPr>
        <w:fldChar w:fldCharType="end"/>
      </w:r>
      <w:r>
        <w:rPr>
          <w:rFonts w:hint="eastAsia" w:ascii="Times New Roman" w:hAnsi="Times New Roman" w:cs="Times New Roman"/>
          <w:color w:val="auto"/>
          <w:kern w:val="0"/>
          <w:sz w:val="21"/>
          <w:szCs w:val="21"/>
          <w:highlight w:val="none"/>
          <w:lang w:val="en-US" w:eastAsia="zh-CN" w:bidi="ar"/>
        </w:rPr>
        <w:t xml:space="preserve"> and </w:t>
      </w:r>
      <w:r>
        <w:rPr>
          <w:rFonts w:hint="default" w:ascii="Times New Roman" w:hAnsi="Times New Roman" w:cs="Times New Roman"/>
          <w:bCs/>
          <w:color w:val="auto"/>
          <w:sz w:val="24"/>
          <w:highlight w:val="none"/>
        </w:rPr>
        <w:fldChar w:fldCharType="begin"/>
      </w:r>
      <w:r>
        <w:rPr>
          <w:rFonts w:hint="default" w:ascii="Times New Roman" w:hAnsi="Times New Roman" w:cs="Times New Roman"/>
          <w:bCs/>
          <w:color w:val="auto"/>
          <w:sz w:val="24"/>
          <w:highlight w:val="none"/>
        </w:rPr>
        <w:instrText xml:space="preserve"> ADDIN EN.CITE &lt;EndNote&gt;&lt;Cite&gt;&lt;Author&gt;Alexander&lt;/Author&gt;&lt;Year&gt;2000&lt;/Year&gt;&lt;RecNum&gt;2152&lt;/RecNum&gt;&lt;DisplayText&gt;(Alexander et al. 2000)&lt;/DisplayText&gt;&lt;record&gt;&lt;rec-number&gt;2152&lt;/rec-number&gt;&lt;foreign-keys&gt;&lt;key app="EN" db-id="rwp05dfx72e9roep2rax5wwfsvsxvw2vptaz" timestamp="0"&gt;2152&lt;/key&gt;&lt;/foreign-keys&gt;&lt;ref-type name="Journal Article"&gt;17&lt;/ref-type&gt;&lt;contributors&gt;&lt;authors&gt;&lt;author&gt;Alexander, R. B.&lt;/author&gt;&lt;author&gt;Smith, R. A.&lt;/author&gt;&lt;author&gt;Schwarz, G. E.&lt;/author&gt;&lt;/authors&gt;&lt;/contributors&gt;&lt;titles&gt;&lt;title&gt;Effect of stream channel size on the delivery of nitrogen to the Gulf of Mexico&lt;/title&gt;&lt;secondary-title&gt;Nature&lt;/secondary-title&gt;&lt;/titles&gt;&lt;pages&gt;758-761&lt;/pages&gt;&lt;volume&gt;403&lt;/volume&gt;&lt;number&gt;6771&lt;/number&gt;&lt;dates&gt;&lt;year&gt;2000&lt;/year&gt;&lt;/dates&gt;&lt;isbn&gt;0028-0836&lt;/isbn&gt;&lt;urls&gt;&lt;/urls&gt;&lt;/record&gt;&lt;/Cite&gt;&lt;/EndNote&gt;</w:instrText>
      </w:r>
      <w:r>
        <w:rPr>
          <w:rFonts w:hint="default" w:ascii="Times New Roman" w:hAnsi="Times New Roman" w:cs="Times New Roman"/>
          <w:bCs/>
          <w:color w:val="auto"/>
          <w:sz w:val="24"/>
          <w:highlight w:val="none"/>
        </w:rPr>
        <w:fldChar w:fldCharType="separate"/>
      </w:r>
      <w:r>
        <w:rPr>
          <w:rFonts w:hint="default" w:ascii="Times New Roman" w:hAnsi="Times New Roman" w:cs="Times New Roman"/>
          <w:bCs/>
          <w:color w:val="auto"/>
          <w:sz w:val="24"/>
          <w:highlight w:val="none"/>
        </w:rPr>
        <w:t>Alexander et al (2000)</w:t>
      </w:r>
      <w:r>
        <w:rPr>
          <w:rFonts w:hint="default" w:ascii="Times New Roman" w:hAnsi="Times New Roman" w:cs="Times New Roman"/>
          <w:bCs/>
          <w:color w:val="auto"/>
          <w:sz w:val="24"/>
          <w:highlight w:val="none"/>
        </w:rPr>
        <w:fldChar w:fldCharType="end"/>
      </w:r>
      <w:r>
        <w:rPr>
          <w:rFonts w:hint="default" w:ascii="Times New Roman" w:hAnsi="Times New Roman" w:cs="Times New Roman"/>
          <w:bCs/>
          <w:color w:val="auto"/>
          <w:sz w:val="24"/>
          <w:highlight w:val="none"/>
        </w:rPr>
        <w:fldChar w:fldCharType="begin"/>
      </w:r>
      <w:r>
        <w:rPr>
          <w:rFonts w:hint="eastAsia" w:ascii="Times New Roman" w:hAnsi="Times New Roman" w:cs="Times New Roman"/>
          <w:bCs/>
          <w:color w:val="auto"/>
          <w:sz w:val="24"/>
          <w:highlight w:val="none"/>
          <w:lang w:eastAsia="zh-CN"/>
        </w:rPr>
        <w:instrText xml:space="preserve"> ADDIN NE.Ref.{CE71866E-302F-441C-97F4-7AD7358EBCE0}</w:instrText>
      </w:r>
      <w:r>
        <w:rPr>
          <w:rFonts w:hint="default" w:ascii="Times New Roman" w:hAnsi="Times New Roman" w:cs="Times New Roman"/>
          <w:bCs/>
          <w:color w:val="auto"/>
          <w:sz w:val="24"/>
          <w:highlight w:val="none"/>
        </w:rPr>
        <w:fldChar w:fldCharType="separate"/>
      </w:r>
      <w:r>
        <w:rPr>
          <w:rFonts w:hint="default" w:ascii="Times New Roman" w:hAnsi="Times New Roman" w:eastAsia="Times New Roman"/>
          <w:color w:val="080000"/>
          <w:sz w:val="24"/>
          <w:szCs w:val="24"/>
          <w:highlight w:val="none"/>
          <w:vertAlign w:val="superscript"/>
        </w:rPr>
        <w:t>13</w:t>
      </w:r>
      <w:r>
        <w:rPr>
          <w:rFonts w:hint="default" w:ascii="Times New Roman" w:hAnsi="Times New Roman" w:cs="Times New Roman"/>
          <w:bCs/>
          <w:color w:val="auto"/>
          <w:sz w:val="24"/>
          <w:highlight w:val="none"/>
        </w:rPr>
        <w:fldChar w:fldCharType="end"/>
      </w:r>
      <w:r>
        <w:rPr>
          <w:rFonts w:hint="default" w:ascii="Times New Roman" w:hAnsi="Times New Roman" w:eastAsia="宋体" w:cs="Times New Roman"/>
          <w:color w:val="auto"/>
          <w:kern w:val="0"/>
          <w:sz w:val="21"/>
          <w:szCs w:val="21"/>
          <w:highlight w:val="none"/>
          <w:lang w:val="en-US" w:eastAsia="zh-CN" w:bidi="ar"/>
        </w:rPr>
        <w:t xml:space="preserve">. </w:t>
      </w:r>
      <w:r>
        <w:rPr>
          <w:rFonts w:hint="default" w:ascii="Times New Roman" w:hAnsi="Times New Roman" w:eastAsia="等线" w:cs="Times New Roman"/>
          <w:color w:val="auto"/>
          <w:highlight w:val="none"/>
          <w:lang w:val="en-US" w:eastAsia="zh-CN"/>
        </w:rPr>
        <w:t xml:space="preserve">And, </w:t>
      </w:r>
      <w:r>
        <w:rPr>
          <w:rFonts w:hint="default" w:ascii="Times New Roman" w:hAnsi="Times New Roman" w:eastAsia="等线" w:cs="Times New Roman"/>
          <w:i/>
          <w:iCs/>
          <w:color w:val="auto"/>
          <w:highlight w:val="none"/>
          <w:lang w:val="en-US" w:eastAsia="zh-CN"/>
        </w:rPr>
        <w:t xml:space="preserve">t </w:t>
      </w:r>
      <w:r>
        <w:rPr>
          <w:rFonts w:hint="default" w:ascii="Times New Roman" w:hAnsi="Times New Roman" w:eastAsia="等线" w:cs="Times New Roman"/>
          <w:color w:val="auto"/>
          <w:highlight w:val="none"/>
          <w:lang w:val="en-US" w:eastAsia="zh-CN"/>
        </w:rPr>
        <w:t xml:space="preserve">represent </w:t>
      </w:r>
      <w:r>
        <w:rPr>
          <w:rFonts w:hint="default" w:ascii="Times New Roman" w:hAnsi="Times New Roman" w:eastAsia="宋体" w:cs="Times New Roman"/>
          <w:color w:val="auto"/>
          <w:kern w:val="0"/>
          <w:sz w:val="21"/>
          <w:szCs w:val="21"/>
          <w:highlight w:val="none"/>
          <w:lang w:val="en-US" w:eastAsia="zh-CN" w:bidi="ar"/>
        </w:rPr>
        <w:t>the travel time</w:t>
      </w:r>
      <w:r>
        <w:rPr>
          <w:rFonts w:hint="default" w:ascii="Times New Roman" w:hAnsi="Times New Roman" w:cs="Times New Roman"/>
          <w:color w:val="auto"/>
          <w:kern w:val="0"/>
          <w:sz w:val="21"/>
          <w:szCs w:val="21"/>
          <w:highlight w:val="none"/>
          <w:lang w:val="en-US" w:eastAsia="zh-CN" w:bidi="ar"/>
        </w:rPr>
        <w:t xml:space="preserve"> of Nr </w:t>
      </w:r>
      <w:r>
        <w:rPr>
          <w:rFonts w:hint="default" w:ascii="Times New Roman" w:hAnsi="Times New Roman" w:eastAsia="宋体" w:cs="Times New Roman"/>
          <w:color w:val="auto"/>
          <w:kern w:val="0"/>
          <w:sz w:val="21"/>
          <w:szCs w:val="21"/>
          <w:highlight w:val="none"/>
          <w:lang w:val="en-US" w:eastAsia="zh-CN" w:bidi="ar"/>
        </w:rPr>
        <w:t xml:space="preserve">from a given grid </w:t>
      </w:r>
      <w:r>
        <w:rPr>
          <w:rFonts w:hint="default" w:ascii="Times New Roman" w:hAnsi="Times New Roman" w:eastAsia="宋体" w:cs="Times New Roman"/>
          <w:i/>
          <w:iCs/>
          <w:color w:val="auto"/>
          <w:kern w:val="0"/>
          <w:sz w:val="21"/>
          <w:szCs w:val="21"/>
          <w:highlight w:val="none"/>
          <w:lang w:val="en-US" w:eastAsia="zh-CN" w:bidi="ar"/>
        </w:rPr>
        <w:t>i</w:t>
      </w:r>
      <w:r>
        <w:rPr>
          <w:rFonts w:hint="default" w:ascii="Times New Roman" w:hAnsi="Times New Roman" w:cs="Times New Roman"/>
          <w:i/>
          <w:iCs/>
          <w:color w:val="auto"/>
          <w:kern w:val="0"/>
          <w:sz w:val="21"/>
          <w:szCs w:val="21"/>
          <w:highlight w:val="none"/>
          <w:lang w:val="en-US" w:eastAsia="zh-CN" w:bidi="ar"/>
        </w:rPr>
        <w:t xml:space="preserve"> to </w:t>
      </w:r>
      <w:r>
        <w:rPr>
          <w:rFonts w:hint="default" w:ascii="Times New Roman" w:hAnsi="Times New Roman" w:cs="Times New Roman"/>
          <w:i/>
          <w:iCs/>
          <w:color w:val="auto"/>
          <w:kern w:val="0"/>
          <w:sz w:val="24"/>
          <w:szCs w:val="24"/>
          <w:highlight w:val="none"/>
          <w:lang w:val="en-US" w:eastAsia="zh-CN" w:bidi="ar"/>
        </w:rPr>
        <w:t xml:space="preserve">sea. </w:t>
      </w:r>
      <w:r>
        <w:rPr>
          <w:rFonts w:hint="default" w:ascii="Times New Roman" w:hAnsi="Times New Roman" w:cs="Times New Roman"/>
          <w:color w:val="auto"/>
          <w:kern w:val="0"/>
          <w:sz w:val="24"/>
          <w:szCs w:val="24"/>
          <w:highlight w:val="none"/>
          <w:lang w:val="en-US" w:eastAsia="zh-CN" w:bidi="ar"/>
        </w:rPr>
        <w:t>T</w:t>
      </w:r>
      <w:r>
        <w:rPr>
          <w:rFonts w:hint="default" w:ascii="Times New Roman" w:hAnsi="Times New Roman" w:eastAsia="宋体" w:cs="Times New Roman"/>
          <w:color w:val="auto"/>
          <w:kern w:val="0"/>
          <w:sz w:val="24"/>
          <w:szCs w:val="24"/>
          <w:highlight w:val="none"/>
          <w:lang w:val="en-US" w:eastAsia="zh-CN" w:bidi="ar"/>
        </w:rPr>
        <w:t>he travel time</w:t>
      </w:r>
      <w:r>
        <w:rPr>
          <w:rFonts w:hint="default" w:ascii="Times New Roman" w:hAnsi="Times New Roman" w:cs="Times New Roman"/>
          <w:color w:val="auto"/>
          <w:kern w:val="0"/>
          <w:sz w:val="24"/>
          <w:szCs w:val="24"/>
          <w:highlight w:val="none"/>
          <w:lang w:val="en-US" w:eastAsia="zh-CN" w:bidi="ar"/>
        </w:rPr>
        <w:t xml:space="preserve">s of </w:t>
      </w:r>
      <w:r>
        <w:rPr>
          <w:rFonts w:hint="default" w:ascii="Times New Roman" w:hAnsi="Times New Roman" w:cs="Times New Roman"/>
          <w:color w:val="auto"/>
          <w:sz w:val="24"/>
          <w:szCs w:val="24"/>
          <w:highlight w:val="none"/>
          <w:lang w:val="en-US" w:eastAsia="zh-CN"/>
        </w:rPr>
        <w:t>linear water bodie</w:t>
      </w:r>
      <w:r>
        <w:rPr>
          <w:rFonts w:hint="default" w:ascii="Times New Roman" w:hAnsi="Times New Roman" w:cs="Times New Roman"/>
          <w:sz w:val="24"/>
          <w:szCs w:val="24"/>
          <w:highlight w:val="none"/>
          <w:lang w:val="en-US" w:eastAsia="zh-CN"/>
        </w:rPr>
        <w:t>s (</w:t>
      </w:r>
      <w:r>
        <w:rPr>
          <w:rFonts w:hint="default" w:ascii="Times New Roman" w:hAnsi="Times New Roman" w:cs="Times New Roman"/>
          <w:i/>
          <w:iCs/>
          <w:sz w:val="24"/>
          <w:szCs w:val="24"/>
          <w:highlight w:val="none"/>
          <w:lang w:val="en-US" w:eastAsia="zh-CN"/>
        </w:rPr>
        <w:t>t</w:t>
      </w:r>
      <w:r>
        <w:rPr>
          <w:rFonts w:hint="default" w:ascii="Times New Roman" w:hAnsi="Times New Roman" w:cs="Times New Roman"/>
          <w:i/>
          <w:iCs/>
          <w:sz w:val="24"/>
          <w:szCs w:val="24"/>
          <w:highlight w:val="none"/>
          <w:vertAlign w:val="subscript"/>
          <w:lang w:val="en-US" w:eastAsia="zh-CN"/>
        </w:rPr>
        <w:t>l</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kern w:val="0"/>
          <w:sz w:val="24"/>
          <w:szCs w:val="24"/>
          <w:highlight w:val="none"/>
          <w:lang w:val="en-US" w:eastAsia="zh-CN" w:bidi="ar"/>
        </w:rPr>
        <w:t xml:space="preserve"> are</w:t>
      </w:r>
      <w:r>
        <w:rPr>
          <w:rFonts w:hint="default" w:ascii="Times New Roman" w:hAnsi="Times New Roman" w:eastAsia="宋体" w:cs="Times New Roman"/>
          <w:color w:val="000000"/>
          <w:kern w:val="0"/>
          <w:sz w:val="24"/>
          <w:szCs w:val="24"/>
          <w:highlight w:val="none"/>
          <w:lang w:val="en-US" w:eastAsia="zh-CN" w:bidi="ar"/>
        </w:rPr>
        <w:t xml:space="preserve"> assumed to increase as the length </w:t>
      </w:r>
      <w:r>
        <w:rPr>
          <w:rFonts w:hint="default" w:ascii="Times New Roman" w:hAnsi="Times New Roman" w:cs="Times New Roman"/>
          <w:i/>
          <w:iCs/>
          <w:color w:val="000000"/>
          <w:kern w:val="0"/>
          <w:sz w:val="24"/>
          <w:szCs w:val="24"/>
          <w:highlight w:val="none"/>
          <w:lang w:val="en-US" w:eastAsia="zh-CN" w:bidi="ar"/>
        </w:rPr>
        <w:t>l</w:t>
      </w:r>
      <w:r>
        <w:rPr>
          <w:rFonts w:hint="default" w:ascii="Times New Roman" w:hAnsi="Times New Roman" w:eastAsia="Cambria Math" w:cs="Times New Roman"/>
          <w:i/>
          <w:iCs/>
          <w:color w:val="000000"/>
          <w:kern w:val="0"/>
          <w:sz w:val="24"/>
          <w:szCs w:val="24"/>
          <w:highlight w:val="none"/>
          <w:vertAlign w:val="subscript"/>
          <w:lang w:val="en-US" w:eastAsia="zh-CN" w:bidi="ar"/>
        </w:rPr>
        <w:t>i</w:t>
      </w:r>
      <w:r>
        <w:rPr>
          <w:rFonts w:hint="default" w:ascii="Times New Roman" w:hAnsi="Times New Roman" w:eastAsia="宋体" w:cs="Times New Roman"/>
          <w:color w:val="000000"/>
          <w:kern w:val="0"/>
          <w:sz w:val="24"/>
          <w:szCs w:val="24"/>
          <w:highlight w:val="none"/>
          <w:lang w:val="en-US" w:eastAsia="zh-CN" w:bidi="ar"/>
        </w:rPr>
        <w:t xml:space="preserve"> the hydraulic path increases</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 xml:space="preserve">and as the square root of the average slope of the hydraulic path decreases (Ferro and Porto,2000). </w:t>
      </w:r>
      <w:r>
        <w:rPr>
          <w:rFonts w:hint="default" w:ascii="Times New Roman" w:hAnsi="Times New Roman" w:cs="Times New Roman"/>
          <w:color w:val="000000"/>
          <w:kern w:val="0"/>
          <w:sz w:val="24"/>
          <w:szCs w:val="24"/>
          <w:highlight w:val="none"/>
          <w:lang w:val="en-US" w:eastAsia="zh-CN" w:bidi="ar"/>
        </w:rPr>
        <w:t>T</w:t>
      </w:r>
      <w:r>
        <w:rPr>
          <w:rFonts w:hint="default" w:ascii="Times New Roman" w:hAnsi="Times New Roman" w:eastAsia="宋体" w:cs="Times New Roman"/>
          <w:color w:val="000000"/>
          <w:kern w:val="0"/>
          <w:sz w:val="24"/>
          <w:szCs w:val="24"/>
          <w:highlight w:val="none"/>
          <w:lang w:val="en-US" w:eastAsia="zh-CN" w:bidi="ar"/>
        </w:rPr>
        <w:t>he travel time</w:t>
      </w:r>
      <w:r>
        <w:rPr>
          <w:rFonts w:hint="default" w:ascii="Times New Roman" w:hAnsi="Times New Roman" w:cs="Times New Roman"/>
          <w:color w:val="000000"/>
          <w:kern w:val="0"/>
          <w:sz w:val="24"/>
          <w:szCs w:val="24"/>
          <w:highlight w:val="none"/>
          <w:lang w:val="en-US" w:eastAsia="zh-CN" w:bidi="ar"/>
        </w:rPr>
        <w:t xml:space="preserve">s of </w:t>
      </w:r>
      <w:r>
        <w:rPr>
          <w:rFonts w:hint="default" w:ascii="Times New Roman" w:hAnsi="Times New Roman" w:cs="Times New Roman"/>
          <w:sz w:val="24"/>
          <w:szCs w:val="24"/>
          <w:highlight w:val="none"/>
          <w:lang w:val="en-US" w:eastAsia="zh-CN"/>
        </w:rPr>
        <w:t>areal water bodies (</w:t>
      </w:r>
      <w:r>
        <w:rPr>
          <w:rFonts w:hint="default" w:ascii="Times New Roman" w:hAnsi="Times New Roman" w:cs="Times New Roman"/>
          <w:i/>
          <w:iCs/>
          <w:sz w:val="24"/>
          <w:szCs w:val="24"/>
          <w:highlight w:val="none"/>
          <w:lang w:val="en-US" w:eastAsia="zh-CN"/>
        </w:rPr>
        <w:t>t</w:t>
      </w:r>
      <w:r>
        <w:rPr>
          <w:rFonts w:hint="default" w:ascii="Times New Roman" w:hAnsi="Times New Roman" w:cs="Times New Roman"/>
          <w:i/>
          <w:iCs/>
          <w:sz w:val="24"/>
          <w:szCs w:val="24"/>
          <w:highlight w:val="none"/>
          <w:vertAlign w:val="subscript"/>
          <w:lang w:val="en-US" w:eastAsia="zh-CN"/>
        </w:rPr>
        <w:t>a</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depends on the total area of the water (</w:t>
      </w:r>
      <w:r>
        <w:rPr>
          <w:rFonts w:hint="default" w:ascii="Times New Roman" w:hAnsi="Times New Roman" w:cs="Times New Roman"/>
          <w:i/>
          <w:iCs/>
          <w:color w:val="000000"/>
          <w:kern w:val="0"/>
          <w:sz w:val="24"/>
          <w:szCs w:val="24"/>
          <w:highlight w:val="none"/>
          <w:lang w:val="en-US" w:eastAsia="zh-CN" w:bidi="ar"/>
        </w:rPr>
        <w:t>A</w:t>
      </w:r>
      <w:r>
        <w:rPr>
          <w:rFonts w:hint="default" w:ascii="Times New Roman" w:hAnsi="Times New Roman" w:cs="Times New Roman"/>
          <w:i/>
          <w:iCs/>
          <w:color w:val="000000"/>
          <w:kern w:val="0"/>
          <w:sz w:val="24"/>
          <w:szCs w:val="24"/>
          <w:highlight w:val="none"/>
          <w:vertAlign w:val="subscript"/>
          <w:lang w:val="en-US" w:eastAsia="zh-CN" w:bidi="ar"/>
        </w:rPr>
        <w:t>a</w:t>
      </w:r>
      <w:r>
        <w:rPr>
          <w:rFonts w:hint="default" w:ascii="Times New Roman" w:hAnsi="Times New Roman" w:eastAsia="宋体" w:cs="Times New Roman"/>
          <w:color w:val="000000"/>
          <w:kern w:val="0"/>
          <w:sz w:val="24"/>
          <w:szCs w:val="24"/>
          <w:highlight w:val="none"/>
          <w:lang w:val="en-US" w:eastAsia="zh-CN" w:bidi="ar"/>
        </w:rPr>
        <w:t>) through which the</w:t>
      </w:r>
      <w:r>
        <w:rPr>
          <w:rFonts w:hint="default" w:ascii="Times New Roman" w:hAnsi="Times New Roman" w:cs="Times New Roman"/>
          <w:color w:val="000000"/>
          <w:kern w:val="0"/>
          <w:sz w:val="24"/>
          <w:szCs w:val="24"/>
          <w:highlight w:val="none"/>
          <w:lang w:val="en-US" w:eastAsia="zh-CN" w:bidi="ar"/>
        </w:rPr>
        <w:t xml:space="preserve"> Nr</w:t>
      </w:r>
      <w:r>
        <w:rPr>
          <w:rFonts w:hint="default" w:ascii="Times New Roman" w:hAnsi="Times New Roman" w:eastAsia="宋体" w:cs="Times New Roman"/>
          <w:color w:val="000000"/>
          <w:kern w:val="0"/>
          <w:sz w:val="24"/>
          <w:szCs w:val="24"/>
          <w:highlight w:val="none"/>
          <w:lang w:val="en-US" w:eastAsia="zh-CN" w:bidi="ar"/>
        </w:rPr>
        <w:t xml:space="preserve"> pass</w:t>
      </w:r>
      <w:r>
        <w:rPr>
          <w:rFonts w:hint="default" w:ascii="Times New Roman" w:hAnsi="Times New Roman" w:cs="Times New Roman"/>
          <w:bCs/>
          <w:sz w:val="24"/>
          <w:highlight w:val="none"/>
        </w:rPr>
        <w:fldChar w:fldCharType="begin"/>
      </w:r>
      <w:r>
        <w:rPr>
          <w:rFonts w:hint="eastAsia" w:ascii="Times New Roman" w:hAnsi="Times New Roman" w:cs="Times New Roman"/>
          <w:bCs/>
          <w:sz w:val="24"/>
          <w:highlight w:val="none"/>
          <w:lang w:eastAsia="zh-CN"/>
        </w:rPr>
        <w:instrText xml:space="preserve"> ADDIN NE.Ref.{01B47B4D-FF72-4EB4-B57A-162F0C665D83}</w:instrText>
      </w:r>
      <w:r>
        <w:rPr>
          <w:rFonts w:hint="default" w:ascii="Times New Roman" w:hAnsi="Times New Roman" w:cs="Times New Roman"/>
          <w:bCs/>
          <w:sz w:val="24"/>
          <w:highlight w:val="none"/>
        </w:rPr>
        <w:fldChar w:fldCharType="separate"/>
      </w:r>
      <w:r>
        <w:rPr>
          <w:rFonts w:hint="default" w:ascii="Times New Roman" w:hAnsi="Times New Roman" w:eastAsia="Times New Roman"/>
          <w:color w:val="080000"/>
          <w:sz w:val="24"/>
          <w:szCs w:val="24"/>
          <w:highlight w:val="none"/>
          <w:vertAlign w:val="superscript"/>
        </w:rPr>
        <w:t>11</w:t>
      </w:r>
      <w:r>
        <w:rPr>
          <w:rFonts w:hint="default" w:ascii="Times New Roman" w:hAnsi="Times New Roman" w:cs="Times New Roman"/>
          <w:bCs/>
          <w:sz w:val="24"/>
          <w:highlight w:val="none"/>
        </w:rPr>
        <w:fldChar w:fldCharType="end"/>
      </w:r>
      <w:r>
        <w:rPr>
          <w:rFonts w:hint="default" w:ascii="Times New Roman" w:hAnsi="Times New Roman" w:eastAsia="宋体" w:cs="Times New Roman"/>
          <w:color w:val="000000"/>
          <w:kern w:val="0"/>
          <w:sz w:val="24"/>
          <w:szCs w:val="24"/>
          <w:highlight w:val="none"/>
          <w:lang w:val="en-US" w:eastAsia="zh-CN" w:bidi="ar"/>
        </w:rPr>
        <w:t xml:space="preserve">. </w:t>
      </w:r>
    </w:p>
    <w:p>
      <w:pPr>
        <w:adjustRightInd w:val="0"/>
        <w:snapToGrid w:val="0"/>
        <w:jc w:val="right"/>
        <w:rPr>
          <w:rFonts w:hint="default" w:ascii="Times New Roman" w:hAnsi="Times New Roman" w:cs="Times New Roman"/>
          <w:position w:val="-28"/>
          <w:sz w:val="24"/>
          <w:highlight w:val="none"/>
        </w:rPr>
      </w:pPr>
      <w:r>
        <w:rPr>
          <w:rFonts w:hint="default" w:ascii="Times New Roman" w:hAnsi="Times New Roman" w:eastAsia="等线" w:cs="Times New Roman"/>
          <w:position w:val="-36"/>
          <w:sz w:val="24"/>
          <w:szCs w:val="24"/>
          <w:highlight w:val="none"/>
          <w:lang w:val="en-US" w:eastAsia="zh-CN"/>
        </w:rPr>
        <w:object>
          <v:shape id="_x0000_i1039" o:spt="75" type="#_x0000_t75" style="height:49pt;width:140.4pt;" o:ole="t" filled="f" o:preferrelative="t" stroked="f" coordsize="21600,21600">
            <v:path/>
            <v:fill on="f" focussize="0,0"/>
            <v:stroke on="f"/>
            <v:imagedata r:id="rId34" o:title=""/>
            <o:lock v:ext="edit" aspectratio="t"/>
            <w10:wrap type="none"/>
            <w10:anchorlock/>
          </v:shape>
          <o:OLEObject Type="Embed" ProgID="Equation.KSEE3" ShapeID="_x0000_i1039" DrawAspect="Content" ObjectID="_1468075739" r:id="rId33">
            <o:LockedField>false</o:LockedField>
          </o:OLEObject>
        </w:object>
      </w:r>
      <w:r>
        <w:rPr>
          <w:rFonts w:hint="default" w:ascii="Times New Roman" w:hAnsi="Times New Roman" w:cs="Times New Roman"/>
          <w:position w:val="-16"/>
          <w:sz w:val="24"/>
          <w:highlight w:val="none"/>
          <w:lang w:val="en-US" w:eastAsia="zh-CN"/>
        </w:rPr>
        <w:t xml:space="preserve"> </w:t>
      </w:r>
      <w:r>
        <w:rPr>
          <w:rFonts w:hint="eastAsia" w:ascii="Times New Roman" w:hAnsi="Times New Roman" w:cs="Times New Roman"/>
          <w:position w:val="-16"/>
          <w:sz w:val="24"/>
          <w:highlight w:val="none"/>
          <w:lang w:val="en-US" w:eastAsia="zh-CN"/>
        </w:rPr>
        <w:t xml:space="preserve">                   </w:t>
      </w:r>
      <w:r>
        <w:rPr>
          <w:rFonts w:hint="default" w:ascii="Times New Roman" w:hAnsi="Times New Roman" w:cs="Times New Roman"/>
          <w:sz w:val="24"/>
          <w:highlight w:val="none"/>
        </w:rPr>
        <w:t xml:space="preserve"> (</w:t>
      </w:r>
      <w:r>
        <w:rPr>
          <w:rFonts w:hint="eastAsia" w:ascii="Times New Roman" w:hAnsi="Times New Roman" w:cs="Times New Roman"/>
          <w:sz w:val="24"/>
          <w:highlight w:val="none"/>
          <w:lang w:val="en-US" w:eastAsia="zh-CN"/>
        </w:rPr>
        <w:t>14</w:t>
      </w:r>
      <w:r>
        <w:rPr>
          <w:rFonts w:hint="default" w:ascii="Times New Roman" w:hAnsi="Times New Roman" w:cs="Times New Roman"/>
          <w:sz w:val="24"/>
          <w:highlight w:val="none"/>
        </w:rPr>
        <w:t>)</w:t>
      </w:r>
    </w:p>
    <w:p>
      <w:pPr>
        <w:keepNext w:val="0"/>
        <w:keepLines w:val="0"/>
        <w:widowControl/>
        <w:suppressLineNumbers w:val="0"/>
        <w:jc w:val="left"/>
        <w:rPr>
          <w:rFonts w:hint="default" w:ascii="Times New Roman" w:hAnsi="Times New Roman" w:cs="Times New Roman"/>
          <w:sz w:val="24"/>
          <w:szCs w:val="24"/>
          <w:highlight w:val="none"/>
        </w:rPr>
      </w:pPr>
    </w:p>
    <w:p>
      <w:pPr>
        <w:adjustRightInd w:val="0"/>
        <w:snapToGrid w:val="0"/>
        <w:jc w:val="right"/>
        <w:rPr>
          <w:rFonts w:hint="default" w:ascii="Times New Roman" w:hAnsi="Times New Roman" w:cs="Times New Roman"/>
          <w:position w:val="-28"/>
          <w:sz w:val="24"/>
          <w:highlight w:val="none"/>
        </w:rPr>
      </w:pPr>
      <w:r>
        <w:rPr>
          <w:rFonts w:hint="default" w:ascii="Times New Roman" w:hAnsi="Times New Roman" w:eastAsia="等线" w:cs="Times New Roman"/>
          <w:position w:val="-12"/>
          <w:sz w:val="24"/>
          <w:szCs w:val="24"/>
          <w:highlight w:val="none"/>
          <w:lang w:val="en-US" w:eastAsia="zh-CN"/>
        </w:rPr>
        <w:object>
          <v:shape id="_x0000_i1040" o:spt="75" type="#_x0000_t75" style="height:25.55pt;width:87.45pt;" o:ole="t" filled="f" o:preferrelative="t" stroked="f" coordsize="21600,21600">
            <v:path/>
            <v:fill on="f" focussize="0,0"/>
            <v:stroke on="f"/>
            <v:imagedata r:id="rId36" o:title=""/>
            <o:lock v:ext="edit" aspectratio="t"/>
            <w10:wrap type="none"/>
            <w10:anchorlock/>
          </v:shape>
          <o:OLEObject Type="Embed" ProgID="Equation.KSEE3" ShapeID="_x0000_i1040" DrawAspect="Content" ObjectID="_1468075740" r:id="rId35">
            <o:LockedField>false</o:LockedField>
          </o:OLEObject>
        </w:object>
      </w:r>
      <w:r>
        <w:rPr>
          <w:rFonts w:hint="default" w:ascii="Times New Roman" w:hAnsi="Times New Roman" w:cs="Times New Roman"/>
          <w:position w:val="-16"/>
          <w:sz w:val="24"/>
          <w:highlight w:val="none"/>
          <w:lang w:val="en-US" w:eastAsia="zh-CN"/>
        </w:rPr>
        <w:t xml:space="preserve"> </w:t>
      </w:r>
      <w:r>
        <w:rPr>
          <w:rFonts w:hint="eastAsia" w:ascii="Times New Roman" w:hAnsi="Times New Roman" w:cs="Times New Roman"/>
          <w:position w:val="-16"/>
          <w:sz w:val="24"/>
          <w:highlight w:val="none"/>
          <w:lang w:val="en-US" w:eastAsia="zh-CN"/>
        </w:rPr>
        <w:t xml:space="preserve">                       </w:t>
      </w:r>
      <w:r>
        <w:rPr>
          <w:rFonts w:hint="default" w:ascii="Times New Roman" w:hAnsi="Times New Roman" w:cs="Times New Roman"/>
          <w:sz w:val="24"/>
          <w:highlight w:val="none"/>
        </w:rPr>
        <w:t xml:space="preserve"> (</w:t>
      </w: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w:t>
      </w:r>
    </w:p>
    <w:p>
      <w:pPr>
        <w:keepNext w:val="0"/>
        <w:keepLines w:val="0"/>
        <w:widowControl/>
        <w:suppressLineNumbers w:val="0"/>
        <w:jc w:val="left"/>
        <w:rPr>
          <w:rFonts w:hint="default" w:ascii="Times New Roman" w:hAnsi="Times New Roman" w:eastAsia="等线" w:cs="Times New Roman"/>
          <w:sz w:val="24"/>
          <w:szCs w:val="24"/>
          <w:highlight w:val="none"/>
          <w:lang w:val="en-US" w:eastAsia="zh-CN"/>
        </w:rPr>
      </w:pPr>
    </w:p>
    <w:p>
      <w:pPr>
        <w:keepNext w:val="0"/>
        <w:keepLines w:val="0"/>
        <w:widowControl/>
        <w:suppressLineNumbers w:val="0"/>
        <w:jc w:val="left"/>
        <w:rPr>
          <w:rFonts w:hint="default" w:ascii="Times New Roman" w:hAnsi="Times New Roman" w:cs="Times New Roman"/>
          <w:bCs/>
          <w:color w:val="auto"/>
          <w:sz w:val="24"/>
          <w:highlight w:val="none"/>
        </w:rPr>
      </w:pPr>
      <w:r>
        <w:rPr>
          <w:rFonts w:hint="default" w:ascii="Times New Roman" w:hAnsi="Times New Roman" w:eastAsia="宋体" w:cs="Times New Roman"/>
          <w:color w:val="000000"/>
          <w:kern w:val="0"/>
          <w:sz w:val="24"/>
          <w:szCs w:val="24"/>
          <w:highlight w:val="none"/>
          <w:lang w:val="en-US" w:eastAsia="zh-CN" w:bidi="ar"/>
        </w:rPr>
        <w:t xml:space="preserve">in which </w:t>
      </w:r>
      <w:r>
        <w:rPr>
          <w:rFonts w:hint="default" w:ascii="Times New Roman" w:hAnsi="Times New Roman" w:cs="Times New Roman"/>
          <w:i/>
          <w:iCs/>
          <w:color w:val="000000"/>
          <w:kern w:val="0"/>
          <w:sz w:val="24"/>
          <w:szCs w:val="24"/>
          <w:highlight w:val="none"/>
          <w:lang w:val="en-US" w:eastAsia="zh-CN" w:bidi="ar"/>
        </w:rPr>
        <w:t>l</w:t>
      </w:r>
      <w:r>
        <w:rPr>
          <w:rFonts w:hint="default" w:ascii="Times New Roman" w:hAnsi="Times New Roman" w:cs="Times New Roman"/>
          <w:i/>
          <w:iCs/>
          <w:color w:val="000000"/>
          <w:kern w:val="0"/>
          <w:sz w:val="24"/>
          <w:szCs w:val="24"/>
          <w:highlight w:val="none"/>
          <w:vertAlign w:val="subscript"/>
          <w:lang w:val="en-US" w:eastAsia="zh-CN" w:bidi="ar"/>
        </w:rPr>
        <w:t>i,j</w:t>
      </w:r>
      <w:r>
        <w:rPr>
          <w:rFonts w:hint="default" w:ascii="Times New Roman" w:hAnsi="Times New Roman" w:cs="Times New Roman"/>
          <w:i/>
          <w:iCs/>
          <w:color w:val="000000"/>
          <w:kern w:val="0"/>
          <w:sz w:val="24"/>
          <w:szCs w:val="24"/>
          <w:highlight w:val="none"/>
          <w:lang w:val="en-US" w:eastAsia="zh-CN" w:bidi="ar"/>
        </w:rPr>
        <w:t xml:space="preserve"> R</w:t>
      </w:r>
      <w:r>
        <w:rPr>
          <w:rFonts w:hint="default" w:ascii="Times New Roman" w:hAnsi="Times New Roman" w:cs="Times New Roman"/>
          <w:i/>
          <w:iCs/>
          <w:color w:val="000000"/>
          <w:kern w:val="0"/>
          <w:sz w:val="24"/>
          <w:szCs w:val="24"/>
          <w:highlight w:val="none"/>
          <w:vertAlign w:val="subscript"/>
          <w:lang w:val="en-US" w:eastAsia="zh-CN" w:bidi="ar"/>
        </w:rPr>
        <w:t>i,j</w:t>
      </w:r>
      <w:r>
        <w:rPr>
          <w:rFonts w:hint="default" w:ascii="Times New Roman" w:hAnsi="Times New Roman" w:cs="Times New Roman"/>
          <w:i/>
          <w:iCs/>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and</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cs="Times New Roman"/>
          <w:i/>
          <w:iCs/>
          <w:color w:val="000000"/>
          <w:kern w:val="0"/>
          <w:sz w:val="24"/>
          <w:szCs w:val="24"/>
          <w:highlight w:val="none"/>
          <w:lang w:val="en-US" w:eastAsia="zh-CN" w:bidi="ar"/>
        </w:rPr>
        <w:t>s</w:t>
      </w:r>
      <w:r>
        <w:rPr>
          <w:rFonts w:hint="default" w:ascii="Times New Roman" w:hAnsi="Times New Roman" w:cs="Times New Roman"/>
          <w:i/>
          <w:iCs/>
          <w:color w:val="000000"/>
          <w:kern w:val="0"/>
          <w:sz w:val="24"/>
          <w:szCs w:val="24"/>
          <w:highlight w:val="none"/>
          <w:vertAlign w:val="subscript"/>
          <w:lang w:val="en-US" w:eastAsia="zh-CN" w:bidi="ar"/>
        </w:rPr>
        <w:t>i,j</w:t>
      </w:r>
      <w:r>
        <w:rPr>
          <w:rFonts w:hint="default" w:ascii="Times New Roman" w:hAnsi="Times New Roman" w:eastAsia="宋体" w:cs="Times New Roman"/>
          <w:i/>
          <w:iCs/>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 xml:space="preserve">are the length, hydraulic radius, and average slope of </w:t>
      </w:r>
      <w:r>
        <w:rPr>
          <w:rFonts w:hint="default" w:ascii="Times New Roman" w:hAnsi="Times New Roman" w:cs="Times New Roman"/>
          <w:i/>
          <w:iCs/>
          <w:color w:val="000000"/>
          <w:kern w:val="0"/>
          <w:sz w:val="24"/>
          <w:szCs w:val="24"/>
          <w:highlight w:val="none"/>
          <w:lang w:val="en-US" w:eastAsia="zh-CN" w:bidi="ar"/>
        </w:rPr>
        <w:t>i</w:t>
      </w:r>
      <w:r>
        <w:rPr>
          <w:rFonts w:hint="default" w:ascii="Times New Roman" w:hAnsi="Times New Roman" w:cs="Times New Roman"/>
          <w:color w:val="000000"/>
          <w:kern w:val="0"/>
          <w:sz w:val="24"/>
          <w:szCs w:val="24"/>
          <w:highlight w:val="none"/>
          <w:lang w:val="en-US" w:eastAsia="zh-CN" w:bidi="ar"/>
        </w:rPr>
        <w:t xml:space="preserve">th </w:t>
      </w:r>
      <w:r>
        <w:rPr>
          <w:rFonts w:hint="default" w:ascii="Times New Roman" w:hAnsi="Times New Roman" w:eastAsia="宋体" w:cs="Times New Roman"/>
          <w:color w:val="000000"/>
          <w:kern w:val="0"/>
          <w:sz w:val="24"/>
          <w:szCs w:val="24"/>
          <w:highlight w:val="none"/>
          <w:lang w:val="en-US" w:eastAsia="zh-CN" w:bidi="ar"/>
        </w:rPr>
        <w:t>source</w:t>
      </w:r>
      <w:r>
        <w:rPr>
          <w:rFonts w:hint="default" w:ascii="Times New Roman" w:hAnsi="Times New Roman" w:cs="Times New Roman"/>
          <w:color w:val="000000"/>
          <w:kern w:val="0"/>
          <w:sz w:val="24"/>
          <w:szCs w:val="24"/>
          <w:highlight w:val="none"/>
          <w:lang w:val="en-US" w:eastAsia="zh-CN" w:bidi="ar"/>
        </w:rPr>
        <w:t xml:space="preserve"> during</w:t>
      </w:r>
      <w:r>
        <w:rPr>
          <w:rFonts w:hint="default" w:ascii="Times New Roman" w:hAnsi="Times New Roman" w:cs="Times New Roman"/>
          <w:i/>
          <w:iCs/>
          <w:color w:val="000000"/>
          <w:kern w:val="0"/>
          <w:sz w:val="24"/>
          <w:szCs w:val="24"/>
          <w:highlight w:val="none"/>
          <w:lang w:val="en-US" w:eastAsia="zh-CN" w:bidi="ar"/>
        </w:rPr>
        <w:t xml:space="preserve"> j</w:t>
      </w:r>
      <w:r>
        <w:rPr>
          <w:rFonts w:hint="default" w:ascii="Times New Roman" w:hAnsi="Times New Roman" w:cs="Times New Roman"/>
          <w:color w:val="000000"/>
          <w:kern w:val="0"/>
          <w:sz w:val="24"/>
          <w:szCs w:val="24"/>
          <w:highlight w:val="none"/>
          <w:lang w:val="en-US" w:eastAsia="zh-CN" w:bidi="ar"/>
        </w:rPr>
        <w:t xml:space="preserve">th type of </w:t>
      </w:r>
      <w:r>
        <w:rPr>
          <w:rFonts w:hint="default" w:ascii="Times New Roman" w:hAnsi="Times New Roman" w:eastAsia="宋体" w:cs="Times New Roman"/>
          <w:color w:val="000000"/>
          <w:kern w:val="0"/>
          <w:sz w:val="24"/>
          <w:szCs w:val="24"/>
          <w:highlight w:val="none"/>
          <w:lang w:val="en-US" w:eastAsia="zh-CN" w:bidi="ar"/>
        </w:rPr>
        <w:t>hydraulic</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path, respectively</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eastAsia="Cambria Math" w:cs="Times New Roman"/>
          <w:color w:val="000000"/>
          <w:kern w:val="0"/>
          <w:sz w:val="24"/>
          <w:szCs w:val="24"/>
          <w:highlight w:val="none"/>
          <w:vertAlign w:val="baseline"/>
          <w:lang w:val="en-US" w:eastAsia="zh-CN" w:bidi="ar"/>
        </w:rPr>
        <w:t>β1</w:t>
      </w:r>
      <w:r>
        <w:rPr>
          <w:rFonts w:hint="default" w:ascii="Times New Roman" w:hAnsi="Times New Roman" w:eastAsia="Cambria Math"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 1.50,</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eastAsia="Cambria Math" w:cs="Times New Roman"/>
          <w:color w:val="000000"/>
          <w:kern w:val="0"/>
          <w:sz w:val="24"/>
          <w:szCs w:val="24"/>
          <w:highlight w:val="none"/>
          <w:vertAlign w:val="baseline"/>
          <w:lang w:val="en-US" w:eastAsia="zh-CN" w:bidi="ar"/>
        </w:rPr>
        <w:t>β2</w:t>
      </w:r>
      <w:r>
        <w:rPr>
          <w:rFonts w:hint="default" w:ascii="Times New Roman" w:hAnsi="Times New Roman" w:eastAsia="Cambria Math" w:cs="Times New Roman"/>
          <w:color w:val="000000"/>
          <w:kern w:val="0"/>
          <w:sz w:val="24"/>
          <w:szCs w:val="24"/>
          <w:highlight w:val="none"/>
          <w:lang w:val="en-US" w:eastAsia="zh-CN" w:bidi="ar"/>
        </w:rPr>
        <w:t xml:space="preserve">= 0.23 </w:t>
      </w:r>
      <w:r>
        <w:rPr>
          <w:rFonts w:hint="default" w:ascii="Times New Roman" w:hAnsi="Times New Roman" w:eastAsia="宋体" w:cs="Times New Roman"/>
          <w:color w:val="000000"/>
          <w:kern w:val="0"/>
          <w:sz w:val="24"/>
          <w:szCs w:val="24"/>
          <w:highlight w:val="none"/>
          <w:lang w:val="en-US" w:eastAsia="zh-CN" w:bidi="ar"/>
        </w:rPr>
        <w:t xml:space="preserve">are the coefficients derived from a meta-analysis of different </w:t>
      </w:r>
      <w:r>
        <w:rPr>
          <w:rFonts w:hint="default" w:ascii="Times New Roman" w:hAnsi="Times New Roman" w:cs="Times New Roman"/>
          <w:color w:val="000000"/>
          <w:kern w:val="0"/>
          <w:sz w:val="24"/>
          <w:szCs w:val="24"/>
          <w:highlight w:val="none"/>
          <w:lang w:val="en-US" w:eastAsia="zh-CN" w:bidi="ar"/>
        </w:rPr>
        <w:t>areal waters across the wold</w:t>
      </w:r>
      <w:r>
        <w:rPr>
          <w:rFonts w:hint="default" w:ascii="Times New Roman" w:hAnsi="Times New Roman" w:cs="Times New Roman"/>
          <w:bCs/>
          <w:sz w:val="24"/>
          <w:highlight w:val="none"/>
        </w:rPr>
        <w:fldChar w:fldCharType="begin"/>
      </w:r>
      <w:r>
        <w:rPr>
          <w:rFonts w:hint="eastAsia" w:ascii="Times New Roman" w:hAnsi="Times New Roman" w:cs="Times New Roman"/>
          <w:bCs/>
          <w:sz w:val="24"/>
          <w:highlight w:val="none"/>
          <w:lang w:eastAsia="zh-CN"/>
        </w:rPr>
        <w:instrText xml:space="preserve"> ADDIN NE.Ref.{A1699973-0C76-4C25-A9B4-2E78FFDEA0C4}</w:instrText>
      </w:r>
      <w:r>
        <w:rPr>
          <w:rFonts w:hint="default" w:ascii="Times New Roman" w:hAnsi="Times New Roman" w:cs="Times New Roman"/>
          <w:bCs/>
          <w:sz w:val="24"/>
          <w:highlight w:val="none"/>
        </w:rPr>
        <w:fldChar w:fldCharType="separate"/>
      </w:r>
      <w:r>
        <w:rPr>
          <w:rFonts w:hint="default" w:ascii="Times New Roman" w:hAnsi="Times New Roman" w:eastAsia="Times New Roman"/>
          <w:color w:val="080000"/>
          <w:sz w:val="24"/>
          <w:szCs w:val="24"/>
          <w:highlight w:val="none"/>
          <w:vertAlign w:val="superscript"/>
        </w:rPr>
        <w:t>11</w:t>
      </w:r>
      <w:r>
        <w:rPr>
          <w:rFonts w:hint="default" w:ascii="Times New Roman" w:hAnsi="Times New Roman" w:cs="Times New Roman"/>
          <w:bCs/>
          <w:sz w:val="24"/>
          <w:highlight w:val="none"/>
        </w:rPr>
        <w:fldChar w:fldCharType="end"/>
      </w:r>
      <w:r>
        <w:rPr>
          <w:rFonts w:hint="default" w:ascii="Times New Roman" w:hAnsi="Times New Roman" w:cs="Times New Roman"/>
          <w:color w:val="000000"/>
          <w:kern w:val="0"/>
          <w:sz w:val="24"/>
          <w:szCs w:val="24"/>
          <w:highlight w:val="none"/>
          <w:lang w:val="en-US" w:eastAsia="zh-CN" w:bidi="ar"/>
        </w:rPr>
        <w:t>.</w:t>
      </w:r>
    </w:p>
    <w:p>
      <w:pPr>
        <w:adjustRightInd w:val="0"/>
        <w:snapToGrid w:val="0"/>
        <w:jc w:val="left"/>
        <w:rPr>
          <w:rFonts w:hint="default" w:ascii="Times New Roman" w:hAnsi="Times New Roman" w:cs="Times New Roman"/>
          <w:bCs/>
          <w:sz w:val="24"/>
          <w:highlight w:val="none"/>
        </w:rPr>
      </w:pPr>
    </w:p>
    <w:p>
      <w:pPr>
        <w:keepNext w:val="0"/>
        <w:keepLines w:val="0"/>
        <w:widowControl/>
        <w:suppressLineNumbers w:val="0"/>
        <w:jc w:val="left"/>
        <w:rPr>
          <w:rFonts w:hint="eastAsia" w:eastAsiaTheme="minorEastAsia"/>
          <w:highlight w:val="none"/>
          <w:lang w:val="en-US" w:eastAsia="zh-CN"/>
        </w:rPr>
      </w:pPr>
      <w:r>
        <w:rPr>
          <w:rFonts w:hint="default" w:ascii="Times New Roman" w:hAnsi="Times New Roman" w:eastAsia="宋体" w:cs="Times New Roman"/>
          <w:color w:val="000000"/>
          <w:kern w:val="0"/>
          <w:sz w:val="24"/>
          <w:szCs w:val="24"/>
          <w:highlight w:val="none"/>
          <w:lang w:val="en-US" w:eastAsia="zh-CN" w:bidi="ar"/>
        </w:rPr>
        <w:t>This framework is simple and computationally efficient, and can describe the influence of the topological structure of surface water on nutrient transport and retention. It can be applied to any available water structure, land use, and DEM map, without limitation on the size of the water body. Although this framework has been used and validated in the Yangtze River Basin</w:t>
      </w:r>
      <w:r>
        <w:rPr>
          <w:rFonts w:hint="default" w:ascii="Times New Roman" w:hAnsi="Times New Roman" w:eastAsia="宋体" w:cs="Times New Roman"/>
          <w:color w:val="000000"/>
          <w:kern w:val="0"/>
          <w:sz w:val="24"/>
          <w:szCs w:val="24"/>
          <w:highlight w:val="none"/>
          <w:lang w:val="en-US" w:eastAsia="zh-CN" w:bidi="ar"/>
        </w:rPr>
        <w:fldChar w:fldCharType="begin"/>
      </w:r>
      <w:r>
        <w:rPr>
          <w:rFonts w:hint="eastAsia" w:ascii="Times New Roman" w:hAnsi="Times New Roman" w:cs="Times New Roman"/>
          <w:color w:val="000000"/>
          <w:kern w:val="0"/>
          <w:sz w:val="24"/>
          <w:szCs w:val="24"/>
          <w:highlight w:val="none"/>
          <w:lang w:val="en-US" w:eastAsia="zh-CN" w:bidi="ar"/>
        </w:rPr>
        <w:instrText xml:space="preserve"> ADDIN NE.Ref.{D39621EB-FD89-44F7-8221-795FD50DB3BD}</w:instrText>
      </w:r>
      <w:r>
        <w:rPr>
          <w:rFonts w:hint="default" w:ascii="Times New Roman" w:hAnsi="Times New Roman" w:eastAsia="宋体" w:cs="Times New Roman"/>
          <w:color w:val="000000"/>
          <w:kern w:val="0"/>
          <w:sz w:val="24"/>
          <w:szCs w:val="24"/>
          <w:highlight w:val="none"/>
          <w:lang w:val="en-US" w:eastAsia="zh-CN" w:bidi="ar"/>
        </w:rPr>
        <w:fldChar w:fldCharType="separate"/>
      </w:r>
      <w:r>
        <w:rPr>
          <w:rFonts w:hint="eastAsia" w:ascii="宋体" w:hAnsi="宋体"/>
          <w:color w:val="080000"/>
          <w:sz w:val="21"/>
          <w:szCs w:val="24"/>
          <w:highlight w:val="none"/>
          <w:vertAlign w:val="superscript"/>
        </w:rPr>
        <w:t>10</w:t>
      </w:r>
      <w:r>
        <w:rPr>
          <w:rFonts w:hint="default" w:ascii="Times New Roman" w:hAnsi="Times New Roman" w:eastAsia="宋体" w:cs="Times New Roman"/>
          <w:color w:val="000000"/>
          <w:kern w:val="0"/>
          <w:sz w:val="24"/>
          <w:szCs w:val="24"/>
          <w:highlight w:val="none"/>
          <w:lang w:val="en-US" w:eastAsia="zh-CN" w:bidi="ar"/>
        </w:rPr>
        <w:fldChar w:fldCharType="end"/>
      </w:r>
      <w:r>
        <w:rPr>
          <w:rFonts w:hint="default" w:ascii="Times New Roman" w:hAnsi="Times New Roman" w:eastAsia="宋体" w:cs="Times New Roman"/>
          <w:color w:val="000000"/>
          <w:kern w:val="0"/>
          <w:sz w:val="24"/>
          <w:szCs w:val="24"/>
          <w:highlight w:val="none"/>
          <w:lang w:val="en-US" w:eastAsia="zh-CN" w:bidi="ar"/>
        </w:rPr>
        <w:t xml:space="preserve">, there are still some limitations in using it for nitrogen input estimation at the scale of China. For example, this framework does not consider the influence of water flow velocity on nutrient retention. In addition, it does not take into account the contribution of groundwater runoff to the ocean, and cannot evaluate the lagged benefits resulting from changes in nitrogen input to rivers. Therefore, it may underestimate the nitrogen </w:t>
      </w:r>
      <w:r>
        <w:rPr>
          <w:rFonts w:hint="eastAsia" w:ascii="Times New Roman" w:hAnsi="Times New Roman" w:cs="Times New Roman"/>
          <w:color w:val="000000"/>
          <w:kern w:val="0"/>
          <w:sz w:val="24"/>
          <w:szCs w:val="24"/>
          <w:highlight w:val="none"/>
          <w:lang w:val="en-US" w:eastAsia="zh-CN" w:bidi="ar"/>
        </w:rPr>
        <w:t>out</w:t>
      </w:r>
      <w:r>
        <w:rPr>
          <w:rFonts w:hint="default" w:ascii="Times New Roman" w:hAnsi="Times New Roman" w:eastAsia="宋体" w:cs="Times New Roman"/>
          <w:color w:val="000000"/>
          <w:kern w:val="0"/>
          <w:sz w:val="24"/>
          <w:szCs w:val="24"/>
          <w:highlight w:val="none"/>
          <w:lang w:val="en-US" w:eastAsia="zh-CN" w:bidi="ar"/>
        </w:rPr>
        <w:t>put to the ocean in 2050.</w:t>
      </w:r>
    </w:p>
    <w:p>
      <w:pPr>
        <w:spacing w:line="300" w:lineRule="auto"/>
        <w:rPr>
          <w:rFonts w:ascii="Times New Roman" w:hAnsi="Times New Roman"/>
          <w:bCs/>
          <w:sz w:val="24"/>
          <w:highlight w:val="none"/>
        </w:rPr>
      </w:pPr>
    </w:p>
    <w:p>
      <w:pPr>
        <w:spacing w:line="300" w:lineRule="auto"/>
        <w:outlineLvl w:val="1"/>
        <w:rPr>
          <w:rFonts w:ascii="Times New Roman" w:hAnsi="Times New Roman"/>
          <w:b/>
          <w:sz w:val="24"/>
          <w:highlight w:val="none"/>
        </w:rPr>
      </w:pPr>
      <w:bookmarkStart w:id="18" w:name="_Toc6396"/>
      <w:r>
        <w:rPr>
          <w:rFonts w:ascii="Times New Roman" w:hAnsi="Times New Roman"/>
          <w:b/>
          <w:bCs/>
          <w:sz w:val="24"/>
          <w:highlight w:val="none"/>
        </w:rPr>
        <w:t>S1.</w:t>
      </w:r>
      <w:r>
        <w:rPr>
          <w:rFonts w:hint="eastAsia" w:ascii="Times New Roman" w:hAnsi="Times New Roman"/>
          <w:b/>
          <w:bCs/>
          <w:sz w:val="24"/>
          <w:highlight w:val="none"/>
          <w:lang w:val="en-US" w:eastAsia="zh-CN"/>
        </w:rPr>
        <w:t>9</w:t>
      </w:r>
      <w:r>
        <w:rPr>
          <w:rFonts w:ascii="Times New Roman" w:hAnsi="Times New Roman"/>
          <w:b/>
          <w:bCs/>
          <w:sz w:val="24"/>
          <w:highlight w:val="none"/>
        </w:rPr>
        <w:t xml:space="preserve"> </w:t>
      </w:r>
      <w:r>
        <w:rPr>
          <w:rFonts w:hint="eastAsia" w:ascii="Times New Roman" w:hAnsi="Times New Roman"/>
          <w:b/>
          <w:sz w:val="24"/>
          <w:highlight w:val="none"/>
        </w:rPr>
        <w:t>Geo-distribution of social benefit</w:t>
      </w:r>
      <w:bookmarkEnd w:id="18"/>
    </w:p>
    <w:p>
      <w:pPr>
        <w:adjustRightInd w:val="0"/>
        <w:snapToGrid w:val="0"/>
        <w:spacing w:line="300" w:lineRule="auto"/>
        <w:jc w:val="left"/>
        <w:rPr>
          <w:rFonts w:ascii="Times New Roman" w:hAnsi="Times New Roman"/>
          <w:bCs/>
          <w:sz w:val="24"/>
          <w:highlight w:val="none"/>
        </w:rPr>
      </w:pPr>
      <w:r>
        <w:rPr>
          <w:rFonts w:hint="eastAsia" w:ascii="Times New Roman" w:hAnsi="Times New Roman"/>
          <w:bCs/>
          <w:sz w:val="24"/>
          <w:highlight w:val="none"/>
        </w:rPr>
        <w:t>The total health benefits of the China are allocated to counties based on changes in air and water pollution (</w:t>
      </w:r>
      <w:r>
        <w:rPr>
          <w:rFonts w:hint="eastAsia" w:ascii="Times New Roman" w:hAnsi="Times New Roman"/>
          <w:bCs/>
          <w:color w:val="0000FF"/>
          <w:sz w:val="24"/>
          <w:highlight w:val="none"/>
        </w:rPr>
        <w:t>Fig. 5</w:t>
      </w:r>
      <w:r>
        <w:rPr>
          <w:rFonts w:hint="eastAsia" w:ascii="Times New Roman" w:hAnsi="Times New Roman"/>
          <w:bCs/>
          <w:sz w:val="24"/>
          <w:highlight w:val="none"/>
        </w:rPr>
        <w:t>). The health benefit would be affected by the Value of Statistical Life (VSL) and county population density. For example, higher VSL and population density increase the health benefit</w:t>
      </w:r>
      <w:r>
        <w:rPr>
          <w:rFonts w:hint="eastAsia" w:ascii="Times New Roman" w:hAnsi="Times New Roman"/>
          <w:bCs/>
          <w:sz w:val="24"/>
          <w:highlight w:val="none"/>
          <w:lang w:val="en-US" w:eastAsia="zh-CN"/>
        </w:rPr>
        <w:t>10.5</w:t>
      </w:r>
      <w:r>
        <w:rPr>
          <w:rFonts w:hint="eastAsia" w:ascii="Times New Roman" w:hAnsi="Times New Roman"/>
          <w:bCs/>
          <w:sz w:val="24"/>
          <w:highlight w:val="none"/>
        </w:rPr>
        <w:t xml:space="preserve">s per reduction of unit Nr loss, such as </w:t>
      </w:r>
      <w:r>
        <w:rPr>
          <w:rFonts w:ascii="Times New Roman" w:hAnsi="Times New Roman"/>
          <w:bCs/>
          <w:sz w:val="24"/>
          <w:highlight w:val="none"/>
        </w:rPr>
        <w:t>Beijing-Tianjin region</w:t>
      </w:r>
      <w:r>
        <w:rPr>
          <w:rFonts w:hint="eastAsia" w:ascii="Times New Roman" w:hAnsi="Times New Roman"/>
          <w:bCs/>
          <w:sz w:val="24"/>
          <w:highlight w:val="none"/>
        </w:rPr>
        <w:t>. Therefore, the counties</w:t>
      </w:r>
      <w:r>
        <w:rPr>
          <w:rFonts w:ascii="Times New Roman" w:hAnsi="Times New Roman"/>
          <w:bCs/>
          <w:sz w:val="24"/>
          <w:highlight w:val="none"/>
        </w:rPr>
        <w:t>’</w:t>
      </w:r>
      <w:r>
        <w:rPr>
          <w:rFonts w:hint="eastAsia" w:ascii="Times New Roman" w:hAnsi="Times New Roman"/>
          <w:bCs/>
          <w:sz w:val="24"/>
          <w:highlight w:val="none"/>
        </w:rPr>
        <w:t xml:space="preserve"> health benefits (</w:t>
      </w:r>
      <w:r>
        <w:rPr>
          <w:rFonts w:hint="eastAsia" w:ascii="Times New Roman" w:hAnsi="Times New Roman"/>
          <w:bCs/>
          <w:i/>
          <w:iCs/>
          <w:sz w:val="24"/>
          <w:highlight w:val="none"/>
        </w:rPr>
        <w:t>HB</w:t>
      </w:r>
      <w:r>
        <w:rPr>
          <w:rFonts w:hint="eastAsia" w:ascii="Times New Roman" w:hAnsi="Times New Roman"/>
          <w:bCs/>
          <w:i/>
          <w:iCs/>
          <w:sz w:val="24"/>
          <w:highlight w:val="none"/>
          <w:vertAlign w:val="subscript"/>
        </w:rPr>
        <w:t>t</w:t>
      </w:r>
      <w:r>
        <w:rPr>
          <w:rFonts w:hint="eastAsia" w:ascii="Times New Roman" w:hAnsi="Times New Roman"/>
          <w:bCs/>
          <w:sz w:val="24"/>
          <w:highlight w:val="none"/>
        </w:rPr>
        <w:t>) are corrected using VSL and population density in 2050 with the following equation:</w:t>
      </w:r>
    </w:p>
    <w:p>
      <w:pPr>
        <w:adjustRightInd w:val="0"/>
        <w:snapToGrid w:val="0"/>
        <w:spacing w:line="300" w:lineRule="auto"/>
        <w:jc w:val="left"/>
        <w:rPr>
          <w:rFonts w:ascii="Times New Roman" w:hAnsi="Times New Roman"/>
          <w:bCs/>
          <w:sz w:val="24"/>
          <w:highlight w:val="none"/>
        </w:rPr>
      </w:pPr>
    </w:p>
    <w:p>
      <w:pPr>
        <w:adjustRightInd w:val="0"/>
        <w:snapToGrid w:val="0"/>
        <w:spacing w:line="300" w:lineRule="auto"/>
        <w:jc w:val="right"/>
        <w:rPr>
          <w:rFonts w:ascii="Times New Roman" w:hAnsi="Times New Roman"/>
          <w:sz w:val="24"/>
          <w:highlight w:val="none"/>
        </w:rPr>
      </w:pPr>
      <w:r>
        <w:rPr>
          <w:rFonts w:hint="eastAsia" w:ascii="宋体" w:hAnsi="宋体" w:cs="宋体"/>
          <w:position w:val="-30"/>
          <w:sz w:val="24"/>
          <w:highlight w:val="none"/>
        </w:rPr>
        <w:object>
          <v:shape id="_x0000_i1041" o:spt="75" type="#_x0000_t75" style="height:37.05pt;width:153.7pt;" o:ole="t" filled="f" o:preferrelative="t" stroked="f" coordsize="21600,21600">
            <v:path/>
            <v:fill on="f" focussize="0,0"/>
            <v:stroke on="f" joinstyle="miter"/>
            <v:imagedata r:id="rId38" o:title=""/>
            <o:lock v:ext="edit" aspectratio="t"/>
            <w10:wrap type="none"/>
            <w10:anchorlock/>
          </v:shape>
          <o:OLEObject Type="Embed" ProgID="Equation.KSEE3" ShapeID="_x0000_i1041" DrawAspect="Content" ObjectID="_1468075741" r:id="rId37">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1</w:t>
      </w:r>
      <w:r>
        <w:rPr>
          <w:rFonts w:hint="eastAsia" w:ascii="Times New Roman" w:hAnsi="Times New Roman"/>
          <w:sz w:val="24"/>
          <w:highlight w:val="none"/>
          <w:lang w:val="en-US" w:eastAsia="zh-CN"/>
        </w:rPr>
        <w:t>6</w:t>
      </w:r>
      <w:r>
        <w:rPr>
          <w:rFonts w:ascii="Times New Roman" w:hAnsi="Times New Roman"/>
          <w:sz w:val="24"/>
          <w:highlight w:val="none"/>
        </w:rPr>
        <w:t>)</w:t>
      </w:r>
    </w:p>
    <w:p>
      <w:pPr>
        <w:adjustRightInd w:val="0"/>
        <w:snapToGrid w:val="0"/>
        <w:spacing w:line="300" w:lineRule="auto"/>
        <w:jc w:val="right"/>
        <w:rPr>
          <w:rFonts w:ascii="Times New Roman" w:hAnsi="Times New Roman"/>
          <w:sz w:val="24"/>
          <w:highlight w:val="none"/>
        </w:rPr>
      </w:pPr>
    </w:p>
    <w:p>
      <w:pPr>
        <w:adjustRightInd w:val="0"/>
        <w:snapToGrid w:val="0"/>
        <w:spacing w:line="300" w:lineRule="auto"/>
        <w:jc w:val="right"/>
        <w:rPr>
          <w:rFonts w:ascii="Times New Roman" w:hAnsi="Times New Roman"/>
          <w:sz w:val="24"/>
          <w:highlight w:val="none"/>
        </w:rPr>
      </w:pPr>
      <w:r>
        <w:rPr>
          <w:rFonts w:hint="eastAsia" w:ascii="宋体" w:hAnsi="宋体" w:cs="宋体"/>
          <w:position w:val="-14"/>
          <w:sz w:val="24"/>
          <w:highlight w:val="none"/>
        </w:rPr>
        <w:object>
          <v:shape id="_x0000_i1042" o:spt="75" type="#_x0000_t75" style="height:20.2pt;width:93.85pt;" o:ole="t" filled="f" o:preferrelative="t" stroked="f" coordsize="21600,21600">
            <v:path/>
            <v:fill on="f" focussize="0,0"/>
            <v:stroke on="f" joinstyle="miter"/>
            <v:imagedata r:id="rId40" o:title=""/>
            <o:lock v:ext="edit" aspectratio="t"/>
            <w10:wrap type="none"/>
            <w10:anchorlock/>
          </v:shape>
          <o:OLEObject Type="Embed" ProgID="Equation.KSEE3" ShapeID="_x0000_i1042" DrawAspect="Content" ObjectID="_1468075742" r:id="rId39">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1</w:t>
      </w:r>
      <w:r>
        <w:rPr>
          <w:rFonts w:hint="eastAsia" w:ascii="Times New Roman" w:hAnsi="Times New Roman"/>
          <w:sz w:val="24"/>
          <w:highlight w:val="none"/>
          <w:lang w:val="en-US" w:eastAsia="zh-CN"/>
        </w:rPr>
        <w:t>7</w:t>
      </w:r>
      <w:r>
        <w:rPr>
          <w:rFonts w:ascii="Times New Roman" w:hAnsi="Times New Roman"/>
          <w:sz w:val="24"/>
          <w:highlight w:val="none"/>
        </w:rPr>
        <w:t>)</w:t>
      </w:r>
    </w:p>
    <w:p>
      <w:pPr>
        <w:adjustRightInd w:val="0"/>
        <w:snapToGrid w:val="0"/>
        <w:spacing w:line="300" w:lineRule="auto"/>
        <w:jc w:val="left"/>
        <w:rPr>
          <w:rFonts w:ascii="Times New Roman" w:hAnsi="Times New Roman"/>
          <w:bCs/>
          <w:sz w:val="24"/>
          <w:highlight w:val="none"/>
        </w:rPr>
      </w:pPr>
    </w:p>
    <w:p>
      <w:pPr>
        <w:adjustRightInd w:val="0"/>
        <w:snapToGrid w:val="0"/>
        <w:spacing w:line="300" w:lineRule="auto"/>
        <w:jc w:val="left"/>
        <w:rPr>
          <w:rFonts w:ascii="Times New Roman" w:hAnsi="Times New Roman"/>
          <w:bCs/>
          <w:sz w:val="24"/>
          <w:highlight w:val="none"/>
        </w:rPr>
      </w:pPr>
      <w:r>
        <w:rPr>
          <w:rFonts w:hint="eastAsia" w:ascii="Times New Roman" w:hAnsi="Times New Roman"/>
          <w:bCs/>
          <w:sz w:val="24"/>
          <w:highlight w:val="none"/>
        </w:rPr>
        <w:t xml:space="preserve">where </w:t>
      </w:r>
      <w:r>
        <w:rPr>
          <w:rFonts w:hint="eastAsia" w:ascii="Times New Roman" w:hAnsi="Times New Roman"/>
          <w:bCs/>
          <w:i/>
          <w:iCs/>
          <w:sz w:val="24"/>
          <w:highlight w:val="none"/>
        </w:rPr>
        <w:t>t</w:t>
      </w:r>
      <w:r>
        <w:rPr>
          <w:rFonts w:ascii="Times New Roman" w:hAnsi="Times New Roman"/>
          <w:bCs/>
          <w:sz w:val="24"/>
          <w:highlight w:val="none"/>
        </w:rPr>
        <w:t xml:space="preserve"> represents</w:t>
      </w:r>
      <w:r>
        <w:rPr>
          <w:rFonts w:hint="eastAsia" w:ascii="Times New Roman" w:hAnsi="Times New Roman"/>
          <w:bCs/>
          <w:sz w:val="24"/>
          <w:highlight w:val="none"/>
        </w:rPr>
        <w:t xml:space="preserve"> &gt;2800 counties. </w:t>
      </w:r>
      <w:r>
        <w:rPr>
          <w:rFonts w:ascii="Times New Roman" w:hAnsi="Times New Roman"/>
          <w:bCs/>
          <w:i/>
          <w:iCs/>
          <w:sz w:val="24"/>
          <w:highlight w:val="none"/>
        </w:rPr>
        <w:t>q</w:t>
      </w:r>
      <w:r>
        <w:rPr>
          <w:rFonts w:ascii="Times New Roman" w:hAnsi="Times New Roman"/>
          <w:bCs/>
          <w:sz w:val="24"/>
          <w:highlight w:val="none"/>
        </w:rPr>
        <w:t xml:space="preserve"> represents the forms of Nr, i.e. NH</w:t>
      </w:r>
      <w:r>
        <w:rPr>
          <w:rFonts w:ascii="Times New Roman" w:hAnsi="Times New Roman"/>
          <w:bCs/>
          <w:sz w:val="24"/>
          <w:highlight w:val="none"/>
          <w:vertAlign w:val="subscript"/>
        </w:rPr>
        <w:t>3</w:t>
      </w:r>
      <w:r>
        <w:rPr>
          <w:rFonts w:ascii="Times New Roman" w:hAnsi="Times New Roman"/>
          <w:bCs/>
          <w:sz w:val="24"/>
          <w:highlight w:val="none"/>
        </w:rPr>
        <w:t>, NO</w:t>
      </w:r>
      <w:r>
        <w:rPr>
          <w:rFonts w:ascii="Times New Roman" w:hAnsi="Times New Roman"/>
          <w:bCs/>
          <w:sz w:val="24"/>
          <w:highlight w:val="none"/>
          <w:vertAlign w:val="subscript"/>
        </w:rPr>
        <w:t>x</w:t>
      </w:r>
      <w:r>
        <w:rPr>
          <w:rFonts w:ascii="Times New Roman" w:hAnsi="Times New Roman"/>
          <w:bCs/>
          <w:sz w:val="24"/>
          <w:highlight w:val="none"/>
        </w:rPr>
        <w:t xml:space="preserve"> and NO</w:t>
      </w:r>
      <w:r>
        <w:rPr>
          <w:rFonts w:ascii="Times New Roman" w:hAnsi="Times New Roman"/>
          <w:bCs/>
          <w:sz w:val="24"/>
          <w:highlight w:val="none"/>
          <w:vertAlign w:val="subscript"/>
        </w:rPr>
        <w:t>3</w:t>
      </w:r>
      <w:r>
        <w:rPr>
          <w:rFonts w:ascii="Times New Roman" w:hAnsi="Times New Roman"/>
          <w:bCs/>
          <w:sz w:val="24"/>
          <w:highlight w:val="none"/>
          <w:vertAlign w:val="superscript"/>
        </w:rPr>
        <w:t>-</w:t>
      </w:r>
      <w:r>
        <w:rPr>
          <w:rFonts w:ascii="Times New Roman" w:hAnsi="Times New Roman"/>
          <w:bCs/>
          <w:sz w:val="24"/>
          <w:highlight w:val="none"/>
        </w:rPr>
        <w:t xml:space="preserve">. </w:t>
      </w:r>
      <w:r>
        <w:rPr>
          <w:rFonts w:ascii="Times New Roman" w:hAnsi="Times New Roman"/>
          <w:bCs/>
          <w:i/>
          <w:iCs/>
          <w:sz w:val="24"/>
          <w:highlight w:val="none"/>
        </w:rPr>
        <w:t>HB</w:t>
      </w:r>
      <w:r>
        <w:rPr>
          <w:rFonts w:ascii="Times New Roman" w:hAnsi="Times New Roman"/>
          <w:bCs/>
          <w:i/>
          <w:iCs/>
          <w:sz w:val="24"/>
          <w:highlight w:val="none"/>
          <w:vertAlign w:val="subscript"/>
        </w:rPr>
        <w:t>q</w:t>
      </w:r>
      <w:r>
        <w:rPr>
          <w:rFonts w:ascii="Times New Roman" w:hAnsi="Times New Roman"/>
          <w:bCs/>
          <w:sz w:val="24"/>
          <w:highlight w:val="none"/>
        </w:rPr>
        <w:t xml:space="preserve"> is the total health benefit on the reduction of the </w:t>
      </w:r>
      <w:r>
        <w:rPr>
          <w:rFonts w:ascii="Times New Roman" w:hAnsi="Times New Roman"/>
          <w:bCs/>
          <w:i/>
          <w:iCs/>
          <w:sz w:val="24"/>
          <w:highlight w:val="none"/>
        </w:rPr>
        <w:t>q</w:t>
      </w:r>
      <w:r>
        <w:rPr>
          <w:rFonts w:ascii="Times New Roman" w:hAnsi="Times New Roman"/>
          <w:bCs/>
          <w:sz w:val="24"/>
          <w:highlight w:val="none"/>
        </w:rPr>
        <w:t xml:space="preserve">th forms of Nr. </w:t>
      </w:r>
      <w:r>
        <w:rPr>
          <w:rFonts w:hint="eastAsia" w:ascii="Times New Roman" w:hAnsi="Times New Roman"/>
          <w:bCs/>
          <w:i/>
          <w:iCs/>
          <w:sz w:val="24"/>
          <w:highlight w:val="none"/>
        </w:rPr>
        <w:t>m</w:t>
      </w:r>
      <w:r>
        <w:rPr>
          <w:rFonts w:hint="eastAsia" w:ascii="Times New Roman" w:hAnsi="Times New Roman"/>
          <w:bCs/>
          <w:sz w:val="24"/>
          <w:highlight w:val="none"/>
        </w:rPr>
        <w:t xml:space="preserve"> represents air or water pollution, denoted by PM</w:t>
      </w:r>
      <w:r>
        <w:rPr>
          <w:rFonts w:hint="eastAsia" w:ascii="Times New Roman" w:hAnsi="Times New Roman"/>
          <w:bCs/>
          <w:sz w:val="24"/>
          <w:highlight w:val="none"/>
          <w:vertAlign w:val="subscript"/>
        </w:rPr>
        <w:t>2.5</w:t>
      </w:r>
      <w:r>
        <w:rPr>
          <w:rFonts w:hint="eastAsia" w:ascii="Times New Roman" w:hAnsi="Times New Roman"/>
          <w:bCs/>
          <w:sz w:val="24"/>
          <w:highlight w:val="none"/>
        </w:rPr>
        <w:t xml:space="preserve"> and river N loading, respectively. </w:t>
      </w:r>
      <w:r>
        <w:rPr>
          <w:rFonts w:ascii="Times New Roman" w:hAnsi="Times New Roman" w:eastAsia="微软雅黑"/>
          <w:bCs/>
          <w:sz w:val="24"/>
          <w:highlight w:val="none"/>
        </w:rPr>
        <w:t>Δ</w:t>
      </w:r>
      <w:r>
        <w:rPr>
          <w:rFonts w:ascii="Times New Roman" w:hAnsi="Times New Roman" w:eastAsia="微软雅黑"/>
          <w:bCs/>
          <w:i/>
          <w:iCs/>
          <w:sz w:val="24"/>
          <w:highlight w:val="none"/>
        </w:rPr>
        <w:t>PR</w:t>
      </w:r>
      <w:r>
        <w:rPr>
          <w:rFonts w:hint="eastAsia" w:ascii="Times New Roman" w:hAnsi="Times New Roman" w:eastAsia="微软雅黑"/>
          <w:bCs/>
          <w:i/>
          <w:iCs/>
          <w:sz w:val="24"/>
          <w:highlight w:val="none"/>
          <w:vertAlign w:val="subscript"/>
        </w:rPr>
        <w:t>m</w:t>
      </w:r>
      <w:r>
        <w:rPr>
          <w:rFonts w:ascii="Times New Roman" w:hAnsi="Times New Roman" w:eastAsia="微软雅黑"/>
          <w:bCs/>
          <w:sz w:val="24"/>
          <w:highlight w:val="none"/>
        </w:rPr>
        <w:t xml:space="preserve"> is the total reduction of </w:t>
      </w:r>
      <w:r>
        <w:rPr>
          <w:rFonts w:ascii="Times New Roman" w:hAnsi="Times New Roman"/>
          <w:bCs/>
          <w:sz w:val="24"/>
          <w:highlight w:val="none"/>
        </w:rPr>
        <w:t>PM</w:t>
      </w:r>
      <w:r>
        <w:rPr>
          <w:rFonts w:ascii="Times New Roman" w:hAnsi="Times New Roman"/>
          <w:bCs/>
          <w:sz w:val="24"/>
          <w:highlight w:val="none"/>
          <w:vertAlign w:val="subscript"/>
        </w:rPr>
        <w:t>2.5</w:t>
      </w:r>
      <w:r>
        <w:rPr>
          <w:rFonts w:ascii="Times New Roman" w:hAnsi="Times New Roman"/>
          <w:bCs/>
          <w:sz w:val="24"/>
          <w:highlight w:val="none"/>
        </w:rPr>
        <w:t xml:space="preserve"> </w:t>
      </w:r>
      <w:r>
        <w:rPr>
          <w:rFonts w:hint="eastAsia" w:ascii="Times New Roman" w:hAnsi="Times New Roman"/>
          <w:bCs/>
          <w:sz w:val="24"/>
          <w:highlight w:val="none"/>
        </w:rPr>
        <w:t>or</w:t>
      </w:r>
      <w:r>
        <w:rPr>
          <w:rFonts w:ascii="Times New Roman" w:hAnsi="Times New Roman"/>
          <w:bCs/>
          <w:sz w:val="24"/>
          <w:highlight w:val="none"/>
        </w:rPr>
        <w:t xml:space="preserve"> river N loading.</w:t>
      </w:r>
      <w:r>
        <w:rPr>
          <w:rFonts w:hint="eastAsia" w:ascii="Times New Roman" w:hAnsi="Times New Roman"/>
          <w:bCs/>
          <w:sz w:val="24"/>
          <w:highlight w:val="none"/>
        </w:rPr>
        <w:t xml:space="preserve"> </w:t>
      </w:r>
      <w:r>
        <w:rPr>
          <w:rFonts w:hint="eastAsia" w:ascii="Times New Roman" w:hAnsi="Times New Roman"/>
          <w:bCs/>
          <w:i/>
          <w:iCs/>
          <w:sz w:val="24"/>
          <w:highlight w:val="none"/>
        </w:rPr>
        <w:t>HX</w:t>
      </w:r>
      <w:r>
        <w:rPr>
          <w:rFonts w:hint="eastAsia" w:ascii="Times New Roman" w:hAnsi="Times New Roman"/>
          <w:bCs/>
          <w:i/>
          <w:iCs/>
          <w:sz w:val="24"/>
          <w:highlight w:val="none"/>
          <w:vertAlign w:val="subscript"/>
        </w:rPr>
        <w:t>q</w:t>
      </w:r>
      <w:r>
        <w:rPr>
          <w:rFonts w:hint="eastAsia" w:ascii="Times New Roman" w:hAnsi="Times New Roman"/>
          <w:bCs/>
          <w:sz w:val="24"/>
          <w:highlight w:val="none"/>
        </w:rPr>
        <w:t xml:space="preserve"> </w:t>
      </w:r>
      <w:r>
        <w:rPr>
          <w:rFonts w:ascii="Times New Roman" w:hAnsi="Times New Roman"/>
          <w:bCs/>
          <w:sz w:val="24"/>
          <w:highlight w:val="none"/>
        </w:rPr>
        <w:t>represent the correction coefficient</w:t>
      </w:r>
      <w:r>
        <w:rPr>
          <w:rFonts w:hint="eastAsia" w:ascii="Times New Roman" w:hAnsi="Times New Roman"/>
          <w:bCs/>
          <w:sz w:val="24"/>
          <w:highlight w:val="none"/>
        </w:rPr>
        <w:t>s</w:t>
      </w:r>
      <w:r>
        <w:rPr>
          <w:rFonts w:ascii="Times New Roman" w:hAnsi="Times New Roman"/>
          <w:bCs/>
          <w:sz w:val="24"/>
          <w:highlight w:val="none"/>
        </w:rPr>
        <w:t xml:space="preserve"> of </w:t>
      </w:r>
      <w:r>
        <w:rPr>
          <w:rFonts w:hint="eastAsia" w:ascii="Times New Roman" w:hAnsi="Times New Roman"/>
          <w:bCs/>
          <w:sz w:val="24"/>
          <w:highlight w:val="none"/>
        </w:rPr>
        <w:t xml:space="preserve">health benefit. </w:t>
      </w:r>
      <w:r>
        <w:rPr>
          <w:rFonts w:ascii="Times New Roman" w:hAnsi="Times New Roman"/>
          <w:bCs/>
          <w:i/>
          <w:iCs/>
          <w:sz w:val="24"/>
          <w:highlight w:val="none"/>
        </w:rPr>
        <w:t>α</w:t>
      </w:r>
      <w:r>
        <w:rPr>
          <w:rFonts w:ascii="Times New Roman" w:hAnsi="Times New Roman"/>
          <w:bCs/>
          <w:sz w:val="24"/>
          <w:highlight w:val="none"/>
        </w:rPr>
        <w:t>,</w:t>
      </w:r>
      <w:r>
        <w:rPr>
          <w:rFonts w:hint="eastAsia" w:ascii="Times New Roman" w:hAnsi="Times New Roman"/>
          <w:bCs/>
          <w:sz w:val="24"/>
          <w:highlight w:val="none"/>
        </w:rPr>
        <w:t xml:space="preserve"> </w:t>
      </w:r>
      <w:r>
        <w:rPr>
          <w:rFonts w:ascii="Times New Roman" w:hAnsi="Times New Roman"/>
          <w:bCs/>
          <w:i/>
          <w:iCs/>
          <w:sz w:val="24"/>
          <w:highlight w:val="none"/>
        </w:rPr>
        <w:t>β</w:t>
      </w:r>
      <w:r>
        <w:rPr>
          <w:rFonts w:ascii="Times New Roman" w:hAnsi="Times New Roman"/>
          <w:bCs/>
          <w:sz w:val="24"/>
          <w:highlight w:val="none"/>
        </w:rPr>
        <w:t xml:space="preserve"> represent the correction coefficient of VSL and population density, respectively</w:t>
      </w:r>
      <w:r>
        <w:rPr>
          <w:rFonts w:hint="eastAsia" w:ascii="Times New Roman" w:hAnsi="Times New Roman"/>
          <w:bCs/>
          <w:sz w:val="24"/>
          <w:highlight w:val="none"/>
        </w:rPr>
        <w:t xml:space="preserve">, and are equal to </w:t>
      </w:r>
      <w:r>
        <w:rPr>
          <w:rFonts w:ascii="Times New Roman" w:hAnsi="Times New Roman"/>
          <w:bCs/>
          <w:sz w:val="24"/>
          <w:highlight w:val="none"/>
        </w:rPr>
        <w:t xml:space="preserve">the county value divided by the </w:t>
      </w:r>
      <w:r>
        <w:rPr>
          <w:rFonts w:hint="eastAsia" w:ascii="Times New Roman" w:hAnsi="Times New Roman"/>
          <w:bCs/>
          <w:sz w:val="24"/>
          <w:highlight w:val="none"/>
        </w:rPr>
        <w:t>national average value.</w:t>
      </w:r>
    </w:p>
    <w:p>
      <w:pPr>
        <w:adjustRightInd w:val="0"/>
        <w:snapToGrid w:val="0"/>
        <w:spacing w:line="300" w:lineRule="auto"/>
        <w:jc w:val="left"/>
        <w:rPr>
          <w:rFonts w:ascii="Times New Roman" w:hAnsi="Times New Roman"/>
          <w:bCs/>
          <w:sz w:val="24"/>
          <w:highlight w:val="none"/>
        </w:rPr>
      </w:pPr>
    </w:p>
    <w:p>
      <w:pPr>
        <w:adjustRightInd w:val="0"/>
        <w:snapToGrid w:val="0"/>
        <w:spacing w:line="300" w:lineRule="auto"/>
        <w:jc w:val="left"/>
        <w:rPr>
          <w:rFonts w:ascii="Times New Roman" w:hAnsi="Times New Roman"/>
          <w:bCs/>
          <w:sz w:val="24"/>
          <w:highlight w:val="none"/>
        </w:rPr>
      </w:pPr>
      <w:r>
        <w:rPr>
          <w:rFonts w:hint="eastAsia" w:ascii="Times New Roman" w:hAnsi="Times New Roman"/>
          <w:bCs/>
          <w:sz w:val="24"/>
          <w:highlight w:val="none"/>
        </w:rPr>
        <w:t>As health benefits, ecosystem and climate benefits also are allocated at the county scale based on changes of Nr loss reduction. Considering that the county distribution of ecosystem benefit (</w:t>
      </w:r>
      <w:r>
        <w:rPr>
          <w:rFonts w:hint="eastAsia" w:ascii="Times New Roman" w:hAnsi="Times New Roman"/>
          <w:bCs/>
          <w:i/>
          <w:iCs/>
          <w:sz w:val="24"/>
          <w:highlight w:val="none"/>
        </w:rPr>
        <w:t>EB</w:t>
      </w:r>
      <w:r>
        <w:rPr>
          <w:rFonts w:hint="eastAsia" w:ascii="Times New Roman" w:hAnsi="Times New Roman"/>
          <w:bCs/>
          <w:i/>
          <w:iCs/>
          <w:sz w:val="24"/>
          <w:highlight w:val="none"/>
          <w:vertAlign w:val="subscript"/>
        </w:rPr>
        <w:t>t</w:t>
      </w:r>
      <w:r>
        <w:rPr>
          <w:rFonts w:hint="eastAsia" w:ascii="Times New Roman" w:hAnsi="Times New Roman"/>
          <w:bCs/>
          <w:sz w:val="24"/>
          <w:highlight w:val="none"/>
        </w:rPr>
        <w:t>) is influenced by the local economic status and environmental pollution status, while climate benefit (</w:t>
      </w:r>
      <w:r>
        <w:rPr>
          <w:rFonts w:hint="eastAsia" w:ascii="Times New Roman" w:hAnsi="Times New Roman"/>
          <w:bCs/>
          <w:i/>
          <w:iCs/>
          <w:sz w:val="24"/>
          <w:highlight w:val="none"/>
        </w:rPr>
        <w:t>CB</w:t>
      </w:r>
      <w:r>
        <w:rPr>
          <w:rFonts w:hint="eastAsia" w:ascii="Times New Roman" w:hAnsi="Times New Roman"/>
          <w:bCs/>
          <w:i/>
          <w:iCs/>
          <w:sz w:val="24"/>
          <w:highlight w:val="none"/>
          <w:vertAlign w:val="subscript"/>
        </w:rPr>
        <w:t>t</w:t>
      </w:r>
      <w:r>
        <w:rPr>
          <w:rFonts w:hint="eastAsia" w:ascii="Times New Roman" w:hAnsi="Times New Roman"/>
          <w:bCs/>
          <w:sz w:val="24"/>
          <w:highlight w:val="none"/>
        </w:rPr>
        <w:t xml:space="preserve">) is only influenced by the local economic status. GDP per capita and Nr loss in 2017 in county scale are used to make corrections for </w:t>
      </w:r>
      <w:r>
        <w:rPr>
          <w:rFonts w:hint="eastAsia" w:ascii="Times New Roman" w:hAnsi="Times New Roman"/>
          <w:bCs/>
          <w:i/>
          <w:iCs/>
          <w:sz w:val="24"/>
          <w:highlight w:val="none"/>
        </w:rPr>
        <w:t>EB</w:t>
      </w:r>
      <w:r>
        <w:rPr>
          <w:rFonts w:hint="eastAsia" w:ascii="Times New Roman" w:hAnsi="Times New Roman"/>
          <w:bCs/>
          <w:i/>
          <w:iCs/>
          <w:sz w:val="24"/>
          <w:highlight w:val="none"/>
          <w:vertAlign w:val="subscript"/>
        </w:rPr>
        <w:t>t</w:t>
      </w:r>
      <w:r>
        <w:rPr>
          <w:rFonts w:hint="eastAsia" w:ascii="Times New Roman" w:hAnsi="Times New Roman"/>
          <w:bCs/>
          <w:sz w:val="24"/>
          <w:highlight w:val="none"/>
        </w:rPr>
        <w:t xml:space="preserve"> . The specific calculation formula are as follows:</w:t>
      </w:r>
    </w:p>
    <w:p>
      <w:pPr>
        <w:adjustRightInd w:val="0"/>
        <w:snapToGrid w:val="0"/>
        <w:spacing w:line="300" w:lineRule="auto"/>
        <w:jc w:val="left"/>
        <w:rPr>
          <w:rFonts w:ascii="Times New Roman" w:hAnsi="Times New Roman"/>
          <w:bCs/>
          <w:sz w:val="24"/>
          <w:highlight w:val="none"/>
        </w:rPr>
      </w:pPr>
    </w:p>
    <w:p>
      <w:pPr>
        <w:adjustRightInd w:val="0"/>
        <w:snapToGrid w:val="0"/>
        <w:spacing w:line="300" w:lineRule="auto"/>
        <w:jc w:val="right"/>
        <w:rPr>
          <w:rFonts w:ascii="Times New Roman" w:hAnsi="Times New Roman"/>
          <w:sz w:val="24"/>
          <w:highlight w:val="none"/>
        </w:rPr>
      </w:pPr>
      <w:r>
        <w:rPr>
          <w:rFonts w:hint="eastAsia" w:ascii="宋体" w:hAnsi="宋体" w:cs="宋体"/>
          <w:position w:val="-32"/>
          <w:sz w:val="24"/>
          <w:highlight w:val="none"/>
        </w:rPr>
        <w:object>
          <v:shape id="_x0000_i1043" o:spt="75" type="#_x0000_t75" style="height:39.35pt;width:148.8pt;" o:ole="t" filled="f" o:preferrelative="t" stroked="f" coordsize="21600,21600">
            <v:path/>
            <v:fill on="f" focussize="0,0"/>
            <v:stroke on="f" joinstyle="miter"/>
            <v:imagedata r:id="rId42" o:title=""/>
            <o:lock v:ext="edit" aspectratio="t"/>
            <w10:wrap type="none"/>
            <w10:anchorlock/>
          </v:shape>
          <o:OLEObject Type="Embed" ProgID="Equation.KSEE3" ShapeID="_x0000_i1043" DrawAspect="Content" ObjectID="_1468075743" r:id="rId41">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1</w:t>
      </w:r>
      <w:r>
        <w:rPr>
          <w:rFonts w:hint="eastAsia" w:ascii="Times New Roman" w:hAnsi="Times New Roman"/>
          <w:sz w:val="24"/>
          <w:highlight w:val="none"/>
          <w:lang w:val="en-US" w:eastAsia="zh-CN"/>
        </w:rPr>
        <w:t>8</w:t>
      </w:r>
      <w:r>
        <w:rPr>
          <w:rFonts w:ascii="Times New Roman" w:hAnsi="Times New Roman"/>
          <w:sz w:val="24"/>
          <w:highlight w:val="none"/>
        </w:rPr>
        <w:t>)</w:t>
      </w:r>
    </w:p>
    <w:p>
      <w:pPr>
        <w:adjustRightInd w:val="0"/>
        <w:snapToGrid w:val="0"/>
        <w:spacing w:line="300" w:lineRule="auto"/>
        <w:jc w:val="right"/>
        <w:rPr>
          <w:rFonts w:ascii="Times New Roman" w:hAnsi="Times New Roman"/>
          <w:sz w:val="24"/>
          <w:highlight w:val="none"/>
        </w:rPr>
      </w:pPr>
      <w:r>
        <w:rPr>
          <w:rFonts w:hint="eastAsia" w:ascii="宋体" w:hAnsi="宋体" w:cs="宋体"/>
          <w:position w:val="-14"/>
          <w:sz w:val="24"/>
          <w:highlight w:val="none"/>
        </w:rPr>
        <w:object>
          <v:shape id="_x0000_i1044" o:spt="75" type="#_x0000_t75" style="height:29.8pt;width:100.9pt;" o:ole="t" filled="f" o:preferrelative="t" stroked="f" coordsize="21600,21600">
            <v:path/>
            <v:fill on="f" focussize="0,0"/>
            <v:stroke on="f" joinstyle="miter"/>
            <v:imagedata r:id="rId44" o:title=""/>
            <o:lock v:ext="edit" aspectratio="t"/>
            <w10:wrap type="none"/>
            <w10:anchorlock/>
          </v:shape>
          <o:OLEObject Type="Embed" ProgID="Equation.KSEE3" ShapeID="_x0000_i1044" DrawAspect="Content" ObjectID="_1468075744" r:id="rId43">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rPr>
        <w:t>1</w:t>
      </w:r>
      <w:r>
        <w:rPr>
          <w:rFonts w:hint="eastAsia" w:ascii="Times New Roman" w:hAnsi="Times New Roman"/>
          <w:sz w:val="24"/>
          <w:highlight w:val="none"/>
          <w:lang w:val="en-US" w:eastAsia="zh-CN"/>
        </w:rPr>
        <w:t>9</w:t>
      </w:r>
      <w:r>
        <w:rPr>
          <w:rFonts w:ascii="Times New Roman" w:hAnsi="Times New Roman"/>
          <w:sz w:val="24"/>
          <w:highlight w:val="none"/>
        </w:rPr>
        <w:t>)</w:t>
      </w:r>
    </w:p>
    <w:p>
      <w:pPr>
        <w:adjustRightInd w:val="0"/>
        <w:snapToGrid w:val="0"/>
        <w:spacing w:line="300" w:lineRule="auto"/>
        <w:jc w:val="right"/>
        <w:rPr>
          <w:rFonts w:ascii="Times New Roman" w:hAnsi="Times New Roman"/>
          <w:sz w:val="24"/>
          <w:highlight w:val="none"/>
        </w:rPr>
      </w:pPr>
    </w:p>
    <w:p>
      <w:pPr>
        <w:adjustRightInd w:val="0"/>
        <w:snapToGrid w:val="0"/>
        <w:spacing w:line="300" w:lineRule="auto"/>
        <w:jc w:val="right"/>
        <w:rPr>
          <w:rFonts w:ascii="Times New Roman" w:hAnsi="Times New Roman"/>
          <w:sz w:val="24"/>
          <w:highlight w:val="none"/>
        </w:rPr>
      </w:pPr>
      <w:r>
        <w:rPr>
          <w:rFonts w:hint="eastAsia" w:ascii="宋体" w:hAnsi="宋体" w:cs="宋体"/>
          <w:position w:val="-32"/>
          <w:sz w:val="24"/>
          <w:highlight w:val="none"/>
        </w:rPr>
        <w:object>
          <v:shape id="_x0000_i1045" o:spt="75" type="#_x0000_t75" style="height:39.35pt;width:148.8pt;" o:ole="t" filled="f" o:preferrelative="t" stroked="f" coordsize="21600,21600">
            <v:path/>
            <v:fill on="f" focussize="0,0"/>
            <v:stroke on="f" joinstyle="miter"/>
            <v:imagedata r:id="rId46" o:title=""/>
            <o:lock v:ext="edit" aspectratio="t"/>
            <w10:wrap type="none"/>
            <w10:anchorlock/>
          </v:shape>
          <o:OLEObject Type="Embed" ProgID="Equation.KSEE3" ShapeID="_x0000_i1045" DrawAspect="Content" ObjectID="_1468075745" r:id="rId45">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lang w:val="en-US" w:eastAsia="zh-CN"/>
        </w:rPr>
        <w:t>20</w:t>
      </w:r>
      <w:r>
        <w:rPr>
          <w:rFonts w:ascii="Times New Roman" w:hAnsi="Times New Roman"/>
          <w:sz w:val="24"/>
          <w:highlight w:val="none"/>
        </w:rPr>
        <w:t>)</w:t>
      </w:r>
    </w:p>
    <w:p>
      <w:pPr>
        <w:adjustRightInd w:val="0"/>
        <w:snapToGrid w:val="0"/>
        <w:spacing w:line="300" w:lineRule="auto"/>
        <w:jc w:val="right"/>
        <w:rPr>
          <w:rFonts w:ascii="Times New Roman" w:hAnsi="Times New Roman"/>
          <w:position w:val="-30"/>
          <w:sz w:val="24"/>
          <w:highlight w:val="none"/>
        </w:rPr>
      </w:pPr>
      <w:r>
        <w:rPr>
          <w:rFonts w:hint="eastAsia" w:ascii="宋体" w:hAnsi="宋体" w:cs="宋体"/>
          <w:position w:val="-14"/>
          <w:sz w:val="24"/>
          <w:highlight w:val="none"/>
        </w:rPr>
        <w:object>
          <v:shape id="_x0000_i1046" o:spt="75" type="#_x0000_t75" style="height:20.3pt;width:72.95pt;" o:ole="t" filled="f" o:preferrelative="t" stroked="f" coordsize="21600,21600">
            <v:path/>
            <v:fill on="f" focussize="0,0"/>
            <v:stroke on="f" joinstyle="miter"/>
            <v:imagedata r:id="rId48" o:title=""/>
            <o:lock v:ext="edit" aspectratio="t"/>
            <w10:wrap type="none"/>
            <w10:anchorlock/>
          </v:shape>
          <o:OLEObject Type="Embed" ProgID="Equation.KSEE3" ShapeID="_x0000_i1046" DrawAspect="Content" ObjectID="_1468075746" r:id="rId47">
            <o:LockedField>false</o:LockedField>
          </o:OLEObject>
        </w:object>
      </w:r>
      <w:r>
        <w:rPr>
          <w:rFonts w:hint="eastAsia" w:ascii="宋体" w:hAnsi="宋体" w:cs="宋体"/>
          <w:position w:val="-24"/>
          <w:sz w:val="24"/>
          <w:highlight w:val="none"/>
        </w:rPr>
        <w:t xml:space="preserve">                             </w:t>
      </w:r>
      <w:r>
        <w:rPr>
          <w:rFonts w:ascii="Times New Roman" w:hAnsi="Times New Roman"/>
          <w:sz w:val="24"/>
          <w:highlight w:val="none"/>
        </w:rPr>
        <w:t>(</w:t>
      </w:r>
      <w:r>
        <w:rPr>
          <w:rFonts w:hint="eastAsia" w:ascii="Times New Roman" w:hAnsi="Times New Roman"/>
          <w:sz w:val="24"/>
          <w:highlight w:val="none"/>
          <w:lang w:val="en-US" w:eastAsia="zh-CN"/>
        </w:rPr>
        <w:t>21</w:t>
      </w:r>
      <w:r>
        <w:rPr>
          <w:rFonts w:ascii="Times New Roman" w:hAnsi="Times New Roman"/>
          <w:sz w:val="24"/>
          <w:highlight w:val="none"/>
        </w:rPr>
        <w:t>)</w:t>
      </w:r>
    </w:p>
    <w:p>
      <w:pPr>
        <w:adjustRightInd w:val="0"/>
        <w:snapToGrid w:val="0"/>
        <w:spacing w:line="300" w:lineRule="auto"/>
        <w:jc w:val="left"/>
        <w:rPr>
          <w:rFonts w:ascii="Times New Roman" w:hAnsi="Times New Roman"/>
          <w:bCs/>
          <w:sz w:val="24"/>
          <w:highlight w:val="none"/>
        </w:rPr>
      </w:pPr>
      <w:r>
        <w:rPr>
          <w:rFonts w:hint="eastAsia" w:ascii="Times New Roman" w:hAnsi="Times New Roman"/>
          <w:bCs/>
          <w:sz w:val="24"/>
          <w:highlight w:val="none"/>
        </w:rPr>
        <w:t xml:space="preserve">where </w:t>
      </w:r>
      <w:r>
        <w:rPr>
          <w:rFonts w:hint="eastAsia" w:ascii="微软雅黑" w:hAnsi="微软雅黑" w:eastAsia="微软雅黑" w:cs="微软雅黑"/>
          <w:bCs/>
          <w:sz w:val="24"/>
          <w:highlight w:val="none"/>
        </w:rPr>
        <w:t>Δ</w:t>
      </w:r>
      <w:r>
        <w:rPr>
          <w:rFonts w:hint="eastAsia" w:ascii="Times New Roman" w:hAnsi="Times New Roman"/>
          <w:bCs/>
          <w:i/>
          <w:iCs/>
          <w:sz w:val="24"/>
          <w:highlight w:val="none"/>
        </w:rPr>
        <w:t>NR</w:t>
      </w:r>
      <w:r>
        <w:rPr>
          <w:rFonts w:hint="eastAsia" w:ascii="Times New Roman" w:hAnsi="Times New Roman"/>
          <w:bCs/>
          <w:i/>
          <w:iCs/>
          <w:sz w:val="24"/>
          <w:highlight w:val="none"/>
          <w:vertAlign w:val="subscript"/>
        </w:rPr>
        <w:t>q</w:t>
      </w:r>
      <w:r>
        <w:rPr>
          <w:rFonts w:ascii="Times New Roman" w:hAnsi="Times New Roman"/>
          <w:bCs/>
          <w:i/>
          <w:iCs/>
          <w:sz w:val="24"/>
          <w:highlight w:val="none"/>
        </w:rPr>
        <w:t xml:space="preserve"> </w:t>
      </w:r>
      <w:r>
        <w:rPr>
          <w:rFonts w:ascii="Times New Roman" w:hAnsi="Times New Roman"/>
          <w:bCs/>
          <w:sz w:val="24"/>
          <w:highlight w:val="none"/>
        </w:rPr>
        <w:t xml:space="preserve">is the reduction of </w:t>
      </w:r>
      <w:r>
        <w:rPr>
          <w:rFonts w:ascii="Times New Roman" w:hAnsi="Times New Roman"/>
          <w:bCs/>
          <w:i/>
          <w:iCs/>
          <w:sz w:val="24"/>
          <w:highlight w:val="none"/>
        </w:rPr>
        <w:t>q</w:t>
      </w:r>
      <w:r>
        <w:rPr>
          <w:rFonts w:ascii="Times New Roman" w:hAnsi="Times New Roman"/>
          <w:bCs/>
          <w:sz w:val="24"/>
          <w:highlight w:val="none"/>
        </w:rPr>
        <w:t xml:space="preserve">th Nr through urbanization in China. </w:t>
      </w:r>
      <w:r>
        <w:rPr>
          <w:rFonts w:ascii="Times New Roman" w:hAnsi="Times New Roman"/>
          <w:bCs/>
          <w:i/>
          <w:iCs/>
          <w:sz w:val="24"/>
          <w:highlight w:val="none"/>
        </w:rPr>
        <w:t>EXq</w:t>
      </w:r>
      <w:r>
        <w:rPr>
          <w:rFonts w:ascii="Times New Roman" w:hAnsi="Times New Roman"/>
          <w:bCs/>
          <w:sz w:val="24"/>
          <w:highlight w:val="none"/>
        </w:rPr>
        <w:t xml:space="preserve"> and </w:t>
      </w:r>
      <w:r>
        <w:rPr>
          <w:rFonts w:ascii="Times New Roman" w:hAnsi="Times New Roman"/>
          <w:bCs/>
          <w:i/>
          <w:iCs/>
          <w:sz w:val="24"/>
          <w:highlight w:val="none"/>
        </w:rPr>
        <w:t xml:space="preserve">CXq </w:t>
      </w:r>
      <w:r>
        <w:rPr>
          <w:rFonts w:ascii="Times New Roman" w:hAnsi="Times New Roman"/>
          <w:bCs/>
          <w:sz w:val="24"/>
          <w:highlight w:val="none"/>
        </w:rPr>
        <w:t xml:space="preserve">are the correction coefficients of ecosystem benefit and climate benefit, respectively. </w:t>
      </w:r>
      <w:r>
        <w:rPr>
          <w:rFonts w:ascii="Times New Roman" w:hAnsi="Times New Roman" w:eastAsia="微软雅黑"/>
          <w:bCs/>
          <w:i/>
          <w:iCs/>
          <w:sz w:val="24"/>
          <w:highlight w:val="none"/>
        </w:rPr>
        <w:t>η</w:t>
      </w:r>
      <w:r>
        <w:rPr>
          <w:rFonts w:ascii="Times New Roman" w:hAnsi="Times New Roman" w:eastAsia="微软雅黑"/>
          <w:bCs/>
          <w:sz w:val="24"/>
          <w:highlight w:val="none"/>
        </w:rPr>
        <w:t xml:space="preserve">, </w:t>
      </w:r>
      <w:r>
        <w:rPr>
          <w:rFonts w:ascii="Times New Roman" w:hAnsi="Times New Roman"/>
          <w:bCs/>
          <w:i/>
          <w:iCs/>
          <w:sz w:val="24"/>
          <w:highlight w:val="none"/>
        </w:rPr>
        <w:t>δ</w:t>
      </w:r>
      <w:r>
        <w:rPr>
          <w:rFonts w:hint="eastAsia" w:ascii="Times New Roman" w:hAnsi="Times New Roman"/>
          <w:bCs/>
          <w:sz w:val="24"/>
          <w:highlight w:val="none"/>
        </w:rPr>
        <w:t xml:space="preserve"> </w:t>
      </w:r>
      <w:r>
        <w:rPr>
          <w:rFonts w:ascii="Times New Roman" w:hAnsi="Times New Roman"/>
          <w:bCs/>
          <w:sz w:val="24"/>
          <w:highlight w:val="none"/>
        </w:rPr>
        <w:t xml:space="preserve">are the correction coefficient of GDP per captal and Nr emission in 2017, respectively. </w:t>
      </w:r>
    </w:p>
    <w:p>
      <w:pPr>
        <w:adjustRightInd w:val="0"/>
        <w:snapToGrid w:val="0"/>
        <w:spacing w:line="300" w:lineRule="auto"/>
        <w:jc w:val="left"/>
        <w:rPr>
          <w:rFonts w:ascii="Times New Roman" w:hAnsi="Times New Roman"/>
          <w:bCs/>
          <w:sz w:val="24"/>
          <w:highlight w:val="none"/>
        </w:rPr>
      </w:pPr>
    </w:p>
    <w:p>
      <w:pPr>
        <w:adjustRightInd w:val="0"/>
        <w:snapToGrid w:val="0"/>
        <w:spacing w:line="300" w:lineRule="auto"/>
        <w:outlineLvl w:val="0"/>
        <w:rPr>
          <w:rFonts w:hint="default" w:ascii="Times New Roman" w:hAnsi="Times New Roman" w:cs="Times New Roman"/>
          <w:bCs/>
          <w:sz w:val="24"/>
          <w:highlight w:val="none"/>
          <w:lang w:val="en-US" w:eastAsia="zh-CN"/>
        </w:rPr>
      </w:pPr>
      <w:bookmarkStart w:id="19" w:name="_Toc16087"/>
      <w:r>
        <w:rPr>
          <w:rFonts w:ascii="Times New Roman" w:hAnsi="Times New Roman"/>
          <w:b/>
          <w:sz w:val="24"/>
          <w:highlight w:val="none"/>
        </w:rPr>
        <w:t>S</w:t>
      </w:r>
      <w:r>
        <w:rPr>
          <w:rFonts w:hint="eastAsia" w:ascii="Times New Roman" w:hAnsi="Times New Roman"/>
          <w:b/>
          <w:sz w:val="24"/>
          <w:highlight w:val="none"/>
          <w:lang w:val="en-US" w:eastAsia="zh-CN"/>
        </w:rPr>
        <w:t>2</w:t>
      </w:r>
      <w:r>
        <w:rPr>
          <w:rFonts w:ascii="Times New Roman" w:hAnsi="Times New Roman"/>
          <w:b/>
          <w:sz w:val="24"/>
          <w:highlight w:val="none"/>
        </w:rPr>
        <w:t xml:space="preserve">. </w:t>
      </w:r>
      <w:r>
        <w:rPr>
          <w:rFonts w:hint="eastAsia" w:ascii="Times New Roman" w:hAnsi="Times New Roman"/>
          <w:b/>
          <w:sz w:val="24"/>
          <w:highlight w:val="none"/>
          <w:lang w:val="en-US" w:eastAsia="zh-CN"/>
        </w:rPr>
        <w:t>Comparison of different water quality model</w:t>
      </w:r>
      <w:bookmarkEnd w:id="19"/>
      <w:r>
        <w:rPr>
          <w:rFonts w:ascii="Times New Roman" w:hAnsi="Times New Roman"/>
          <w:b/>
          <w:sz w:val="24"/>
          <w:highlight w:val="none"/>
        </w:rPr>
        <w:t xml:space="preserve"> </w:t>
      </w:r>
    </w:p>
    <w:p>
      <w:pPr>
        <w:keepNext w:val="0"/>
        <w:keepLines w:val="0"/>
        <w:widowControl/>
        <w:suppressLineNumbers w:val="0"/>
        <w:jc w:val="left"/>
        <w:rPr>
          <w:rFonts w:hint="eastAsia" w:ascii="Times New Roman" w:hAnsi="Times New Roman"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 xml:space="preserve">In this study, we compared our findings with those of previous studies. </w:t>
      </w:r>
      <w:r>
        <w:rPr>
          <w:rFonts w:hint="eastAsia" w:ascii="Times New Roman" w:hAnsi="Times New Roman" w:cs="Times New Roman"/>
          <w:color w:val="000000"/>
          <w:kern w:val="0"/>
          <w:sz w:val="24"/>
          <w:szCs w:val="24"/>
          <w:highlight w:val="none"/>
          <w:lang w:val="en-US" w:eastAsia="zh-CN" w:bidi="ar"/>
        </w:rPr>
        <w:t>We</w:t>
      </w:r>
      <w:r>
        <w:rPr>
          <w:rFonts w:hint="default" w:ascii="Times New Roman" w:hAnsi="Times New Roman" w:eastAsia="宋体" w:cs="Times New Roman"/>
          <w:color w:val="000000"/>
          <w:kern w:val="0"/>
          <w:sz w:val="24"/>
          <w:szCs w:val="24"/>
          <w:highlight w:val="none"/>
          <w:lang w:val="en-US" w:eastAsia="zh-CN" w:bidi="ar"/>
        </w:rPr>
        <w:t xml:space="preserve"> estimated 15.6 Tg of </w:t>
      </w:r>
      <w:r>
        <w:rPr>
          <w:rFonts w:hint="eastAsia" w:ascii="Times New Roman" w:hAnsi="Times New Roman" w:cs="Times New Roman"/>
          <w:color w:val="000000"/>
          <w:kern w:val="0"/>
          <w:sz w:val="24"/>
          <w:szCs w:val="24"/>
          <w:highlight w:val="none"/>
          <w:lang w:val="en-US" w:eastAsia="zh-CN" w:bidi="ar"/>
        </w:rPr>
        <w:t>Nr</w:t>
      </w:r>
      <w:r>
        <w:rPr>
          <w:rFonts w:hint="default" w:ascii="Times New Roman" w:hAnsi="Times New Roman" w:eastAsia="宋体" w:cs="Times New Roman"/>
          <w:color w:val="000000"/>
          <w:kern w:val="0"/>
          <w:sz w:val="24"/>
          <w:szCs w:val="24"/>
          <w:highlight w:val="none"/>
          <w:lang w:val="en-US" w:eastAsia="zh-CN" w:bidi="ar"/>
        </w:rPr>
        <w:t xml:space="preserve"> entering water bodies</w:t>
      </w:r>
      <w:r>
        <w:rPr>
          <w:rFonts w:hint="eastAsia" w:ascii="Times New Roman" w:hAnsi="Times New Roman" w:cs="Times New Roman"/>
          <w:color w:val="000000"/>
          <w:kern w:val="0"/>
          <w:sz w:val="24"/>
          <w:szCs w:val="24"/>
          <w:highlight w:val="none"/>
          <w:lang w:val="en-US" w:eastAsia="zh-CN" w:bidi="ar"/>
        </w:rPr>
        <w:t xml:space="preserve"> by CHANS</w:t>
      </w:r>
      <w:r>
        <w:rPr>
          <w:rFonts w:hint="default" w:ascii="Times New Roman" w:hAnsi="Times New Roman" w:eastAsia="宋体" w:cs="Times New Roman"/>
          <w:color w:val="000000"/>
          <w:kern w:val="0"/>
          <w:sz w:val="24"/>
          <w:szCs w:val="24"/>
          <w:highlight w:val="none"/>
          <w:lang w:val="en-US" w:eastAsia="zh-CN" w:bidi="ar"/>
        </w:rPr>
        <w:t>, of which 10.5 Tg was from surface runoff in river basins such as the Yellow River Basin, Hai River Basin, Liao River Basin, Pearl River Basin, Yangtze River Basin, Huai River Basin, and Southeast China River Basin. Our findings were similar to the estimations of the IMAGE-GNM (15.4 Tg)</w:t>
      </w:r>
      <w:r>
        <w:rPr>
          <w:rFonts w:hint="default" w:ascii="Times New Roman" w:hAnsi="Times New Roman" w:eastAsia="宋体" w:cs="Times New Roman"/>
          <w:color w:val="000000"/>
          <w:kern w:val="0"/>
          <w:sz w:val="24"/>
          <w:szCs w:val="24"/>
          <w:highlight w:val="none"/>
          <w:lang w:val="en-US" w:eastAsia="zh-CN" w:bidi="ar"/>
        </w:rPr>
        <w:fldChar w:fldCharType="begin"/>
      </w:r>
      <w:r>
        <w:rPr>
          <w:rFonts w:hint="eastAsia" w:ascii="Times New Roman" w:hAnsi="Times New Roman" w:cs="Times New Roman"/>
          <w:color w:val="000000"/>
          <w:kern w:val="0"/>
          <w:sz w:val="24"/>
          <w:szCs w:val="24"/>
          <w:highlight w:val="none"/>
          <w:lang w:val="en-US" w:eastAsia="zh-CN" w:bidi="ar"/>
        </w:rPr>
        <w:instrText xml:space="preserve"> ADDIN NE.Ref.{15D5C2AD-3972-4DC1-A6BF-68750166848E}</w:instrText>
      </w:r>
      <w:r>
        <w:rPr>
          <w:rFonts w:hint="default" w:ascii="Times New Roman" w:hAnsi="Times New Roman" w:eastAsia="宋体" w:cs="Times New Roman"/>
          <w:color w:val="000000"/>
          <w:kern w:val="0"/>
          <w:sz w:val="24"/>
          <w:szCs w:val="24"/>
          <w:highlight w:val="none"/>
          <w:lang w:val="en-US" w:eastAsia="zh-CN" w:bidi="ar"/>
        </w:rPr>
        <w:fldChar w:fldCharType="separate"/>
      </w:r>
      <w:r>
        <w:rPr>
          <w:rFonts w:hint="eastAsia" w:ascii="宋体" w:hAnsi="宋体"/>
          <w:color w:val="080000"/>
          <w:sz w:val="21"/>
          <w:szCs w:val="24"/>
          <w:highlight w:val="none"/>
          <w:vertAlign w:val="superscript"/>
        </w:rPr>
        <w:t>14</w:t>
      </w:r>
      <w:r>
        <w:rPr>
          <w:rFonts w:hint="default" w:ascii="Times New Roman" w:hAnsi="Times New Roman" w:eastAsia="宋体" w:cs="Times New Roman"/>
          <w:color w:val="000000"/>
          <w:kern w:val="0"/>
          <w:sz w:val="24"/>
          <w:szCs w:val="24"/>
          <w:highlight w:val="none"/>
          <w:lang w:val="en-US" w:eastAsia="zh-CN" w:bidi="ar"/>
        </w:rPr>
        <w:fldChar w:fldCharType="end"/>
      </w:r>
      <w:r>
        <w:rPr>
          <w:rFonts w:hint="default" w:ascii="Times New Roman" w:hAnsi="Times New Roman" w:eastAsia="宋体" w:cs="Times New Roman"/>
          <w:color w:val="000000"/>
          <w:kern w:val="0"/>
          <w:sz w:val="24"/>
          <w:szCs w:val="24"/>
          <w:highlight w:val="none"/>
          <w:lang w:val="en-US" w:eastAsia="zh-CN" w:bidi="ar"/>
        </w:rPr>
        <w:t xml:space="preserve"> and DNDC model (14.5 Tg)</w:t>
      </w:r>
      <w:r>
        <w:rPr>
          <w:rFonts w:hint="default" w:ascii="Times New Roman" w:hAnsi="Times New Roman" w:eastAsia="宋体" w:cs="Times New Roman"/>
          <w:color w:val="000000"/>
          <w:kern w:val="0"/>
          <w:sz w:val="24"/>
          <w:szCs w:val="24"/>
          <w:highlight w:val="none"/>
          <w:lang w:val="en-US" w:eastAsia="zh-CN" w:bidi="ar"/>
        </w:rPr>
        <w:fldChar w:fldCharType="begin"/>
      </w:r>
      <w:r>
        <w:rPr>
          <w:rFonts w:hint="eastAsia" w:ascii="Times New Roman" w:hAnsi="Times New Roman" w:cs="Times New Roman"/>
          <w:color w:val="000000"/>
          <w:kern w:val="0"/>
          <w:sz w:val="24"/>
          <w:szCs w:val="24"/>
          <w:highlight w:val="none"/>
          <w:lang w:val="en-US" w:eastAsia="zh-CN" w:bidi="ar"/>
        </w:rPr>
        <w:instrText xml:space="preserve"> ADDIN NE.Ref.{AB9E0A04-2D30-482D-86EB-32D3E18FBDA7}</w:instrText>
      </w:r>
      <w:r>
        <w:rPr>
          <w:rFonts w:hint="default" w:ascii="Times New Roman" w:hAnsi="Times New Roman" w:eastAsia="宋体" w:cs="Times New Roman"/>
          <w:color w:val="000000"/>
          <w:kern w:val="0"/>
          <w:sz w:val="24"/>
          <w:szCs w:val="24"/>
          <w:highlight w:val="none"/>
          <w:lang w:val="en-US" w:eastAsia="zh-CN" w:bidi="ar"/>
        </w:rPr>
        <w:fldChar w:fldCharType="separate"/>
      </w:r>
      <w:r>
        <w:rPr>
          <w:rFonts w:hint="eastAsia" w:ascii="宋体" w:hAnsi="宋体"/>
          <w:color w:val="080000"/>
          <w:sz w:val="21"/>
          <w:szCs w:val="24"/>
          <w:highlight w:val="none"/>
          <w:vertAlign w:val="superscript"/>
        </w:rPr>
        <w:t>15</w:t>
      </w:r>
      <w:r>
        <w:rPr>
          <w:rFonts w:hint="default" w:ascii="Times New Roman" w:hAnsi="Times New Roman" w:eastAsia="宋体" w:cs="Times New Roman"/>
          <w:color w:val="000000"/>
          <w:kern w:val="0"/>
          <w:sz w:val="24"/>
          <w:szCs w:val="24"/>
          <w:highlight w:val="none"/>
          <w:lang w:val="en-US" w:eastAsia="zh-CN" w:bidi="ar"/>
        </w:rPr>
        <w:fldChar w:fldCharType="end"/>
      </w:r>
      <w:r>
        <w:rPr>
          <w:rFonts w:hint="default" w:ascii="Times New Roman" w:hAnsi="Times New Roman" w:eastAsia="宋体" w:cs="Times New Roman"/>
          <w:color w:val="000000"/>
          <w:kern w:val="0"/>
          <w:sz w:val="24"/>
          <w:szCs w:val="24"/>
          <w:highlight w:val="none"/>
          <w:lang w:val="en-US" w:eastAsia="zh-CN" w:bidi="ar"/>
        </w:rPr>
        <w:t xml:space="preserve">. </w:t>
      </w:r>
      <w:r>
        <w:rPr>
          <w:rFonts w:hint="eastAsia" w:ascii="Times New Roman" w:hAnsi="Times New Roman" w:cs="Times New Roman"/>
          <w:color w:val="000000"/>
          <w:kern w:val="0"/>
          <w:sz w:val="24"/>
          <w:szCs w:val="24"/>
          <w:highlight w:val="none"/>
          <w:lang w:val="en-US" w:eastAsia="zh-CN" w:bidi="ar"/>
        </w:rPr>
        <w:t>In addition</w:t>
      </w:r>
      <w:r>
        <w:rPr>
          <w:rFonts w:hint="default" w:ascii="Times New Roman" w:hAnsi="Times New Roman" w:eastAsia="宋体" w:cs="Times New Roman"/>
          <w:color w:val="000000"/>
          <w:kern w:val="0"/>
          <w:sz w:val="24"/>
          <w:szCs w:val="24"/>
          <w:highlight w:val="none"/>
          <w:lang w:val="en-US" w:eastAsia="zh-CN" w:bidi="ar"/>
        </w:rPr>
        <w:t xml:space="preserve">, our estimation of </w:t>
      </w:r>
      <w:r>
        <w:rPr>
          <w:rFonts w:hint="eastAsia" w:ascii="Times New Roman" w:hAnsi="Times New Roman" w:cs="Times New Roman"/>
          <w:color w:val="000000"/>
          <w:kern w:val="0"/>
          <w:sz w:val="24"/>
          <w:szCs w:val="24"/>
          <w:highlight w:val="none"/>
          <w:lang w:val="en-US" w:eastAsia="zh-CN" w:bidi="ar"/>
        </w:rPr>
        <w:t>Nr</w:t>
      </w:r>
      <w:r>
        <w:rPr>
          <w:rFonts w:hint="default" w:ascii="Times New Roman" w:hAnsi="Times New Roman" w:eastAsia="宋体" w:cs="Times New Roman"/>
          <w:color w:val="000000"/>
          <w:kern w:val="0"/>
          <w:sz w:val="24"/>
          <w:szCs w:val="24"/>
          <w:highlight w:val="none"/>
          <w:lang w:val="en-US" w:eastAsia="zh-CN" w:bidi="ar"/>
        </w:rPr>
        <w:t xml:space="preserve"> </w:t>
      </w:r>
      <w:r>
        <w:rPr>
          <w:rFonts w:hint="eastAsia" w:ascii="Times New Roman" w:hAnsi="Times New Roman" w:cs="Times New Roman"/>
          <w:color w:val="000000"/>
          <w:kern w:val="0"/>
          <w:sz w:val="24"/>
          <w:szCs w:val="24"/>
          <w:highlight w:val="none"/>
          <w:lang w:val="en-US" w:eastAsia="zh-CN" w:bidi="ar"/>
        </w:rPr>
        <w:t>output to</w:t>
      </w:r>
      <w:r>
        <w:rPr>
          <w:rFonts w:hint="default" w:ascii="Times New Roman" w:hAnsi="Times New Roman" w:eastAsia="宋体" w:cs="Times New Roman"/>
          <w:color w:val="000000"/>
          <w:kern w:val="0"/>
          <w:sz w:val="24"/>
          <w:szCs w:val="24"/>
          <w:highlight w:val="none"/>
          <w:lang w:val="en-US" w:eastAsia="zh-CN" w:bidi="ar"/>
        </w:rPr>
        <w:t xml:space="preserve"> </w:t>
      </w:r>
      <w:r>
        <w:rPr>
          <w:rFonts w:hint="eastAsia" w:ascii="Times New Roman" w:hAnsi="Times New Roman" w:cs="Times New Roman"/>
          <w:color w:val="000000"/>
          <w:kern w:val="0"/>
          <w:sz w:val="24"/>
          <w:szCs w:val="24"/>
          <w:highlight w:val="none"/>
          <w:lang w:val="en-US" w:eastAsia="zh-CN" w:bidi="ar"/>
        </w:rPr>
        <w:t xml:space="preserve">sea </w:t>
      </w:r>
      <w:r>
        <w:rPr>
          <w:rFonts w:hint="default" w:ascii="Times New Roman" w:hAnsi="Times New Roman" w:eastAsia="宋体" w:cs="Times New Roman"/>
          <w:color w:val="000000"/>
          <w:kern w:val="0"/>
          <w:sz w:val="24"/>
          <w:szCs w:val="24"/>
          <w:highlight w:val="none"/>
          <w:lang w:val="en-US" w:eastAsia="zh-CN" w:bidi="ar"/>
        </w:rPr>
        <w:t>based on WNF was 6.8 Tg, which</w:t>
      </w:r>
      <w:r>
        <w:rPr>
          <w:rFonts w:hint="eastAsia"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val="en-US" w:eastAsia="zh-CN" w:bidi="ar"/>
        </w:rPr>
        <w:t>was smaller than the IMAGE-GNM model's estimate of 11.7 Tg</w:t>
      </w:r>
      <w:r>
        <w:rPr>
          <w:rFonts w:hint="default" w:ascii="Times New Roman" w:hAnsi="Times New Roman" w:eastAsia="宋体" w:cs="Times New Roman"/>
          <w:color w:val="000000"/>
          <w:kern w:val="0"/>
          <w:sz w:val="24"/>
          <w:szCs w:val="24"/>
          <w:highlight w:val="none"/>
          <w:lang w:val="en-US" w:eastAsia="zh-CN" w:bidi="ar"/>
        </w:rPr>
        <w:fldChar w:fldCharType="begin"/>
      </w:r>
      <w:r>
        <w:rPr>
          <w:rFonts w:hint="eastAsia" w:ascii="Times New Roman" w:hAnsi="Times New Roman" w:cs="Times New Roman"/>
          <w:color w:val="000000"/>
          <w:kern w:val="0"/>
          <w:sz w:val="24"/>
          <w:szCs w:val="24"/>
          <w:highlight w:val="none"/>
          <w:lang w:val="en-US" w:eastAsia="zh-CN" w:bidi="ar"/>
        </w:rPr>
        <w:instrText xml:space="preserve"> ADDIN NE.Ref.{E3A36908-B81A-4340-8F4E-F9146108091E}</w:instrText>
      </w:r>
      <w:r>
        <w:rPr>
          <w:rFonts w:hint="default" w:ascii="Times New Roman" w:hAnsi="Times New Roman" w:eastAsia="宋体" w:cs="Times New Roman"/>
          <w:color w:val="000000"/>
          <w:kern w:val="0"/>
          <w:sz w:val="24"/>
          <w:szCs w:val="24"/>
          <w:highlight w:val="none"/>
          <w:lang w:val="en-US" w:eastAsia="zh-CN" w:bidi="ar"/>
        </w:rPr>
        <w:fldChar w:fldCharType="separate"/>
      </w:r>
      <w:r>
        <w:rPr>
          <w:rFonts w:hint="eastAsia" w:ascii="宋体" w:hAnsi="宋体"/>
          <w:color w:val="080000"/>
          <w:sz w:val="21"/>
          <w:szCs w:val="24"/>
          <w:highlight w:val="none"/>
          <w:vertAlign w:val="superscript"/>
        </w:rPr>
        <w:t>14</w:t>
      </w:r>
      <w:r>
        <w:rPr>
          <w:rFonts w:hint="default" w:ascii="Times New Roman" w:hAnsi="Times New Roman" w:eastAsia="宋体" w:cs="Times New Roman"/>
          <w:color w:val="000000"/>
          <w:kern w:val="0"/>
          <w:sz w:val="24"/>
          <w:szCs w:val="24"/>
          <w:highlight w:val="none"/>
          <w:lang w:val="en-US" w:eastAsia="zh-CN" w:bidi="ar"/>
        </w:rPr>
        <w:fldChar w:fldCharType="end"/>
      </w:r>
      <w:r>
        <w:rPr>
          <w:rFonts w:hint="default" w:ascii="Times New Roman" w:hAnsi="Times New Roman" w:eastAsia="宋体" w:cs="Times New Roman"/>
          <w:color w:val="000000"/>
          <w:kern w:val="0"/>
          <w:sz w:val="24"/>
          <w:szCs w:val="24"/>
          <w:highlight w:val="none"/>
          <w:lang w:val="en-US" w:eastAsia="zh-CN" w:bidi="ar"/>
        </w:rPr>
        <w:t xml:space="preserve"> but larger than the MARINA model's estimate of 0.83-1.18 Tg</w:t>
      </w:r>
      <w:r>
        <w:rPr>
          <w:rFonts w:hint="default" w:ascii="Times New Roman" w:hAnsi="Times New Roman" w:eastAsia="宋体" w:cs="Times New Roman"/>
          <w:color w:val="000000"/>
          <w:kern w:val="0"/>
          <w:sz w:val="24"/>
          <w:szCs w:val="24"/>
          <w:highlight w:val="none"/>
          <w:lang w:val="en-US" w:eastAsia="zh-CN" w:bidi="ar"/>
        </w:rPr>
        <w:fldChar w:fldCharType="begin"/>
      </w:r>
      <w:r>
        <w:rPr>
          <w:rFonts w:hint="eastAsia" w:ascii="Times New Roman" w:hAnsi="Times New Roman" w:cs="Times New Roman"/>
          <w:color w:val="000000"/>
          <w:kern w:val="0"/>
          <w:sz w:val="24"/>
          <w:szCs w:val="24"/>
          <w:highlight w:val="none"/>
          <w:lang w:val="en-US" w:eastAsia="zh-CN" w:bidi="ar"/>
        </w:rPr>
        <w:instrText xml:space="preserve"> ADDIN NE.Ref.{DC92763D-BB91-4A93-8E09-8C9BC358F9D8}</w:instrText>
      </w:r>
      <w:r>
        <w:rPr>
          <w:rFonts w:hint="default" w:ascii="Times New Roman" w:hAnsi="Times New Roman" w:eastAsia="宋体" w:cs="Times New Roman"/>
          <w:color w:val="000000"/>
          <w:kern w:val="0"/>
          <w:sz w:val="24"/>
          <w:szCs w:val="24"/>
          <w:highlight w:val="none"/>
          <w:lang w:val="en-US" w:eastAsia="zh-CN" w:bidi="ar"/>
        </w:rPr>
        <w:fldChar w:fldCharType="separate"/>
      </w:r>
      <w:r>
        <w:rPr>
          <w:rFonts w:hint="eastAsia" w:ascii="宋体" w:hAnsi="宋体"/>
          <w:color w:val="080000"/>
          <w:sz w:val="21"/>
          <w:szCs w:val="24"/>
          <w:highlight w:val="none"/>
          <w:vertAlign w:val="superscript"/>
        </w:rPr>
        <w:t>16</w:t>
      </w:r>
      <w:r>
        <w:rPr>
          <w:rFonts w:hint="default" w:ascii="Times New Roman" w:hAnsi="Times New Roman" w:eastAsia="宋体" w:cs="Times New Roman"/>
          <w:color w:val="000000"/>
          <w:kern w:val="0"/>
          <w:sz w:val="24"/>
          <w:szCs w:val="24"/>
          <w:highlight w:val="none"/>
          <w:lang w:val="en-US" w:eastAsia="zh-CN" w:bidi="ar"/>
        </w:rPr>
        <w:fldChar w:fldCharType="end"/>
      </w:r>
      <w:r>
        <w:rPr>
          <w:rFonts w:hint="default" w:ascii="Times New Roman" w:hAnsi="Times New Roman" w:eastAsia="宋体" w:cs="Times New Roman"/>
          <w:color w:val="000000"/>
          <w:kern w:val="0"/>
          <w:sz w:val="24"/>
          <w:szCs w:val="24"/>
          <w:highlight w:val="none"/>
          <w:lang w:val="en-US" w:eastAsia="zh-CN" w:bidi="ar"/>
        </w:rPr>
        <w:t xml:space="preserve"> and China's official announcement of 2.3 Tg</w:t>
      </w:r>
      <w:r>
        <w:rPr>
          <w:rFonts w:hint="default" w:ascii="Times New Roman" w:hAnsi="Times New Roman" w:eastAsia="宋体" w:cs="Times New Roman"/>
          <w:color w:val="000000"/>
          <w:kern w:val="0"/>
          <w:sz w:val="24"/>
          <w:szCs w:val="24"/>
          <w:highlight w:val="none"/>
          <w:lang w:val="en-US" w:eastAsia="zh-CN" w:bidi="ar"/>
        </w:rPr>
        <w:fldChar w:fldCharType="begin"/>
      </w:r>
      <w:r>
        <w:rPr>
          <w:rFonts w:hint="eastAsia" w:ascii="Times New Roman" w:hAnsi="Times New Roman" w:cs="Times New Roman"/>
          <w:color w:val="000000"/>
          <w:kern w:val="0"/>
          <w:sz w:val="24"/>
          <w:szCs w:val="24"/>
          <w:highlight w:val="none"/>
          <w:lang w:val="en-US" w:eastAsia="zh-CN" w:bidi="ar"/>
        </w:rPr>
        <w:instrText xml:space="preserve"> ADDIN NE.Ref.{A862DA5E-9429-44C3-B838-EC296B31A81B}</w:instrText>
      </w:r>
      <w:r>
        <w:rPr>
          <w:rFonts w:hint="default" w:ascii="Times New Roman" w:hAnsi="Times New Roman" w:eastAsia="宋体" w:cs="Times New Roman"/>
          <w:color w:val="000000"/>
          <w:kern w:val="0"/>
          <w:sz w:val="24"/>
          <w:szCs w:val="24"/>
          <w:highlight w:val="none"/>
          <w:lang w:val="en-US" w:eastAsia="zh-CN" w:bidi="ar"/>
        </w:rPr>
        <w:fldChar w:fldCharType="separate"/>
      </w:r>
      <w:r>
        <w:rPr>
          <w:rFonts w:hint="eastAsia" w:ascii="宋体" w:hAnsi="宋体"/>
          <w:color w:val="080000"/>
          <w:sz w:val="21"/>
          <w:szCs w:val="24"/>
          <w:highlight w:val="none"/>
          <w:vertAlign w:val="superscript"/>
        </w:rPr>
        <w:t>17</w:t>
      </w:r>
      <w:r>
        <w:rPr>
          <w:rFonts w:hint="default" w:ascii="Times New Roman" w:hAnsi="Times New Roman" w:eastAsia="宋体" w:cs="Times New Roman"/>
          <w:color w:val="000000"/>
          <w:kern w:val="0"/>
          <w:sz w:val="24"/>
          <w:szCs w:val="24"/>
          <w:highlight w:val="none"/>
          <w:lang w:val="en-US" w:eastAsia="zh-CN" w:bidi="ar"/>
        </w:rPr>
        <w:fldChar w:fldCharType="end"/>
      </w:r>
      <w:r>
        <w:rPr>
          <w:rFonts w:hint="default" w:ascii="Times New Roman" w:hAnsi="Times New Roman" w:eastAsia="宋体" w:cs="Times New Roman"/>
          <w:color w:val="000000"/>
          <w:kern w:val="0"/>
          <w:sz w:val="24"/>
          <w:szCs w:val="24"/>
          <w:highlight w:val="none"/>
          <w:lang w:val="en-US" w:eastAsia="zh-CN" w:bidi="ar"/>
        </w:rPr>
        <w:t>.</w:t>
      </w:r>
      <w:r>
        <w:rPr>
          <w:rFonts w:hint="eastAsia" w:ascii="Times New Roman" w:hAnsi="Times New Roman" w:cs="Times New Roman"/>
          <w:color w:val="000000"/>
          <w:kern w:val="0"/>
          <w:sz w:val="24"/>
          <w:szCs w:val="24"/>
          <w:highlight w:val="none"/>
          <w:lang w:val="en-US" w:eastAsia="zh-CN" w:bidi="ar"/>
        </w:rPr>
        <w:t xml:space="preserve"> We consider the estimation results of this study to be within acceptable limits, although there is a uncertainty of Nr to seas. This uncertainty was common in other studies, as it is difficult to obtain long time and multi-point river cross-section data to model and validate the national-scale model.</w:t>
      </w:r>
    </w:p>
    <w:p>
      <w:pPr>
        <w:keepNext w:val="0"/>
        <w:keepLines w:val="0"/>
        <w:widowControl/>
        <w:suppressLineNumbers w:val="0"/>
        <w:jc w:val="left"/>
        <w:rPr>
          <w:rFonts w:hint="eastAsia" w:ascii="Times New Roman" w:hAnsi="Times New Roman" w:cs="Times New Roman"/>
          <w:color w:val="000000"/>
          <w:kern w:val="0"/>
          <w:sz w:val="24"/>
          <w:szCs w:val="24"/>
          <w:highlight w:val="none"/>
          <w:lang w:val="en-US" w:eastAsia="zh-CN" w:bidi="ar"/>
        </w:rPr>
      </w:pPr>
    </w:p>
    <w:p>
      <w:pPr>
        <w:adjustRightInd w:val="0"/>
        <w:snapToGrid w:val="0"/>
        <w:jc w:val="left"/>
        <w:rPr>
          <w:rFonts w:hint="eastAsia" w:ascii="Times New Roman" w:hAnsi="Times New Roman" w:cs="Times New Roman"/>
          <w:color w:val="000000"/>
          <w:kern w:val="0"/>
          <w:sz w:val="24"/>
          <w:szCs w:val="24"/>
          <w:highlight w:val="none"/>
          <w:lang w:val="en-US" w:eastAsia="zh-CN" w:bidi="ar"/>
        </w:rPr>
      </w:pPr>
      <w:r>
        <w:rPr>
          <w:rFonts w:hint="eastAsia" w:ascii="Times New Roman" w:hAnsi="Times New Roman" w:cs="Times New Roman"/>
          <w:color w:val="000000"/>
          <w:kern w:val="0"/>
          <w:sz w:val="24"/>
          <w:szCs w:val="24"/>
          <w:highlight w:val="none"/>
          <w:lang w:val="en-US" w:eastAsia="zh-CN" w:bidi="ar"/>
        </w:rPr>
        <w:t>The primary research objective of this study is to evaluate the impact of well-managed urbanization on nitrogen (N) influx to rivers and seas, rather than to estimate national-scale N loss. Coupling CHANS and WNF ensures that nitrogen transport processes are simulated in complete agreement and that N inputs to rivers and seas are influenced solely by changes in emission sources due to well-managed urbanization.</w:t>
      </w:r>
    </w:p>
    <w:p>
      <w:pPr>
        <w:spacing w:line="300" w:lineRule="auto"/>
        <w:rPr>
          <w:rFonts w:ascii="Times New Roman" w:hAnsi="Times New Roman"/>
          <w:bCs/>
          <w:sz w:val="24"/>
          <w:highlight w:val="none"/>
        </w:rPr>
      </w:pPr>
      <w:r>
        <w:rPr>
          <w:rFonts w:ascii="Times New Roman" w:hAnsi="Times New Roman"/>
          <w:bCs/>
          <w:sz w:val="24"/>
          <w:highlight w:val="none"/>
        </w:rPr>
        <w:br w:type="page"/>
      </w:r>
    </w:p>
    <w:p>
      <w:pPr>
        <w:spacing w:line="300" w:lineRule="auto"/>
        <w:rPr>
          <w:rFonts w:ascii="Times New Roman" w:hAnsi="Times New Roman"/>
          <w:bCs/>
          <w:sz w:val="24"/>
          <w:highlight w:val="none"/>
        </w:rPr>
        <w:sectPr>
          <w:pgSz w:w="11906" w:h="16838"/>
          <w:pgMar w:top="1440" w:right="1800" w:bottom="1440" w:left="1800" w:header="851" w:footer="992" w:gutter="0"/>
          <w:lnNumType w:countBy="1" w:restart="continuous"/>
          <w:cols w:space="720" w:num="1"/>
          <w:docGrid w:type="lines" w:linePitch="312" w:charSpace="0"/>
        </w:sectPr>
      </w:pPr>
    </w:p>
    <w:p>
      <w:pPr>
        <w:adjustRightInd w:val="0"/>
        <w:snapToGrid w:val="0"/>
        <w:spacing w:line="300" w:lineRule="auto"/>
        <w:jc w:val="left"/>
        <w:outlineLvl w:val="0"/>
        <w:rPr>
          <w:rFonts w:ascii="Times New Roman" w:hAnsi="Times New Roman"/>
          <w:b/>
          <w:bCs/>
          <w:sz w:val="24"/>
          <w:highlight w:val="none"/>
        </w:rPr>
      </w:pPr>
      <w:bookmarkStart w:id="20" w:name="_Toc32532"/>
      <w:r>
        <w:rPr>
          <w:rFonts w:ascii="Times New Roman" w:hAnsi="Times New Roman"/>
          <w:b/>
          <w:bCs/>
          <w:color w:val="000000"/>
          <w:kern w:val="0"/>
          <w:sz w:val="24"/>
          <w:highlight w:val="none"/>
        </w:rPr>
        <w:t xml:space="preserve">Table </w:t>
      </w:r>
      <w:r>
        <w:rPr>
          <w:rFonts w:hint="eastAsia" w:ascii="Times New Roman" w:hAnsi="Times New Roman"/>
          <w:b/>
          <w:bCs/>
          <w:color w:val="000000"/>
          <w:kern w:val="0"/>
          <w:sz w:val="24"/>
          <w:highlight w:val="none"/>
        </w:rPr>
        <w:t>S</w:t>
      </w:r>
      <w:r>
        <w:rPr>
          <w:rFonts w:ascii="Times New Roman" w:hAnsi="Times New Roman"/>
          <w:b/>
          <w:bCs/>
          <w:color w:val="000000"/>
          <w:kern w:val="0"/>
          <w:sz w:val="24"/>
          <w:highlight w:val="none"/>
        </w:rPr>
        <w:t>1</w:t>
      </w:r>
      <w:r>
        <w:rPr>
          <w:rFonts w:ascii="Times New Roman" w:hAnsi="Times New Roman"/>
          <w:b/>
          <w:bCs/>
          <w:sz w:val="24"/>
          <w:highlight w:val="none"/>
        </w:rPr>
        <w:t xml:space="preserve"> </w:t>
      </w:r>
      <w:r>
        <w:rPr>
          <w:highlight w:val="none"/>
        </w:rPr>
        <w:fldChar w:fldCharType="begin"/>
      </w:r>
      <w:r>
        <w:rPr>
          <w:highlight w:val="none"/>
        </w:rPr>
        <w:instrText xml:space="preserve"> HYPERLINK "https://www.sciencedirect.com/topics/earth-and-planetary-sciences/land-use-change" \o "Learn more about Land use change from ScienceDirect's AI-generated Topic Pages" </w:instrText>
      </w:r>
      <w:r>
        <w:rPr>
          <w:highlight w:val="none"/>
        </w:rPr>
        <w:fldChar w:fldCharType="separate"/>
      </w:r>
      <w:r>
        <w:rPr>
          <w:rFonts w:ascii="Times New Roman" w:hAnsi="Times New Roman"/>
          <w:b/>
          <w:bCs/>
          <w:sz w:val="24"/>
          <w:highlight w:val="none"/>
        </w:rPr>
        <w:t>Land use change</w:t>
      </w:r>
      <w:r>
        <w:rPr>
          <w:rFonts w:ascii="Times New Roman" w:hAnsi="Times New Roman"/>
          <w:b/>
          <w:bCs/>
          <w:sz w:val="24"/>
          <w:highlight w:val="none"/>
        </w:rPr>
        <w:fldChar w:fldCharType="end"/>
      </w:r>
      <w:r>
        <w:rPr>
          <w:rFonts w:ascii="Times New Roman" w:hAnsi="Times New Roman"/>
          <w:b/>
          <w:bCs/>
          <w:sz w:val="24"/>
          <w:highlight w:val="none"/>
        </w:rPr>
        <w:t> flow matrices from 2017 to 2050 (million ha).</w:t>
      </w:r>
      <w:bookmarkEnd w:id="20"/>
      <w:r>
        <w:rPr>
          <w:rFonts w:ascii="Times New Roman" w:hAnsi="Times New Roman"/>
          <w:b/>
          <w:bCs/>
          <w:sz w:val="24"/>
          <w:highlight w:val="none"/>
        </w:rPr>
        <w:t xml:space="preserve"> </w:t>
      </w:r>
    </w:p>
    <w:tbl>
      <w:tblPr>
        <w:tblStyle w:val="10"/>
        <w:tblpPr w:leftFromText="180" w:rightFromText="180" w:vertAnchor="text" w:horzAnchor="page" w:tblpXSpec="center" w:tblpY="170"/>
        <w:tblOverlap w:val="never"/>
        <w:tblW w:w="4996"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78"/>
        <w:gridCol w:w="1650"/>
        <w:gridCol w:w="1121"/>
        <w:gridCol w:w="1513"/>
        <w:gridCol w:w="1177"/>
        <w:gridCol w:w="1200"/>
        <w:gridCol w:w="1030"/>
        <w:gridCol w:w="1101"/>
        <w:gridCol w:w="1200"/>
        <w:gridCol w:w="209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46"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2017-2050</w:t>
            </w:r>
          </w:p>
        </w:tc>
        <w:tc>
          <w:tcPr>
            <w:tcW w:w="580"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Grassland</w:t>
            </w:r>
          </w:p>
        </w:tc>
        <w:tc>
          <w:tcPr>
            <w:tcW w:w="394"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Urban</w:t>
            </w:r>
          </w:p>
        </w:tc>
        <w:tc>
          <w:tcPr>
            <w:tcW w:w="532"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Cropland</w:t>
            </w:r>
          </w:p>
        </w:tc>
        <w:tc>
          <w:tcPr>
            <w:tcW w:w="414"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Ocean</w:t>
            </w:r>
          </w:p>
        </w:tc>
        <w:tc>
          <w:tcPr>
            <w:tcW w:w="422"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Forest</w:t>
            </w:r>
          </w:p>
        </w:tc>
        <w:tc>
          <w:tcPr>
            <w:tcW w:w="362"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Rural</w:t>
            </w:r>
          </w:p>
        </w:tc>
        <w:tc>
          <w:tcPr>
            <w:tcW w:w="387"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Water</w:t>
            </w:r>
          </w:p>
        </w:tc>
        <w:tc>
          <w:tcPr>
            <w:tcW w:w="422"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Other</w:t>
            </w:r>
          </w:p>
        </w:tc>
        <w:tc>
          <w:tcPr>
            <w:tcW w:w="736" w:type="pct"/>
            <w:tcBorders>
              <w:bottom w:val="single" w:color="auto" w:sz="4" w:space="0"/>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Areas in 2017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46" w:type="pct"/>
            <w:tcBorders>
              <w:top w:val="single" w:color="auto" w:sz="4" w:space="0"/>
              <w:tl2br w:val="nil"/>
              <w:tr2bl w:val="nil"/>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Grassland</w:t>
            </w:r>
          </w:p>
        </w:tc>
        <w:tc>
          <w:tcPr>
            <w:tcW w:w="1650" w:type="dxa"/>
            <w:tcBorders>
              <w:top w:val="single" w:color="auto" w:sz="4" w:space="0"/>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219.2 </w:t>
            </w:r>
          </w:p>
        </w:tc>
        <w:tc>
          <w:tcPr>
            <w:tcW w:w="1121" w:type="dxa"/>
            <w:tcBorders>
              <w:top w:val="single" w:color="auto" w:sz="4" w:space="0"/>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0.1 </w:t>
            </w:r>
          </w:p>
        </w:tc>
        <w:tc>
          <w:tcPr>
            <w:tcW w:w="1513" w:type="dxa"/>
            <w:tcBorders>
              <w:top w:val="single" w:color="auto" w:sz="4" w:space="0"/>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77" w:type="dxa"/>
            <w:tcBorders>
              <w:top w:val="single" w:color="auto" w:sz="4" w:space="0"/>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op w:val="single" w:color="auto" w:sz="4" w:space="0"/>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030" w:type="dxa"/>
            <w:tcBorders>
              <w:top w:val="single" w:color="auto" w:sz="4" w:space="0"/>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01" w:type="dxa"/>
            <w:tcBorders>
              <w:top w:val="single" w:color="auto" w:sz="4" w:space="0"/>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op w:val="single" w:color="auto" w:sz="4" w:space="0"/>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2093" w:type="dxa"/>
            <w:tcBorders>
              <w:top w:val="single" w:color="auto" w:sz="4" w:space="0"/>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219.3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Urban</w:t>
            </w:r>
          </w:p>
        </w:tc>
        <w:tc>
          <w:tcPr>
            <w:tcW w:w="165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2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5.5 </w:t>
            </w:r>
          </w:p>
        </w:tc>
        <w:tc>
          <w:tcPr>
            <w:tcW w:w="1513"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77"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03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01"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5.5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Cropland</w:t>
            </w:r>
          </w:p>
        </w:tc>
        <w:tc>
          <w:tcPr>
            <w:tcW w:w="165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2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1.3 </w:t>
            </w:r>
          </w:p>
        </w:tc>
        <w:tc>
          <w:tcPr>
            <w:tcW w:w="151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133.6 </w:t>
            </w:r>
          </w:p>
        </w:tc>
        <w:tc>
          <w:tcPr>
            <w:tcW w:w="1177"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03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01"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134.9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Ocean</w:t>
            </w:r>
          </w:p>
        </w:tc>
        <w:tc>
          <w:tcPr>
            <w:tcW w:w="165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21"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513"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77"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0.0 </w:t>
            </w: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03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01"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0.0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Forest</w:t>
            </w:r>
          </w:p>
        </w:tc>
        <w:tc>
          <w:tcPr>
            <w:tcW w:w="165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2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0.4 </w:t>
            </w:r>
          </w:p>
        </w:tc>
        <w:tc>
          <w:tcPr>
            <w:tcW w:w="1513"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77"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252.5 </w:t>
            </w:r>
          </w:p>
        </w:tc>
        <w:tc>
          <w:tcPr>
            <w:tcW w:w="103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01"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252.8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color w:val="000000"/>
                <w:sz w:val="24"/>
                <w:highlight w:val="none"/>
              </w:rPr>
            </w:pPr>
            <w:r>
              <w:rPr>
                <w:rFonts w:ascii="Times New Roman" w:hAnsi="Times New Roman"/>
                <w:b/>
                <w:bCs/>
                <w:color w:val="000000"/>
                <w:kern w:val="0"/>
                <w:sz w:val="24"/>
                <w:highlight w:val="none"/>
                <w:lang w:bidi="ar"/>
              </w:rPr>
              <w:t>Rural</w:t>
            </w:r>
          </w:p>
        </w:tc>
        <w:tc>
          <w:tcPr>
            <w:tcW w:w="165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12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0.3 </w:t>
            </w:r>
          </w:p>
        </w:tc>
        <w:tc>
          <w:tcPr>
            <w:tcW w:w="151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6.9 </w:t>
            </w:r>
          </w:p>
        </w:tc>
        <w:tc>
          <w:tcPr>
            <w:tcW w:w="1177"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03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6.2 </w:t>
            </w:r>
          </w:p>
        </w:tc>
        <w:tc>
          <w:tcPr>
            <w:tcW w:w="1101"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color w:val="000000"/>
                <w:sz w:val="24"/>
                <w:highlight w:val="none"/>
              </w:rPr>
            </w:pP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color w:val="000000"/>
                <w:sz w:val="24"/>
                <w:highlight w:val="none"/>
              </w:rPr>
            </w:pPr>
            <w:r>
              <w:rPr>
                <w:rFonts w:ascii="Times New Roman" w:hAnsi="Times New Roman"/>
                <w:color w:val="000000"/>
                <w:kern w:val="0"/>
                <w:sz w:val="24"/>
                <w:highlight w:val="none"/>
                <w:lang w:bidi="ar"/>
              </w:rPr>
              <w:t xml:space="preserve">13.4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sz w:val="24"/>
                <w:highlight w:val="none"/>
              </w:rPr>
            </w:pPr>
            <w:r>
              <w:rPr>
                <w:rFonts w:ascii="Times New Roman" w:hAnsi="Times New Roman"/>
                <w:b/>
                <w:bCs/>
                <w:kern w:val="0"/>
                <w:sz w:val="24"/>
                <w:highlight w:val="none"/>
                <w:lang w:bidi="ar"/>
              </w:rPr>
              <w:t>Water</w:t>
            </w:r>
          </w:p>
        </w:tc>
        <w:tc>
          <w:tcPr>
            <w:tcW w:w="165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121"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513"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177"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03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10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35.5 </w:t>
            </w:r>
          </w:p>
        </w:tc>
        <w:tc>
          <w:tcPr>
            <w:tcW w:w="120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35.5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sz w:val="24"/>
                <w:highlight w:val="none"/>
              </w:rPr>
            </w:pPr>
            <w:r>
              <w:rPr>
                <w:rFonts w:ascii="Times New Roman" w:hAnsi="Times New Roman"/>
                <w:b/>
                <w:bCs/>
                <w:kern w:val="0"/>
                <w:sz w:val="24"/>
                <w:highlight w:val="none"/>
                <w:lang w:bidi="ar"/>
              </w:rPr>
              <w:t>Other</w:t>
            </w:r>
          </w:p>
        </w:tc>
        <w:tc>
          <w:tcPr>
            <w:tcW w:w="165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12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0.2 </w:t>
            </w:r>
          </w:p>
        </w:tc>
        <w:tc>
          <w:tcPr>
            <w:tcW w:w="1513"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177"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20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030"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101" w:type="dxa"/>
            <w:tcBorders>
              <w:tl2br w:val="nil"/>
              <w:tr2bl w:val="nil"/>
            </w:tcBorders>
            <w:shd w:val="clear" w:color="auto" w:fill="auto"/>
            <w:noWrap/>
            <w:vAlign w:val="bottom"/>
          </w:tcPr>
          <w:p>
            <w:pPr>
              <w:spacing w:line="300" w:lineRule="auto"/>
              <w:jc w:val="center"/>
              <w:rPr>
                <w:rFonts w:ascii="Times New Roman" w:hAnsi="Times New Roman"/>
                <w:sz w:val="24"/>
                <w:highlight w:val="none"/>
              </w:rPr>
            </w:pPr>
          </w:p>
        </w:tc>
        <w:tc>
          <w:tcPr>
            <w:tcW w:w="120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58.3 </w:t>
            </w: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58.5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46" w:type="pct"/>
            <w:tcBorders>
              <w:tl2br w:val="nil"/>
              <w:tr2bl w:val="nil"/>
            </w:tcBorders>
            <w:shd w:val="clear" w:color="auto" w:fill="auto"/>
            <w:noWrap/>
            <w:vAlign w:val="center"/>
          </w:tcPr>
          <w:p>
            <w:pPr>
              <w:widowControl/>
              <w:spacing w:line="300" w:lineRule="auto"/>
              <w:jc w:val="center"/>
              <w:textAlignment w:val="bottom"/>
              <w:rPr>
                <w:rFonts w:ascii="Times New Roman" w:hAnsi="Times New Roman"/>
                <w:b/>
                <w:bCs/>
                <w:sz w:val="24"/>
                <w:highlight w:val="none"/>
              </w:rPr>
            </w:pPr>
            <w:r>
              <w:rPr>
                <w:rFonts w:ascii="Times New Roman" w:hAnsi="Times New Roman"/>
                <w:b/>
                <w:bCs/>
                <w:kern w:val="0"/>
                <w:sz w:val="24"/>
                <w:highlight w:val="none"/>
                <w:lang w:bidi="ar"/>
              </w:rPr>
              <w:t>Areas in 2050</w:t>
            </w:r>
          </w:p>
        </w:tc>
        <w:tc>
          <w:tcPr>
            <w:tcW w:w="165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219.2 </w:t>
            </w:r>
          </w:p>
        </w:tc>
        <w:tc>
          <w:tcPr>
            <w:tcW w:w="112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7.8 </w:t>
            </w:r>
          </w:p>
        </w:tc>
        <w:tc>
          <w:tcPr>
            <w:tcW w:w="151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bookmarkStart w:id="21" w:name="OLE_LINK1"/>
            <w:r>
              <w:rPr>
                <w:rFonts w:ascii="Times New Roman" w:hAnsi="Times New Roman"/>
                <w:kern w:val="0"/>
                <w:sz w:val="24"/>
                <w:highlight w:val="none"/>
                <w:lang w:bidi="ar"/>
              </w:rPr>
              <w:t xml:space="preserve">140.5 </w:t>
            </w:r>
            <w:bookmarkEnd w:id="21"/>
          </w:p>
        </w:tc>
        <w:tc>
          <w:tcPr>
            <w:tcW w:w="1177"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0.0 </w:t>
            </w:r>
          </w:p>
        </w:tc>
        <w:tc>
          <w:tcPr>
            <w:tcW w:w="120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252.5 </w:t>
            </w:r>
          </w:p>
        </w:tc>
        <w:tc>
          <w:tcPr>
            <w:tcW w:w="103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6.2 </w:t>
            </w:r>
          </w:p>
        </w:tc>
        <w:tc>
          <w:tcPr>
            <w:tcW w:w="1101"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35.5 </w:t>
            </w:r>
          </w:p>
        </w:tc>
        <w:tc>
          <w:tcPr>
            <w:tcW w:w="1200"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58.3 </w:t>
            </w:r>
          </w:p>
        </w:tc>
        <w:tc>
          <w:tcPr>
            <w:tcW w:w="2093" w:type="dxa"/>
            <w:tcBorders>
              <w:tl2br w:val="nil"/>
              <w:tr2bl w:val="nil"/>
            </w:tcBorders>
            <w:shd w:val="clear" w:color="auto" w:fill="auto"/>
            <w:noWrap/>
            <w:vAlign w:val="bottom"/>
          </w:tcPr>
          <w:p>
            <w:pPr>
              <w:widowControl/>
              <w:spacing w:line="300" w:lineRule="auto"/>
              <w:jc w:val="center"/>
              <w:textAlignment w:val="bottom"/>
              <w:rPr>
                <w:rFonts w:ascii="Times New Roman" w:hAnsi="Times New Roman"/>
                <w:sz w:val="24"/>
                <w:highlight w:val="none"/>
              </w:rPr>
            </w:pPr>
            <w:r>
              <w:rPr>
                <w:rFonts w:ascii="Times New Roman" w:hAnsi="Times New Roman"/>
                <w:kern w:val="0"/>
                <w:sz w:val="24"/>
                <w:highlight w:val="none"/>
                <w:lang w:bidi="ar"/>
              </w:rPr>
              <w:t xml:space="preserve">719.9 </w:t>
            </w:r>
          </w:p>
        </w:tc>
      </w:tr>
    </w:tbl>
    <w:p>
      <w:pPr>
        <w:spacing w:line="300" w:lineRule="auto"/>
        <w:rPr>
          <w:rFonts w:ascii="Times New Roman" w:hAnsi="Times New Roman"/>
          <w:b/>
          <w:bCs/>
          <w:sz w:val="24"/>
          <w:highlight w:val="none"/>
        </w:rPr>
      </w:pPr>
    </w:p>
    <w:p>
      <w:pPr>
        <w:adjustRightInd w:val="0"/>
        <w:snapToGrid w:val="0"/>
        <w:spacing w:line="300" w:lineRule="auto"/>
        <w:jc w:val="left"/>
        <w:outlineLvl w:val="0"/>
        <w:rPr>
          <w:rFonts w:ascii="Times New Roman" w:hAnsi="Times New Roman"/>
          <w:color w:val="000000"/>
          <w:kern w:val="0"/>
          <w:sz w:val="24"/>
          <w:highlight w:val="none"/>
        </w:rPr>
      </w:pPr>
      <w:bookmarkStart w:id="52" w:name="_GoBack"/>
      <w:bookmarkEnd w:id="52"/>
      <w:r>
        <w:rPr>
          <w:rFonts w:hint="eastAsia" w:ascii="Times New Roman" w:hAnsi="Times New Roman"/>
          <w:b/>
          <w:bCs/>
          <w:color w:val="000000"/>
          <w:kern w:val="0"/>
          <w:sz w:val="24"/>
          <w:highlight w:val="none"/>
        </w:rPr>
        <w:br w:type="page"/>
      </w:r>
      <w:bookmarkStart w:id="22" w:name="_Toc27492"/>
      <w:r>
        <w:rPr>
          <w:rFonts w:hint="eastAsia" w:ascii="Times New Roman" w:hAnsi="Times New Roman"/>
          <w:b/>
          <w:bCs/>
          <w:color w:val="000000"/>
          <w:kern w:val="0"/>
          <w:sz w:val="24"/>
          <w:highlight w:val="none"/>
        </w:rPr>
        <w:t>Table S2 Pig unit conversion factor and the total livestock.</w:t>
      </w:r>
      <w:bookmarkEnd w:id="22"/>
      <w:r>
        <w:rPr>
          <w:rFonts w:hint="eastAsia" w:ascii="Times New Roman" w:hAnsi="Times New Roman"/>
          <w:color w:val="000000"/>
          <w:kern w:val="0"/>
          <w:sz w:val="24"/>
          <w:highlight w:val="none"/>
        </w:rPr>
        <w:t xml:space="preserve"> </w:t>
      </w:r>
    </w:p>
    <w:tbl>
      <w:tblPr>
        <w:tblStyle w:val="10"/>
        <w:tblW w:w="4998" w:type="pct"/>
        <w:tblInd w:w="0" w:type="dxa"/>
        <w:tblLayout w:type="autofit"/>
        <w:tblCellMar>
          <w:top w:w="0" w:type="dxa"/>
          <w:left w:w="108" w:type="dxa"/>
          <w:bottom w:w="0" w:type="dxa"/>
          <w:right w:w="108" w:type="dxa"/>
        </w:tblCellMar>
      </w:tblPr>
      <w:tblGrid>
        <w:gridCol w:w="737"/>
        <w:gridCol w:w="2176"/>
        <w:gridCol w:w="3075"/>
        <w:gridCol w:w="1756"/>
        <w:gridCol w:w="2207"/>
        <w:gridCol w:w="254"/>
        <w:gridCol w:w="1756"/>
        <w:gridCol w:w="2207"/>
      </w:tblGrid>
      <w:tr>
        <w:tblPrEx>
          <w:tblCellMar>
            <w:top w:w="0" w:type="dxa"/>
            <w:left w:w="108" w:type="dxa"/>
            <w:bottom w:w="0" w:type="dxa"/>
            <w:right w:w="108" w:type="dxa"/>
          </w:tblCellMar>
        </w:tblPrEx>
        <w:trPr>
          <w:trHeight w:val="639" w:hRule="atLeast"/>
        </w:trPr>
        <w:tc>
          <w:tcPr>
            <w:tcW w:w="228" w:type="pct"/>
            <w:vMerge w:val="restart"/>
            <w:tcBorders>
              <w:top w:val="single" w:color="000000" w:sz="4" w:space="0"/>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No.</w:t>
            </w:r>
          </w:p>
        </w:tc>
        <w:tc>
          <w:tcPr>
            <w:tcW w:w="772" w:type="pct"/>
            <w:vMerge w:val="restart"/>
            <w:tcBorders>
              <w:top w:val="single" w:color="000000" w:sz="4" w:space="0"/>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Species</w:t>
            </w:r>
          </w:p>
        </w:tc>
        <w:tc>
          <w:tcPr>
            <w:tcW w:w="1089" w:type="pct"/>
            <w:vMerge w:val="restart"/>
            <w:tcBorders>
              <w:top w:val="single" w:color="000000" w:sz="4" w:space="0"/>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eastAsia="等线"/>
                <w:b/>
                <w:bCs/>
                <w:color w:val="000000"/>
                <w:sz w:val="24"/>
                <w:highlight w:val="none"/>
              </w:rPr>
            </w:pPr>
            <w:r>
              <w:rPr>
                <w:rFonts w:hint="eastAsia" w:ascii="Times New Roman" w:hAnsi="Times New Roman" w:eastAsia="等线"/>
                <w:b/>
                <w:bCs/>
                <w:color w:val="000000"/>
                <w:kern w:val="0"/>
                <w:sz w:val="24"/>
                <w:highlight w:val="none"/>
                <w:lang w:bidi="ar"/>
              </w:rPr>
              <w:t>Pig unit conversion factor</w:t>
            </w:r>
          </w:p>
        </w:tc>
        <w:tc>
          <w:tcPr>
            <w:tcW w:w="1407" w:type="pct"/>
            <w:gridSpan w:val="2"/>
            <w:tcBorders>
              <w:top w:val="single" w:color="000000" w:sz="4" w:space="0"/>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FAOSTAT</w:t>
            </w:r>
            <w:r>
              <w:rPr>
                <w:rFonts w:hint="eastAsia" w:ascii="Times New Roman" w:hAnsi="Times New Roman" w:eastAsia="等线"/>
                <w:b/>
                <w:bCs/>
                <w:color w:val="000000"/>
                <w:kern w:val="0"/>
                <w:sz w:val="24"/>
                <w:highlight w:val="none"/>
                <w:lang w:bidi="ar"/>
              </w:rPr>
              <w:t xml:space="preserve"> and NBSC</w:t>
            </w:r>
          </w:p>
        </w:tc>
        <w:tc>
          <w:tcPr>
            <w:tcW w:w="94" w:type="pct"/>
            <w:tcBorders>
              <w:top w:val="single" w:color="000000" w:sz="4" w:space="0"/>
              <w:left w:val="nil"/>
              <w:bottom w:val="nil"/>
              <w:right w:val="nil"/>
            </w:tcBorders>
            <w:shd w:val="clear" w:color="auto" w:fill="auto"/>
            <w:noWrap/>
            <w:vAlign w:val="center"/>
          </w:tcPr>
          <w:p>
            <w:pPr>
              <w:spacing w:line="300" w:lineRule="auto"/>
              <w:jc w:val="center"/>
              <w:rPr>
                <w:rFonts w:ascii="Times New Roman" w:hAnsi="Times New Roman" w:eastAsia="等线"/>
                <w:b/>
                <w:bCs/>
                <w:color w:val="000000"/>
                <w:sz w:val="24"/>
                <w:highlight w:val="none"/>
              </w:rPr>
            </w:pPr>
          </w:p>
        </w:tc>
        <w:tc>
          <w:tcPr>
            <w:tcW w:w="1407" w:type="pct"/>
            <w:gridSpan w:val="2"/>
            <w:tcBorders>
              <w:top w:val="single" w:color="000000" w:sz="4" w:space="0"/>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hint="eastAsia" w:ascii="Times New Roman" w:hAnsi="Times New Roman" w:eastAsia="等线"/>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APSCC2017</w:t>
            </w:r>
          </w:p>
        </w:tc>
      </w:tr>
      <w:tr>
        <w:tblPrEx>
          <w:tblCellMar>
            <w:top w:w="0" w:type="dxa"/>
            <w:left w:w="108" w:type="dxa"/>
            <w:bottom w:w="0" w:type="dxa"/>
            <w:right w:w="108" w:type="dxa"/>
          </w:tblCellMar>
        </w:tblPrEx>
        <w:trPr>
          <w:trHeight w:val="540" w:hRule="atLeast"/>
        </w:trPr>
        <w:tc>
          <w:tcPr>
            <w:tcW w:w="228" w:type="pct"/>
            <w:vMerge w:val="continue"/>
            <w:tcBorders>
              <w:top w:val="single" w:color="000000" w:sz="4" w:space="0"/>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b/>
                <w:bCs/>
                <w:color w:val="000000"/>
                <w:sz w:val="24"/>
                <w:highlight w:val="none"/>
              </w:rPr>
            </w:pPr>
          </w:p>
        </w:tc>
        <w:tc>
          <w:tcPr>
            <w:tcW w:w="772" w:type="pct"/>
            <w:vMerge w:val="continue"/>
            <w:tcBorders>
              <w:top w:val="single" w:color="000000" w:sz="4" w:space="0"/>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b/>
                <w:bCs/>
                <w:color w:val="000000"/>
                <w:sz w:val="24"/>
                <w:highlight w:val="none"/>
              </w:rPr>
            </w:pPr>
          </w:p>
        </w:tc>
        <w:tc>
          <w:tcPr>
            <w:tcW w:w="1089" w:type="pct"/>
            <w:vMerge w:val="continue"/>
            <w:tcBorders>
              <w:top w:val="single" w:color="000000" w:sz="4" w:space="0"/>
              <w:left w:val="nil"/>
              <w:bottom w:val="single" w:color="000000" w:sz="4" w:space="0"/>
              <w:right w:val="nil"/>
            </w:tcBorders>
            <w:shd w:val="clear" w:color="auto" w:fill="auto"/>
            <w:vAlign w:val="center"/>
          </w:tcPr>
          <w:p>
            <w:pPr>
              <w:spacing w:line="300" w:lineRule="auto"/>
              <w:jc w:val="center"/>
              <w:rPr>
                <w:rFonts w:ascii="Times New Roman" w:hAnsi="Times New Roman" w:eastAsia="等线"/>
                <w:b/>
                <w:bCs/>
                <w:color w:val="000000"/>
                <w:sz w:val="24"/>
                <w:highlight w:val="none"/>
              </w:rPr>
            </w:pPr>
          </w:p>
        </w:tc>
        <w:tc>
          <w:tcPr>
            <w:tcW w:w="624" w:type="pct"/>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(million head)</w:t>
            </w:r>
          </w:p>
        </w:tc>
        <w:tc>
          <w:tcPr>
            <w:tcW w:w="783" w:type="pct"/>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 xml:space="preserve"> (million pig unit)</w:t>
            </w:r>
          </w:p>
        </w:tc>
        <w:tc>
          <w:tcPr>
            <w:tcW w:w="94"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b/>
                <w:bCs/>
                <w:color w:val="000000"/>
                <w:sz w:val="24"/>
                <w:highlight w:val="none"/>
              </w:rPr>
            </w:pPr>
          </w:p>
        </w:tc>
        <w:tc>
          <w:tcPr>
            <w:tcW w:w="624" w:type="pct"/>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(million head)</w:t>
            </w:r>
          </w:p>
        </w:tc>
        <w:tc>
          <w:tcPr>
            <w:tcW w:w="783" w:type="pct"/>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 xml:space="preserve"> (million pig unit)</w:t>
            </w:r>
          </w:p>
        </w:tc>
      </w:tr>
      <w:tr>
        <w:tblPrEx>
          <w:tblCellMar>
            <w:top w:w="0" w:type="dxa"/>
            <w:left w:w="108" w:type="dxa"/>
            <w:bottom w:w="0" w:type="dxa"/>
            <w:right w:w="108" w:type="dxa"/>
          </w:tblCellMar>
        </w:tblPrEx>
        <w:trPr>
          <w:trHeight w:val="298"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Chickens, broilers</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0.02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10298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165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8925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143 </w:t>
            </w: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2</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Chickens, layers</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0.07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737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49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1906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126 </w:t>
            </w: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3</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Duck, brolilers</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0.01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2404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22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4</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Duck,laying</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0.08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737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62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r>
      <w:tr>
        <w:tblPrEx>
          <w:tblCellMar>
            <w:top w:w="0" w:type="dxa"/>
            <w:left w:w="108" w:type="dxa"/>
            <w:bottom w:w="0" w:type="dxa"/>
            <w:right w:w="108" w:type="dxa"/>
          </w:tblCellMar>
        </w:tblPrEx>
        <w:trPr>
          <w:trHeight w:val="9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5</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Groose</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0.09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651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59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6</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Rrabbit</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0.10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320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33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7</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Swine, market</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1.00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712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712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674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674 </w:t>
            </w: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8</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Swine, breeding</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0.57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447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254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9</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Dairy cattle</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10.00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62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620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8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84 </w:t>
            </w: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10</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Other cattle</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5.00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39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196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37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184 </w:t>
            </w: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11</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Buffalo</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10.09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4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44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12</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Goat/Sheep</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0.33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302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100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302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100 </w:t>
            </w: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14</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Horse</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9.09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3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31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15</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Ass </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4.95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3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13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16</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Mule</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4.95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4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r>
      <w:tr>
        <w:tblPrEx>
          <w:tblCellMar>
            <w:top w:w="0" w:type="dxa"/>
            <w:left w:w="108" w:type="dxa"/>
            <w:bottom w:w="0" w:type="dxa"/>
            <w:right w:w="108" w:type="dxa"/>
          </w:tblCellMar>
        </w:tblPrEx>
        <w:trPr>
          <w:trHeight w:val="300" w:hRule="atLeast"/>
        </w:trPr>
        <w:tc>
          <w:tcPr>
            <w:tcW w:w="22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17</w:t>
            </w:r>
          </w:p>
        </w:tc>
        <w:tc>
          <w:tcPr>
            <w:tcW w:w="772"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Camel</w:t>
            </w:r>
          </w:p>
        </w:tc>
        <w:tc>
          <w:tcPr>
            <w:tcW w:w="1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8.27 </w:t>
            </w:r>
          </w:p>
        </w:tc>
        <w:tc>
          <w:tcPr>
            <w:tcW w:w="62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0 </w:t>
            </w:r>
          </w:p>
        </w:tc>
        <w:tc>
          <w:tcPr>
            <w:tcW w:w="78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3 </w:t>
            </w:r>
          </w:p>
        </w:tc>
        <w:tc>
          <w:tcPr>
            <w:tcW w:w="9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783" w:type="pct"/>
            <w:tcBorders>
              <w:top w:val="nil"/>
              <w:left w:val="nil"/>
              <w:bottom w:val="nil"/>
              <w:right w:val="nil"/>
            </w:tcBorders>
            <w:shd w:val="clear" w:color="auto" w:fill="auto"/>
            <w:noWrap/>
            <w:vAlign w:val="center"/>
          </w:tcPr>
          <w:p>
            <w:pPr>
              <w:spacing w:line="300" w:lineRule="auto"/>
              <w:jc w:val="center"/>
              <w:rPr>
                <w:rFonts w:ascii="Times New Roman" w:hAnsi="Times New Roman" w:eastAsia="等线"/>
                <w:sz w:val="24"/>
                <w:highlight w:val="none"/>
              </w:rPr>
            </w:pPr>
          </w:p>
        </w:tc>
      </w:tr>
      <w:tr>
        <w:tblPrEx>
          <w:tblCellMar>
            <w:top w:w="0" w:type="dxa"/>
            <w:left w:w="108" w:type="dxa"/>
            <w:bottom w:w="0" w:type="dxa"/>
            <w:right w:w="108" w:type="dxa"/>
          </w:tblCellMar>
        </w:tblPrEx>
        <w:trPr>
          <w:trHeight w:val="212" w:hRule="atLeast"/>
        </w:trPr>
        <w:tc>
          <w:tcPr>
            <w:tcW w:w="228"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SUM</w:t>
            </w:r>
          </w:p>
        </w:tc>
        <w:tc>
          <w:tcPr>
            <w:tcW w:w="772"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p>
        </w:tc>
        <w:tc>
          <w:tcPr>
            <w:tcW w:w="1089"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16720 </w:t>
            </w:r>
          </w:p>
        </w:tc>
        <w:tc>
          <w:tcPr>
            <w:tcW w:w="783"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2365 </w:t>
            </w:r>
          </w:p>
        </w:tc>
        <w:tc>
          <w:tcPr>
            <w:tcW w:w="94"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sz w:val="24"/>
                <w:highlight w:val="none"/>
              </w:rPr>
            </w:pPr>
          </w:p>
        </w:tc>
        <w:tc>
          <w:tcPr>
            <w:tcW w:w="624"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11853 </w:t>
            </w:r>
          </w:p>
        </w:tc>
        <w:tc>
          <w:tcPr>
            <w:tcW w:w="783"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sz w:val="24"/>
                <w:highlight w:val="none"/>
              </w:rPr>
            </w:pPr>
            <w:r>
              <w:rPr>
                <w:rFonts w:ascii="Times New Roman" w:hAnsi="Times New Roman" w:eastAsia="等线"/>
                <w:kern w:val="0"/>
                <w:sz w:val="24"/>
                <w:highlight w:val="none"/>
                <w:lang w:bidi="ar"/>
              </w:rPr>
              <w:t xml:space="preserve">1311 </w:t>
            </w:r>
          </w:p>
        </w:tc>
      </w:tr>
    </w:tbl>
    <w:p>
      <w:pPr>
        <w:spacing w:line="300" w:lineRule="auto"/>
        <w:rPr>
          <w:rFonts w:ascii="Times New Roman" w:hAnsi="Times New Roman"/>
          <w:color w:val="000000"/>
          <w:kern w:val="0"/>
          <w:sz w:val="24"/>
          <w:highlight w:val="none"/>
        </w:rPr>
      </w:pPr>
      <w:r>
        <w:rPr>
          <w:rFonts w:ascii="Times New Roman" w:hAnsi="Times New Roman"/>
          <w:color w:val="000000"/>
          <w:kern w:val="0"/>
          <w:sz w:val="24"/>
          <w:highlight w:val="none"/>
        </w:rPr>
        <w:t>Note:</w:t>
      </w:r>
      <w:r>
        <w:rPr>
          <w:rFonts w:hint="eastAsia" w:ascii="Times New Roman" w:hAnsi="Times New Roman"/>
          <w:color w:val="000000"/>
          <w:kern w:val="0"/>
          <w:sz w:val="24"/>
          <w:highlight w:val="none"/>
        </w:rPr>
        <w:t xml:space="preserve"> This table shows the total nation livestock from three database, based on pig unit conversions. Pig unit conversion factors of 6 species of livestock collected in APSCC2017 were used in this study. Conversion factors for other animals were defined as the ratio of livestock excretion factor to swine excretion factor, calculated from FAOSTAT and NBSC.</w:t>
      </w:r>
    </w:p>
    <w:p>
      <w:pPr>
        <w:rPr>
          <w:rFonts w:ascii="Times New Roman" w:hAnsi="Times New Roman"/>
          <w:color w:val="000000"/>
          <w:kern w:val="0"/>
          <w:sz w:val="24"/>
          <w:highlight w:val="none"/>
        </w:rPr>
      </w:pPr>
      <w:r>
        <w:rPr>
          <w:rFonts w:hint="eastAsia" w:ascii="Times New Roman" w:hAnsi="Times New Roman"/>
          <w:color w:val="000000"/>
          <w:kern w:val="0"/>
          <w:sz w:val="24"/>
          <w:highlight w:val="none"/>
        </w:rPr>
        <w:br w:type="page"/>
      </w:r>
    </w:p>
    <w:p>
      <w:pPr>
        <w:spacing w:line="300" w:lineRule="auto"/>
        <w:outlineLvl w:val="0"/>
        <w:rPr>
          <w:rFonts w:ascii="Times New Roman" w:hAnsi="Times New Roman"/>
          <w:b/>
          <w:bCs/>
          <w:sz w:val="24"/>
          <w:highlight w:val="none"/>
        </w:rPr>
      </w:pPr>
      <w:bookmarkStart w:id="23" w:name="_Toc6161"/>
      <w:r>
        <w:rPr>
          <w:rFonts w:ascii="Times New Roman" w:hAnsi="Times New Roman"/>
          <w:b/>
          <w:bCs/>
          <w:sz w:val="24"/>
          <w:highlight w:val="none"/>
        </w:rPr>
        <w:t>Table S</w:t>
      </w:r>
      <w:r>
        <w:rPr>
          <w:rFonts w:hint="eastAsia" w:ascii="Times New Roman" w:hAnsi="Times New Roman"/>
          <w:b/>
          <w:bCs/>
          <w:sz w:val="24"/>
          <w:highlight w:val="none"/>
        </w:rPr>
        <w:t xml:space="preserve">3 </w:t>
      </w:r>
      <w:r>
        <w:rPr>
          <w:rFonts w:ascii="Times New Roman" w:hAnsi="Times New Roman"/>
          <w:b/>
          <w:bCs/>
          <w:sz w:val="24"/>
          <w:highlight w:val="none"/>
        </w:rPr>
        <w:t>Key parameters adjusting in the human relating subsystems in CHANS.</w:t>
      </w:r>
      <w:bookmarkEnd w:id="23"/>
      <w:r>
        <w:rPr>
          <w:rFonts w:ascii="Times New Roman" w:hAnsi="Times New Roman"/>
          <w:b/>
          <w:bCs/>
          <w:sz w:val="24"/>
          <w:highlight w:val="none"/>
        </w:rPr>
        <w:t xml:space="preserve"> </w:t>
      </w:r>
    </w:p>
    <w:tbl>
      <w:tblPr>
        <w:tblStyle w:val="10"/>
        <w:tblW w:w="0" w:type="auto"/>
        <w:tblInd w:w="100" w:type="dxa"/>
        <w:tblLayout w:type="autofit"/>
        <w:tblCellMar>
          <w:top w:w="0" w:type="dxa"/>
          <w:left w:w="108" w:type="dxa"/>
          <w:bottom w:w="0" w:type="dxa"/>
          <w:right w:w="108" w:type="dxa"/>
        </w:tblCellMar>
      </w:tblPr>
      <w:tblGrid>
        <w:gridCol w:w="1824"/>
        <w:gridCol w:w="3907"/>
        <w:gridCol w:w="766"/>
        <w:gridCol w:w="766"/>
        <w:gridCol w:w="6811"/>
      </w:tblGrid>
      <w:tr>
        <w:tblPrEx>
          <w:tblCellMar>
            <w:top w:w="0" w:type="dxa"/>
            <w:left w:w="108" w:type="dxa"/>
            <w:bottom w:w="0" w:type="dxa"/>
            <w:right w:w="108" w:type="dxa"/>
          </w:tblCellMar>
        </w:tblPrEx>
        <w:trPr>
          <w:trHeight w:val="580" w:hRule="atLeast"/>
        </w:trPr>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Subsystem</w:t>
            </w:r>
          </w:p>
        </w:tc>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Parameters</w:t>
            </w:r>
          </w:p>
        </w:tc>
        <w:tc>
          <w:tcPr>
            <w:tcW w:w="0" w:type="auto"/>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2017</w:t>
            </w:r>
          </w:p>
        </w:tc>
        <w:tc>
          <w:tcPr>
            <w:tcW w:w="0" w:type="auto"/>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2050</w:t>
            </w:r>
          </w:p>
        </w:tc>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 xml:space="preserve"> Method and</w:t>
            </w:r>
            <w:r>
              <w:rPr>
                <w:rFonts w:hint="eastAsia" w:ascii="Times New Roman" w:hAnsi="Times New Roman" w:eastAsia="等线"/>
                <w:b/>
                <w:bCs/>
                <w:color w:val="000000" w:themeColor="text1"/>
                <w:kern w:val="0"/>
                <w:sz w:val="22"/>
                <w:szCs w:val="22"/>
                <w:highlight w:val="none"/>
                <w:lang w:val="en-US" w:eastAsia="zh-CN" w:bidi="ar"/>
                <w14:textFill>
                  <w14:solidFill>
                    <w14:schemeClr w14:val="tx1"/>
                  </w14:solidFill>
                </w14:textFill>
              </w:rPr>
              <w:t xml:space="preserve"> </w:t>
            </w:r>
            <w:r>
              <w:rPr>
                <w:rFonts w:ascii="Times New Roman" w:hAnsi="Times New Roman" w:eastAsia="等线"/>
                <w:b/>
                <w:bCs/>
                <w:color w:val="000000" w:themeColor="text1"/>
                <w:kern w:val="0"/>
                <w:sz w:val="22"/>
                <w:szCs w:val="22"/>
                <w:highlight w:val="none"/>
                <w:lang w:bidi="ar"/>
                <w14:textFill>
                  <w14:solidFill>
                    <w14:schemeClr w14:val="tx1"/>
                  </w14:solidFill>
                </w14:textFill>
              </w:rPr>
              <w:t>parameters in 2050</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 xml:space="preserve">Urban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Population (million person)</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8.1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10.9 </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Population in 2050 is projected by The United Nations’ World Urbanization Prospects</w:t>
            </w:r>
          </w:p>
        </w:tc>
      </w:tr>
      <w:tr>
        <w:tblPrEx>
          <w:tblCellMar>
            <w:top w:w="0" w:type="dxa"/>
            <w:left w:w="108" w:type="dxa"/>
            <w:bottom w:w="0" w:type="dxa"/>
            <w:right w:w="108" w:type="dxa"/>
          </w:tblCellMar>
        </w:tblPrEx>
        <w:trPr>
          <w:trHeight w:val="6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b/>
                <w:bCs/>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Urban excretion  (Tg N)</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5.0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6.5 </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The volume of garbage production changes in proportion to the population between 2017 and 2050.</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b/>
                <w:bCs/>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Disposal</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4.1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6.3 </w:t>
            </w:r>
          </w:p>
        </w:tc>
        <w:tc>
          <w:tcPr>
            <w:tcW w:w="0" w:type="auto"/>
            <w:vMerge w:val="restart"/>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The urban excretion disposal rates  in 2050 are </w:t>
            </w:r>
            <w:r>
              <w:rPr>
                <w:rFonts w:hint="eastAsia" w:ascii="Times New Roman" w:hAnsi="Times New Roman" w:eastAsia="等线"/>
                <w:color w:val="000000" w:themeColor="text1"/>
                <w:kern w:val="0"/>
                <w:sz w:val="22"/>
                <w:szCs w:val="22"/>
                <w:highlight w:val="none"/>
                <w:lang w:eastAsia="zh-CN" w:bidi="ar"/>
                <w14:textFill>
                  <w14:solidFill>
                    <w14:schemeClr w14:val="tx1"/>
                  </w14:solidFill>
                </w14:textFill>
              </w:rPr>
              <w:t>constant</w:t>
            </w: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 with  the 14th Five-Year plan. </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Leakage</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0.4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0.0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Urban garbage production (Tg)</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21521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28696 </w:t>
            </w:r>
          </w:p>
        </w:tc>
        <w:tc>
          <w:tcPr>
            <w:tcW w:w="0" w:type="auto"/>
            <w:vMerge w:val="restart"/>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In 2050, the amount of urban garbage will be determined by multiplying the per capita urban garbage production rate by the urban population. Historical data shows that the per capita urban garbage production rate is 0.72 kg per person. Additionally, the latest (2021) National Statistical Yearbook of Urban Construction indicates the rate of environmentally sound disposal. </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L</w:t>
            </w:r>
            <w:r>
              <w:rPr>
                <w:rFonts w:ascii="Times New Roman" w:hAnsi="Times New Roman" w:eastAsia="等线"/>
                <w:color w:val="000000" w:themeColor="text1"/>
                <w:kern w:val="0"/>
                <w:sz w:val="22"/>
                <w:szCs w:val="22"/>
                <w:highlight w:val="none"/>
                <w:lang w:bidi="ar"/>
                <w14:textFill>
                  <w14:solidFill>
                    <w14:schemeClr w14:val="tx1"/>
                  </w14:solidFill>
                </w14:textFill>
              </w:rPr>
              <w:t>andfill</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12038 </w:t>
            </w:r>
          </w:p>
        </w:tc>
        <w:tc>
          <w:tcPr>
            <w:tcW w:w="76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kern w:val="0"/>
                <w:sz w:val="22"/>
                <w:szCs w:val="22"/>
                <w:highlight w:val="none"/>
                <w:lang w:bidi="ar"/>
                <w14:textFill>
                  <w14:solidFill>
                    <w14:schemeClr w14:val="tx1"/>
                  </w14:solidFill>
                </w14:textFill>
              </w:rPr>
            </w:pPr>
            <w:r>
              <w:rPr>
                <w:rFonts w:hint="eastAsia" w:ascii="Times New Roman" w:hAnsi="Times New Roman" w:eastAsia="等线"/>
                <w:color w:val="000000" w:themeColor="text1"/>
                <w:kern w:val="0"/>
                <w:sz w:val="22"/>
                <w:szCs w:val="22"/>
                <w:highlight w:val="none"/>
                <w:lang w:bidi="ar"/>
                <w14:textFill>
                  <w14:solidFill>
                    <w14:schemeClr w14:val="tx1"/>
                  </w14:solidFill>
                </w14:textFill>
              </w:rPr>
              <w:t>10044</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I</w:t>
            </w:r>
            <w:r>
              <w:rPr>
                <w:rFonts w:ascii="Times New Roman" w:hAnsi="Times New Roman" w:eastAsia="等线"/>
                <w:color w:val="000000" w:themeColor="text1"/>
                <w:kern w:val="0"/>
                <w:sz w:val="22"/>
                <w:szCs w:val="22"/>
                <w:highlight w:val="none"/>
                <w:lang w:bidi="ar"/>
                <w14:textFill>
                  <w14:solidFill>
                    <w14:schemeClr w14:val="tx1"/>
                  </w14:solidFill>
                </w14:textFill>
              </w:rPr>
              <w:t>ncineration</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8463 </w:t>
            </w:r>
          </w:p>
        </w:tc>
        <w:tc>
          <w:tcPr>
            <w:tcW w:w="76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kern w:val="0"/>
                <w:sz w:val="22"/>
                <w:szCs w:val="22"/>
                <w:highlight w:val="none"/>
                <w:lang w:bidi="ar"/>
                <w14:textFill>
                  <w14:solidFill>
                    <w14:schemeClr w14:val="tx1"/>
                  </w14:solidFill>
                </w14:textFill>
              </w:rPr>
            </w:pPr>
            <w:r>
              <w:rPr>
                <w:rFonts w:hint="eastAsia" w:ascii="Times New Roman" w:hAnsi="Times New Roman" w:eastAsia="等线"/>
                <w:color w:val="000000" w:themeColor="text1"/>
                <w:kern w:val="0"/>
                <w:sz w:val="22"/>
                <w:szCs w:val="22"/>
                <w:highlight w:val="none"/>
                <w:lang w:bidi="ar"/>
                <w14:textFill>
                  <w14:solidFill>
                    <w14:schemeClr w14:val="tx1"/>
                  </w14:solidFill>
                </w14:textFill>
              </w:rPr>
              <w:t>18653</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393"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O</w:t>
            </w:r>
            <w:r>
              <w:rPr>
                <w:rFonts w:ascii="Times New Roman" w:hAnsi="Times New Roman" w:eastAsia="等线"/>
                <w:color w:val="000000" w:themeColor="text1"/>
                <w:kern w:val="0"/>
                <w:sz w:val="22"/>
                <w:szCs w:val="22"/>
                <w:highlight w:val="none"/>
                <w:lang w:bidi="ar"/>
                <w14:textFill>
                  <w14:solidFill>
                    <w14:schemeClr w14:val="tx1"/>
                  </w14:solidFill>
                </w14:textFill>
              </w:rPr>
              <w:t>ther treatment</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533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hint="eastAsia" w:ascii="Times New Roman" w:hAnsi="Times New Roman" w:eastAsia="等线"/>
                <w:color w:val="000000" w:themeColor="text1"/>
                <w:kern w:val="0"/>
                <w:sz w:val="22"/>
                <w:szCs w:val="22"/>
                <w:highlight w:val="none"/>
                <w:lang w:bidi="ar"/>
                <w14:textFill>
                  <w14:solidFill>
                    <w14:schemeClr w14:val="tx1"/>
                  </w14:solidFill>
                </w14:textFill>
              </w:rPr>
              <w:t>-</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C</w:t>
            </w:r>
            <w:r>
              <w:rPr>
                <w:rFonts w:ascii="Times New Roman" w:hAnsi="Times New Roman" w:eastAsia="等线"/>
                <w:color w:val="000000" w:themeColor="text1"/>
                <w:kern w:val="0"/>
                <w:sz w:val="22"/>
                <w:szCs w:val="22"/>
                <w:highlight w:val="none"/>
                <w:lang w:bidi="ar"/>
                <w14:textFill>
                  <w14:solidFill>
                    <w14:schemeClr w14:val="tx1"/>
                  </w14:solidFill>
                </w14:textFill>
              </w:rPr>
              <w:t>omposting</w:t>
            </w:r>
          </w:p>
        </w:tc>
        <w:tc>
          <w:tcPr>
            <w:tcW w:w="0" w:type="auto"/>
            <w:tcBorders>
              <w:top w:val="nil"/>
              <w:left w:val="nil"/>
              <w:bottom w:val="nil"/>
              <w:right w:val="nil"/>
            </w:tcBorders>
            <w:shd w:val="clear" w:color="auto" w:fill="auto"/>
            <w:noWrap/>
            <w:vAlign w:val="center"/>
          </w:tcPr>
          <w:p>
            <w:pPr>
              <w:jc w:val="center"/>
              <w:rPr>
                <w:rFonts w:ascii="Times New Roman" w:hAnsi="Times New Roman" w:eastAsia="等线"/>
                <w:color w:val="000000" w:themeColor="text1"/>
                <w:sz w:val="22"/>
                <w:szCs w:val="22"/>
                <w:highlight w:val="none"/>
                <w14:textFill>
                  <w14:solidFill>
                    <w14:schemeClr w14:val="tx1"/>
                  </w14:solidFill>
                </w14:textFill>
              </w:rPr>
            </w:pPr>
            <w:r>
              <w:rPr>
                <w:rFonts w:hint="eastAsia" w:ascii="Times New Roman" w:hAnsi="Times New Roman" w:eastAsia="等线"/>
                <w:color w:val="000000" w:themeColor="text1"/>
                <w:sz w:val="22"/>
                <w:szCs w:val="22"/>
                <w:highlight w:val="none"/>
                <w14:textFill>
                  <w14:solidFill>
                    <w14:schemeClr w14:val="tx1"/>
                  </w14:solidFill>
                </w14:textFill>
              </w:rPr>
              <w:t>-</w:t>
            </w:r>
          </w:p>
        </w:tc>
        <w:tc>
          <w:tcPr>
            <w:tcW w:w="0" w:type="auto"/>
            <w:tcBorders>
              <w:top w:val="nil"/>
              <w:left w:val="nil"/>
              <w:bottom w:val="nil"/>
              <w:right w:val="nil"/>
            </w:tcBorders>
            <w:shd w:val="clear" w:color="auto" w:fill="auto"/>
            <w:noWrap/>
            <w:vAlign w:val="center"/>
          </w:tcPr>
          <w:p>
            <w:pPr>
              <w:jc w:val="center"/>
              <w:rPr>
                <w:rFonts w:ascii="Times New Roman" w:hAnsi="Times New Roman" w:eastAsia="等线"/>
                <w:color w:val="000000" w:themeColor="text1"/>
                <w:sz w:val="22"/>
                <w:szCs w:val="22"/>
                <w:highlight w:val="none"/>
                <w14:textFill>
                  <w14:solidFill>
                    <w14:schemeClr w14:val="tx1"/>
                  </w14:solidFill>
                </w14:textFill>
              </w:rPr>
            </w:pPr>
            <w:r>
              <w:rPr>
                <w:rFonts w:hint="eastAsia" w:ascii="Times New Roman" w:hAnsi="Times New Roman" w:eastAsia="等线"/>
                <w:color w:val="000000" w:themeColor="text1"/>
                <w:sz w:val="22"/>
                <w:szCs w:val="22"/>
                <w:highlight w:val="none"/>
                <w14:textFill>
                  <w14:solidFill>
                    <w14:schemeClr w14:val="tx1"/>
                  </w14:solidFill>
                </w14:textFill>
              </w:rPr>
              <w:t>-</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D</w:t>
            </w:r>
            <w:r>
              <w:rPr>
                <w:rFonts w:ascii="Times New Roman" w:hAnsi="Times New Roman" w:eastAsia="等线"/>
                <w:color w:val="000000" w:themeColor="text1"/>
                <w:kern w:val="0"/>
                <w:sz w:val="22"/>
                <w:szCs w:val="22"/>
                <w:highlight w:val="none"/>
                <w:lang w:bidi="ar"/>
                <w14:textFill>
                  <w14:solidFill>
                    <w14:schemeClr w14:val="tx1"/>
                  </w14:solidFill>
                </w14:textFill>
              </w:rPr>
              <w:t>iscard</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487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hint="eastAsia" w:ascii="Times New Roman" w:hAnsi="Times New Roman" w:eastAsia="等线"/>
                <w:color w:val="000000" w:themeColor="text1"/>
                <w:kern w:val="0"/>
                <w:sz w:val="22"/>
                <w:szCs w:val="22"/>
                <w:highlight w:val="none"/>
                <w:lang w:bidi="ar"/>
                <w14:textFill>
                  <w14:solidFill>
                    <w14:schemeClr w14:val="tx1"/>
                  </w14:solidFill>
                </w14:textFill>
              </w:rPr>
              <w:t>-</w:t>
            </w: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Rural</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Population (million person)</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5.80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2.70 </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Population in 2050 is projected by The United Nations’ World Urbanization Prospects</w:t>
            </w:r>
          </w:p>
        </w:tc>
      </w:tr>
      <w:tr>
        <w:tblPrEx>
          <w:tblCellMar>
            <w:top w:w="0" w:type="dxa"/>
            <w:left w:w="108" w:type="dxa"/>
            <w:bottom w:w="0" w:type="dxa"/>
            <w:right w:w="108" w:type="dxa"/>
          </w:tblCellMar>
        </w:tblPrEx>
        <w:trPr>
          <w:trHeight w:val="7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b/>
                <w:bCs/>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Rural excretion  (Tg N)</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3.1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1.4 </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The volume of rural excretion changes in proportion to the population between 2017 and 2050.</w:t>
            </w:r>
          </w:p>
        </w:tc>
      </w:tr>
      <w:tr>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#Disposal</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0.3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0.3 </w:t>
            </w:r>
          </w:p>
        </w:tc>
        <w:tc>
          <w:tcPr>
            <w:tcW w:w="0" w:type="auto"/>
            <w:vMerge w:val="restart"/>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The rural excretion disposal rates in 2050 are referenced in the 14th Five-Year plan. The rates of untreated and returned to cropland wastewater in 2050 were determined based on their respective shares in the remaining parts in 2017.</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#Return to cropland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1.0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0.4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#Untreated</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1.0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0.4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#Leakage</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0.3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0.1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Rural garbage production (Tg)</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19994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9449 </w:t>
            </w:r>
          </w:p>
        </w:tc>
        <w:tc>
          <w:tcPr>
            <w:tcW w:w="0" w:type="auto"/>
            <w:vMerge w:val="restart"/>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The calculation of waste generation in rural areas follows the same method as in urban areas, with the per capita waste generation rate in rural areas being 0.8 kg per person, according to data from the National Ministry of Health survey. Meanwhile, the rate of environmentally sound </w:t>
            </w:r>
            <w:r>
              <w:rPr>
                <w:rFonts w:hint="eastAsia" w:ascii="Times New Roman" w:hAnsi="Times New Roman" w:eastAsia="等线"/>
                <w:color w:val="000000" w:themeColor="text1"/>
                <w:kern w:val="0"/>
                <w:sz w:val="22"/>
                <w:szCs w:val="22"/>
                <w:highlight w:val="none"/>
                <w:lang w:eastAsia="zh-CN" w:bidi="ar"/>
                <w14:textFill>
                  <w14:solidFill>
                    <w14:schemeClr w14:val="tx1"/>
                  </w14:solidFill>
                </w14:textFill>
              </w:rPr>
              <w:t>disposal</w:t>
            </w: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 in 2050 is </w:t>
            </w:r>
            <w:r>
              <w:rPr>
                <w:rFonts w:hint="eastAsia" w:ascii="Times New Roman" w:hAnsi="Times New Roman" w:eastAsia="等线"/>
                <w:color w:val="000000" w:themeColor="text1"/>
                <w:kern w:val="0"/>
                <w:sz w:val="22"/>
                <w:szCs w:val="22"/>
                <w:highlight w:val="none"/>
                <w:lang w:eastAsia="zh-CN" w:bidi="ar"/>
                <w14:textFill>
                  <w14:solidFill>
                    <w14:schemeClr w14:val="tx1"/>
                  </w14:solidFill>
                </w14:textFill>
              </w:rPr>
              <w:t>consistent</w:t>
            </w: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 to 2017.</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3907"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L</w:t>
            </w:r>
            <w:r>
              <w:rPr>
                <w:rFonts w:ascii="Times New Roman" w:hAnsi="Times New Roman" w:eastAsia="等线"/>
                <w:color w:val="000000" w:themeColor="text1"/>
                <w:kern w:val="0"/>
                <w:sz w:val="22"/>
                <w:szCs w:val="22"/>
                <w:highlight w:val="none"/>
                <w:lang w:bidi="ar"/>
                <w14:textFill>
                  <w14:solidFill>
                    <w14:schemeClr w14:val="tx1"/>
                  </w14:solidFill>
                </w14:textFill>
              </w:rPr>
              <w:t>andfill</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3514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767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3907"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I</w:t>
            </w:r>
            <w:r>
              <w:rPr>
                <w:rFonts w:ascii="Times New Roman" w:hAnsi="Times New Roman" w:eastAsia="等线"/>
                <w:color w:val="000000" w:themeColor="text1"/>
                <w:kern w:val="0"/>
                <w:sz w:val="22"/>
                <w:szCs w:val="22"/>
                <w:highlight w:val="none"/>
                <w:lang w:bidi="ar"/>
                <w14:textFill>
                  <w14:solidFill>
                    <w14:schemeClr w14:val="tx1"/>
                  </w14:solidFill>
                </w14:textFill>
              </w:rPr>
              <w:t>ncineration</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2470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2653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3907"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O</w:t>
            </w:r>
            <w:r>
              <w:rPr>
                <w:rFonts w:ascii="Times New Roman" w:hAnsi="Times New Roman" w:eastAsia="等线"/>
                <w:color w:val="000000" w:themeColor="text1"/>
                <w:kern w:val="0"/>
                <w:sz w:val="22"/>
                <w:szCs w:val="22"/>
                <w:highlight w:val="none"/>
                <w:lang w:bidi="ar"/>
                <w14:textFill>
                  <w14:solidFill>
                    <w14:schemeClr w14:val="tx1"/>
                  </w14:solidFill>
                </w14:textFill>
              </w:rPr>
              <w:t>ther treatment</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78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119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3907"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C</w:t>
            </w:r>
            <w:r>
              <w:rPr>
                <w:rFonts w:ascii="Times New Roman" w:hAnsi="Times New Roman" w:eastAsia="等线"/>
                <w:color w:val="000000" w:themeColor="text1"/>
                <w:kern w:val="0"/>
                <w:sz w:val="22"/>
                <w:szCs w:val="22"/>
                <w:highlight w:val="none"/>
                <w:lang w:bidi="ar"/>
                <w14:textFill>
                  <w14:solidFill>
                    <w14:schemeClr w14:val="tx1"/>
                  </w14:solidFill>
                </w14:textFill>
              </w:rPr>
              <w:t>omposting</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2178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1029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3907"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D</w:t>
            </w:r>
            <w:r>
              <w:rPr>
                <w:rFonts w:ascii="Times New Roman" w:hAnsi="Times New Roman" w:eastAsia="等线"/>
                <w:color w:val="000000" w:themeColor="text1"/>
                <w:kern w:val="0"/>
                <w:sz w:val="22"/>
                <w:szCs w:val="22"/>
                <w:highlight w:val="none"/>
                <w:lang w:bidi="ar"/>
                <w14:textFill>
                  <w14:solidFill>
                    <w14:schemeClr w14:val="tx1"/>
                  </w14:solidFill>
                </w14:textFill>
              </w:rPr>
              <w:t>iscard</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7319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2823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c>
          <w:tcPr>
            <w:tcW w:w="0" w:type="auto"/>
            <w:tcBorders>
              <w:top w:val="nil"/>
              <w:left w:val="nil"/>
              <w:bottom w:val="nil"/>
              <w:right w:val="nil"/>
            </w:tcBorders>
            <w:shd w:val="clear" w:color="auto" w:fill="auto"/>
            <w:noWrap/>
            <w:vAlign w:val="center"/>
          </w:tcPr>
          <w:p>
            <w:pPr>
              <w:widowControl/>
              <w:jc w:val="left"/>
              <w:textAlignment w:val="center"/>
              <w:rPr>
                <w:rFonts w:ascii="微软雅黑" w:hAnsi="微软雅黑" w:eastAsia="微软雅黑" w:cs="微软雅黑"/>
                <w:color w:val="000000" w:themeColor="text1"/>
                <w:sz w:val="22"/>
                <w:szCs w:val="22"/>
                <w:highlight w:val="none"/>
                <w14:textFill>
                  <w14:solidFill>
                    <w14:schemeClr w14:val="tx1"/>
                  </w14:solidFill>
                </w14:textFill>
              </w:rPr>
            </w:pPr>
            <w:r>
              <w:rPr>
                <w:rFonts w:hint="eastAsia" w:ascii="Times New Roman" w:hAnsi="Times New Roman" w:eastAsia="等线"/>
                <w:color w:val="000000" w:themeColor="text1"/>
                <w:kern w:val="0"/>
                <w:sz w:val="22"/>
                <w:szCs w:val="22"/>
                <w:highlight w:val="none"/>
                <w:lang w:bidi="ar"/>
                <w14:textFill>
                  <w14:solidFill>
                    <w14:schemeClr w14:val="tx1"/>
                  </w14:solidFill>
                </w14:textFill>
              </w:rPr>
              <w:t>#</w:t>
            </w:r>
            <w:r>
              <w:rPr>
                <w:rFonts w:hint="eastAsia" w:ascii="Times New Roman" w:hAnsi="Times New Roman" w:eastAsia="等线"/>
                <w:color w:val="000000" w:themeColor="text1"/>
                <w:kern w:val="0"/>
                <w:sz w:val="22"/>
                <w:szCs w:val="22"/>
                <w:highlight w:val="none"/>
                <w:lang w:val="en-US" w:eastAsia="zh-CN" w:bidi="ar"/>
                <w14:textFill>
                  <w14:solidFill>
                    <w14:schemeClr w14:val="tx1"/>
                  </w14:solidFill>
                </w14:textFill>
              </w:rPr>
              <w:t>K</w:t>
            </w:r>
            <w:r>
              <w:rPr>
                <w:rFonts w:hint="eastAsia" w:ascii="Times New Roman" w:hAnsi="Times New Roman" w:eastAsia="等线"/>
                <w:color w:val="000000" w:themeColor="text1"/>
                <w:kern w:val="0"/>
                <w:sz w:val="22"/>
                <w:szCs w:val="22"/>
                <w:highlight w:val="none"/>
                <w:lang w:bidi="ar"/>
                <w14:textFill>
                  <w14:solidFill>
                    <w14:schemeClr w14:val="tx1"/>
                  </w14:solidFill>
                </w14:textFill>
              </w:rPr>
              <w:t>itchen garbage feed</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4357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2059 </w:t>
            </w:r>
          </w:p>
        </w:tc>
        <w:tc>
          <w:tcPr>
            <w:tcW w:w="0" w:type="auto"/>
            <w:tcBorders>
              <w:top w:val="nil"/>
              <w:left w:val="nil"/>
              <w:bottom w:val="nil"/>
              <w:right w:val="nil"/>
            </w:tcBorders>
            <w:shd w:val="clear" w:color="auto" w:fill="auto"/>
            <w:vAlign w:val="center"/>
          </w:tcPr>
          <w:p>
            <w:pPr>
              <w:jc w:val="left"/>
              <w:rPr>
                <w:rFonts w:ascii="Times New Roman" w:hAnsi="Times New Roman" w:eastAsia="等线"/>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1220" w:hRule="atLeast"/>
        </w:trPr>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Wastewater</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Domestic sewage discharge (billion m3)</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59 </w:t>
            </w:r>
          </w:p>
        </w:tc>
        <w:tc>
          <w:tcPr>
            <w:tcW w:w="0" w:type="auto"/>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86 </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The quantity of domestic wastewater has increased by 1.3 times compared to that in 2017, primarily due to changes within the Urban and Rural subsystems domain. </w:t>
            </w:r>
          </w:p>
        </w:tc>
      </w:tr>
      <w:tr>
        <w:tblPrEx>
          <w:tblCellMar>
            <w:top w:w="0" w:type="dxa"/>
            <w:left w:w="108" w:type="dxa"/>
            <w:bottom w:w="0" w:type="dxa"/>
            <w:right w:w="108" w:type="dxa"/>
          </w:tblCellMar>
        </w:tblPrEx>
        <w:trPr>
          <w:trHeight w:val="560" w:hRule="atLeast"/>
        </w:trPr>
        <w:tc>
          <w:tcPr>
            <w:tcW w:w="0" w:type="auto"/>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Urban greenland</w:t>
            </w:r>
          </w:p>
        </w:tc>
        <w:tc>
          <w:tcPr>
            <w:tcW w:w="0" w:type="auto"/>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themeColor="text1"/>
                <w:sz w:val="22"/>
                <w:szCs w:val="22"/>
                <w:highlight w:val="none"/>
                <w14:textFill>
                  <w14:solidFill>
                    <w14:schemeClr w14:val="tx1"/>
                  </w14:solidFill>
                </w14:textFill>
              </w:rPr>
            </w:pPr>
            <w:r>
              <w:rPr>
                <w:rFonts w:ascii="Times New Roman" w:hAnsi="Times New Roman" w:eastAsia="等线"/>
                <w:b/>
                <w:bCs/>
                <w:color w:val="000000" w:themeColor="text1"/>
                <w:kern w:val="0"/>
                <w:sz w:val="22"/>
                <w:szCs w:val="22"/>
                <w:highlight w:val="none"/>
                <w:lang w:bidi="ar"/>
                <w14:textFill>
                  <w14:solidFill>
                    <w14:schemeClr w14:val="tx1"/>
                  </w14:solidFill>
                </w14:textFill>
              </w:rPr>
              <w:t>Greenland area (million ha)</w:t>
            </w:r>
          </w:p>
        </w:tc>
        <w:tc>
          <w:tcPr>
            <w:tcW w:w="0" w:type="auto"/>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2.9 </w:t>
            </w:r>
          </w:p>
        </w:tc>
        <w:tc>
          <w:tcPr>
            <w:tcW w:w="0" w:type="auto"/>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 xml:space="preserve">4.3 </w:t>
            </w:r>
          </w:p>
        </w:tc>
        <w:tc>
          <w:tcPr>
            <w:tcW w:w="0" w:type="auto"/>
            <w:tcBorders>
              <w:top w:val="nil"/>
              <w:left w:val="nil"/>
              <w:bottom w:val="single" w:color="000000" w:sz="4" w:space="0"/>
              <w:right w:val="nil"/>
            </w:tcBorders>
            <w:shd w:val="clear" w:color="auto" w:fill="auto"/>
            <w:vAlign w:val="center"/>
          </w:tcPr>
          <w:p>
            <w:pPr>
              <w:widowControl/>
              <w:jc w:val="left"/>
              <w:textAlignment w:val="center"/>
              <w:rPr>
                <w:rFonts w:ascii="Times New Roman" w:hAnsi="Times New Roman" w:eastAsia="等线"/>
                <w:color w:val="000000" w:themeColor="text1"/>
                <w:sz w:val="22"/>
                <w:szCs w:val="22"/>
                <w:highlight w:val="none"/>
                <w14:textFill>
                  <w14:solidFill>
                    <w14:schemeClr w14:val="tx1"/>
                  </w14:solidFill>
                </w14:textFill>
              </w:rPr>
            </w:pPr>
            <w:r>
              <w:rPr>
                <w:rFonts w:ascii="Times New Roman" w:hAnsi="Times New Roman" w:eastAsia="等线"/>
                <w:color w:val="000000" w:themeColor="text1"/>
                <w:kern w:val="0"/>
                <w:sz w:val="22"/>
                <w:szCs w:val="22"/>
                <w:highlight w:val="none"/>
                <w:lang w:bidi="ar"/>
                <w14:textFill>
                  <w14:solidFill>
                    <w14:schemeClr w14:val="tx1"/>
                  </w14:solidFill>
                </w14:textFill>
              </w:rPr>
              <w:t>Areas increase by 48% in proportion to urban expansion rate.</w:t>
            </w:r>
          </w:p>
        </w:tc>
      </w:tr>
    </w:tbl>
    <w:p>
      <w:pPr>
        <w:rPr>
          <w:rFonts w:ascii="Times New Roman" w:hAnsi="Times New Roman"/>
          <w:sz w:val="24"/>
          <w:highlight w:val="none"/>
        </w:rPr>
      </w:pPr>
      <w:r>
        <w:rPr>
          <w:rFonts w:hint="eastAsia" w:ascii="Times New Roman" w:hAnsi="Times New Roman"/>
          <w:sz w:val="24"/>
          <w:highlight w:val="none"/>
        </w:rPr>
        <w:t>Note: Data for 2017 for both urban and rural areas are from the 2018 National Year of Urban Construction Statistics</w:t>
      </w:r>
    </w:p>
    <w:p>
      <w:pPr>
        <w:spacing w:line="300" w:lineRule="auto"/>
        <w:rPr>
          <w:rFonts w:ascii="Times New Roman" w:hAnsi="Times New Roman"/>
          <w:b/>
          <w:bCs/>
          <w:sz w:val="24"/>
          <w:highlight w:val="none"/>
        </w:rPr>
      </w:pPr>
    </w:p>
    <w:p>
      <w:pPr>
        <w:spacing w:line="300" w:lineRule="auto"/>
        <w:outlineLvl w:val="0"/>
        <w:rPr>
          <w:rFonts w:ascii="Times New Roman" w:hAnsi="Times New Roman"/>
          <w:b/>
          <w:bCs/>
          <w:sz w:val="24"/>
          <w:highlight w:val="none"/>
        </w:rPr>
      </w:pPr>
      <w:r>
        <w:rPr>
          <w:rFonts w:ascii="Times New Roman" w:hAnsi="Times New Roman"/>
          <w:b/>
          <w:bCs/>
          <w:sz w:val="24"/>
          <w:highlight w:val="none"/>
        </w:rPr>
        <w:br w:type="page"/>
      </w:r>
      <w:bookmarkStart w:id="24" w:name="_Toc4899"/>
      <w:r>
        <w:rPr>
          <w:rFonts w:ascii="Times New Roman" w:hAnsi="Times New Roman"/>
          <w:b/>
          <w:bCs/>
          <w:sz w:val="24"/>
          <w:highlight w:val="none"/>
        </w:rPr>
        <w:t xml:space="preserve">Table </w:t>
      </w:r>
      <w:r>
        <w:rPr>
          <w:rFonts w:ascii="Times New Roman" w:hAnsi="Times New Roman"/>
          <w:b/>
          <w:bCs/>
          <w:color w:val="000000"/>
          <w:kern w:val="0"/>
          <w:sz w:val="24"/>
          <w:highlight w:val="none"/>
        </w:rPr>
        <w:t>S</w:t>
      </w:r>
      <w:r>
        <w:rPr>
          <w:rFonts w:hint="eastAsia" w:ascii="Times New Roman" w:hAnsi="Times New Roman"/>
          <w:b/>
          <w:bCs/>
          <w:color w:val="000000"/>
          <w:kern w:val="0"/>
          <w:sz w:val="24"/>
          <w:highlight w:val="none"/>
        </w:rPr>
        <w:t>4</w:t>
      </w:r>
      <w:r>
        <w:rPr>
          <w:rFonts w:hint="eastAsia" w:ascii="Times New Roman" w:hAnsi="Times New Roman"/>
          <w:b/>
          <w:bCs/>
          <w:sz w:val="24"/>
          <w:highlight w:val="none"/>
        </w:rPr>
        <w:t xml:space="preserve"> </w:t>
      </w:r>
      <w:r>
        <w:rPr>
          <w:rFonts w:ascii="Times New Roman" w:hAnsi="Times New Roman"/>
          <w:b/>
          <w:bCs/>
          <w:sz w:val="24"/>
          <w:highlight w:val="none"/>
        </w:rPr>
        <w:t xml:space="preserve">Key parameter adjusting in agricultural relating </w:t>
      </w:r>
      <w:r>
        <w:rPr>
          <w:rFonts w:hint="eastAsia" w:ascii="Times New Roman" w:hAnsi="Times New Roman"/>
          <w:b/>
          <w:bCs/>
          <w:sz w:val="24"/>
          <w:highlight w:val="none"/>
        </w:rPr>
        <w:t>sub</w:t>
      </w:r>
      <w:r>
        <w:rPr>
          <w:rFonts w:ascii="Times New Roman" w:hAnsi="Times New Roman"/>
          <w:b/>
          <w:bCs/>
          <w:sz w:val="24"/>
          <w:highlight w:val="none"/>
        </w:rPr>
        <w:t>systems in CHANS.</w:t>
      </w:r>
      <w:bookmarkEnd w:id="24"/>
    </w:p>
    <w:tbl>
      <w:tblPr>
        <w:tblStyle w:val="10"/>
        <w:tblW w:w="0" w:type="auto"/>
        <w:tblInd w:w="100" w:type="dxa"/>
        <w:tblLayout w:type="autofit"/>
        <w:tblCellMar>
          <w:top w:w="0" w:type="dxa"/>
          <w:left w:w="108" w:type="dxa"/>
          <w:bottom w:w="0" w:type="dxa"/>
          <w:right w:w="108" w:type="dxa"/>
        </w:tblCellMar>
      </w:tblPr>
      <w:tblGrid>
        <w:gridCol w:w="1219"/>
        <w:gridCol w:w="2863"/>
        <w:gridCol w:w="656"/>
        <w:gridCol w:w="656"/>
        <w:gridCol w:w="8680"/>
      </w:tblGrid>
      <w:tr>
        <w:tblPrEx>
          <w:tblCellMar>
            <w:top w:w="0" w:type="dxa"/>
            <w:left w:w="108" w:type="dxa"/>
            <w:bottom w:w="0" w:type="dxa"/>
            <w:right w:w="108" w:type="dxa"/>
          </w:tblCellMar>
        </w:tblPrEx>
        <w:trPr>
          <w:trHeight w:val="640" w:hRule="atLeast"/>
        </w:trPr>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Subsystem</w:t>
            </w:r>
          </w:p>
        </w:tc>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Parameters</w:t>
            </w:r>
          </w:p>
        </w:tc>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2017</w:t>
            </w:r>
          </w:p>
        </w:tc>
        <w:tc>
          <w:tcPr>
            <w:tcW w:w="0" w:type="auto"/>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2050</w:t>
            </w:r>
          </w:p>
        </w:tc>
        <w:tc>
          <w:tcPr>
            <w:tcW w:w="0" w:type="auto"/>
            <w:tcBorders>
              <w:top w:val="single" w:color="000000" w:sz="4" w:space="0"/>
              <w:left w:val="nil"/>
              <w:bottom w:val="single" w:color="000000" w:sz="4" w:space="0"/>
              <w:right w:val="nil"/>
            </w:tcBorders>
            <w:shd w:val="clear" w:color="auto" w:fill="auto"/>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 xml:space="preserve"> Method and </w:t>
            </w:r>
            <w:r>
              <w:rPr>
                <w:rFonts w:hint="eastAsia" w:ascii="Times New Roman" w:hAnsi="Times New Roman" w:eastAsia="等线"/>
                <w:b/>
                <w:bCs/>
                <w:color w:val="000000"/>
                <w:kern w:val="0"/>
                <w:sz w:val="22"/>
                <w:szCs w:val="22"/>
                <w:highlight w:val="none"/>
                <w:lang w:eastAsia="zh-CN" w:bidi="ar"/>
              </w:rPr>
              <w:t>reference</w:t>
            </w:r>
            <w:r>
              <w:rPr>
                <w:rFonts w:ascii="Times New Roman" w:hAnsi="Times New Roman" w:eastAsia="等线"/>
                <w:b/>
                <w:bCs/>
                <w:color w:val="000000"/>
                <w:kern w:val="0"/>
                <w:sz w:val="22"/>
                <w:szCs w:val="22"/>
                <w:highlight w:val="none"/>
                <w:lang w:bidi="ar"/>
              </w:rPr>
              <w:t xml:space="preserve"> for parameters in 2050</w:t>
            </w:r>
          </w:p>
        </w:tc>
      </w:tr>
      <w:tr>
        <w:tblPrEx>
          <w:tblCellMar>
            <w:top w:w="0" w:type="dxa"/>
            <w:left w:w="108" w:type="dxa"/>
            <w:bottom w:w="0" w:type="dxa"/>
            <w:right w:w="108" w:type="dxa"/>
          </w:tblCellMar>
        </w:tblPrEx>
        <w:trPr>
          <w:trHeight w:val="1360" w:hRule="atLeast"/>
        </w:trPr>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Cropland</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N fertilizer (Tg)</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28.9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FF0000"/>
                <w:sz w:val="22"/>
                <w:szCs w:val="22"/>
                <w:highlight w:val="none"/>
              </w:rPr>
            </w:pPr>
            <w:r>
              <w:rPr>
                <w:rFonts w:ascii="Times New Roman" w:hAnsi="Times New Roman" w:eastAsia="等线"/>
                <w:color w:val="000000" w:themeColor="text1"/>
                <w:kern w:val="0"/>
                <w:sz w:val="22"/>
                <w:szCs w:val="22"/>
                <w:highlight w:val="none"/>
                <w:lang w:bidi="ar"/>
                <w14:textFill>
                  <w14:solidFill>
                    <w14:schemeClr w14:val="tx1"/>
                  </w14:solidFill>
                </w14:textFill>
              </w:rPr>
              <w:t>10.1</w:t>
            </w:r>
            <w:r>
              <w:rPr>
                <w:rFonts w:ascii="Times New Roman" w:hAnsi="Times New Roman" w:eastAsia="等线"/>
                <w:color w:val="FF0000"/>
                <w:kern w:val="0"/>
                <w:sz w:val="22"/>
                <w:szCs w:val="22"/>
                <w:highlight w:val="none"/>
                <w:lang w:bidi="ar"/>
              </w:rPr>
              <w:t xml:space="preserve"> </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Nitrogen fertilizer input changes through three steps. First, it would increase by 4% in corporation with cropland areas. Second, it would decrease by 38% due to large-scale farming. Finally, it would decrease by 46% due to more manure returned to the cropland.</w:t>
            </w: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NH3 emission factor</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11%</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9%</w:t>
            </w:r>
          </w:p>
        </w:tc>
        <w:tc>
          <w:tcPr>
            <w:tcW w:w="0" w:type="auto"/>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NH3 emission factor decreased by 17% due to large-scale farming8.</w:t>
            </w: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b/>
                <w:bCs/>
                <w:color w:val="000000"/>
                <w:sz w:val="20"/>
                <w:szCs w:val="20"/>
                <w:highlight w:val="none"/>
              </w:rPr>
            </w:pPr>
            <w:r>
              <w:rPr>
                <w:rFonts w:ascii="Times New Roman" w:hAnsi="Times New Roman" w:eastAsia="等线"/>
                <w:b/>
                <w:bCs/>
                <w:color w:val="000000"/>
                <w:kern w:val="0"/>
                <w:sz w:val="20"/>
                <w:szCs w:val="20"/>
                <w:highlight w:val="none"/>
                <w:lang w:bidi="ar"/>
              </w:rPr>
              <w:t>Straw N (Tg N)</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5.9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6.1 </w:t>
            </w:r>
          </w:p>
        </w:tc>
        <w:tc>
          <w:tcPr>
            <w:tcW w:w="0" w:type="auto"/>
            <w:tcBorders>
              <w:top w:val="nil"/>
              <w:left w:val="nil"/>
              <w:bottom w:val="nil"/>
              <w:right w:val="nil"/>
            </w:tcBorders>
            <w:shd w:val="clear" w:color="auto" w:fill="auto"/>
            <w:vAlign w:val="center"/>
          </w:tcPr>
          <w:p>
            <w:pPr>
              <w:jc w:val="left"/>
              <w:rPr>
                <w:rFonts w:ascii="Times New Roman" w:hAnsi="Times New Roman" w:eastAsia="等线"/>
                <w:color w:val="000000"/>
                <w:sz w:val="22"/>
                <w:szCs w:val="22"/>
                <w:highlight w:val="none"/>
              </w:rPr>
            </w:pP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0"/>
                <w:szCs w:val="20"/>
                <w:highlight w:val="none"/>
              </w:rPr>
            </w:pPr>
            <w:r>
              <w:rPr>
                <w:rFonts w:ascii="Times New Roman" w:hAnsi="Times New Roman" w:eastAsia="等线"/>
                <w:color w:val="000000"/>
                <w:kern w:val="0"/>
                <w:sz w:val="20"/>
                <w:szCs w:val="20"/>
                <w:highlight w:val="none"/>
                <w:lang w:bidi="ar"/>
              </w:rPr>
              <w:t>#Recycle to cropland</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s="Times New Roman"/>
                <w:color w:val="000000"/>
                <w:kern w:val="2"/>
                <w:sz w:val="22"/>
                <w:szCs w:val="22"/>
                <w:highlight w:val="none"/>
                <w:lang w:val="en-US" w:eastAsia="zh-CN" w:bidi="ar-SA"/>
              </w:rPr>
            </w:pPr>
            <w:r>
              <w:rPr>
                <w:rFonts w:ascii="Times New Roman" w:hAnsi="Times New Roman" w:eastAsia="等线"/>
                <w:color w:val="000000"/>
                <w:kern w:val="0"/>
                <w:sz w:val="22"/>
                <w:szCs w:val="22"/>
                <w:highlight w:val="none"/>
                <w:lang w:bidi="ar"/>
              </w:rPr>
              <w:t xml:space="preserve">3.5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3.5 </w:t>
            </w:r>
          </w:p>
        </w:tc>
        <w:tc>
          <w:tcPr>
            <w:tcW w:w="0" w:type="auto"/>
            <w:vMerge w:val="restart"/>
            <w:tcBorders>
              <w:top w:val="nil"/>
              <w:left w:val="nil"/>
              <w:bottom w:val="nil"/>
              <w:right w:val="nil"/>
            </w:tcBorders>
            <w:shd w:val="clear" w:color="auto" w:fill="auto"/>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By 2030, 57% of cropland is projected to be converted into high-standard farmland, with a 100% straw recycling rate. This means 57% of straw will be recycled and used in cropland. Additionally, as a result of crop-livestock coupling, any remaining straw will be used as feed for livestock.</w:t>
            </w: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0"/>
                <w:szCs w:val="20"/>
                <w:highlight w:val="none"/>
              </w:rPr>
            </w:pPr>
            <w:r>
              <w:rPr>
                <w:rFonts w:ascii="Times New Roman" w:hAnsi="Times New Roman" w:eastAsia="等线"/>
                <w:color w:val="000000"/>
                <w:kern w:val="0"/>
                <w:sz w:val="20"/>
                <w:szCs w:val="20"/>
                <w:highlight w:val="none"/>
                <w:lang w:bidi="ar"/>
              </w:rPr>
              <w:t>#Livestock feed</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1.1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2.2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sz w:val="22"/>
                <w:szCs w:val="22"/>
                <w:highlight w:val="none"/>
              </w:rPr>
            </w:pP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0"/>
                <w:szCs w:val="20"/>
                <w:highlight w:val="none"/>
              </w:rPr>
            </w:pPr>
            <w:r>
              <w:rPr>
                <w:rFonts w:ascii="Times New Roman" w:hAnsi="Times New Roman" w:eastAsia="等线"/>
                <w:color w:val="000000"/>
                <w:kern w:val="0"/>
                <w:sz w:val="20"/>
                <w:szCs w:val="20"/>
                <w:highlight w:val="none"/>
                <w:lang w:bidi="ar"/>
              </w:rPr>
              <w:t>#Domestic straw fuel</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0.9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0.0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sz w:val="22"/>
                <w:szCs w:val="22"/>
                <w:highlight w:val="none"/>
              </w:rPr>
            </w:pP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0"/>
                <w:szCs w:val="20"/>
                <w:highlight w:val="none"/>
              </w:rPr>
            </w:pPr>
            <w:r>
              <w:rPr>
                <w:rFonts w:ascii="Times New Roman" w:hAnsi="Times New Roman" w:eastAsia="等线"/>
                <w:color w:val="000000"/>
                <w:kern w:val="0"/>
                <w:sz w:val="20"/>
                <w:szCs w:val="20"/>
                <w:highlight w:val="none"/>
                <w:lang w:bidi="ar"/>
              </w:rPr>
              <w:t>#Industrial materials</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0.4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0.4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sz w:val="22"/>
                <w:szCs w:val="22"/>
                <w:highlight w:val="none"/>
              </w:rPr>
            </w:pPr>
          </w:p>
        </w:tc>
      </w:tr>
      <w:tr>
        <w:tblPrEx>
          <w:tblCellMar>
            <w:top w:w="0" w:type="dxa"/>
            <w:left w:w="108" w:type="dxa"/>
            <w:bottom w:w="0" w:type="dxa"/>
            <w:right w:w="108" w:type="dxa"/>
          </w:tblCellMar>
        </w:tblPrEx>
        <w:trPr>
          <w:trHeight w:val="340" w:hRule="atLeast"/>
        </w:trPr>
        <w:tc>
          <w:tcPr>
            <w:tcW w:w="0" w:type="auto"/>
            <w:tcBorders>
              <w:top w:val="nil"/>
              <w:left w:val="nil"/>
              <w:bottom w:val="nil"/>
              <w:right w:val="nil"/>
            </w:tcBorders>
            <w:shd w:val="clear" w:color="auto" w:fill="auto"/>
            <w:noWrap/>
            <w:vAlign w:val="center"/>
          </w:tcPr>
          <w:p>
            <w:pPr>
              <w:jc w:val="left"/>
              <w:rPr>
                <w:rFonts w:ascii="Times New Roman" w:hAnsi="Times New Roman" w:eastAsia="等线"/>
                <w:color w:val="000000"/>
                <w:sz w:val="22"/>
                <w:szCs w:val="22"/>
                <w:highlight w:val="none"/>
              </w:rPr>
            </w:pP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0"/>
                <w:szCs w:val="20"/>
                <w:highlight w:val="none"/>
              </w:rPr>
            </w:pPr>
            <w:r>
              <w:rPr>
                <w:rFonts w:ascii="Times New Roman" w:hAnsi="Times New Roman" w:eastAsia="等线"/>
                <w:color w:val="000000"/>
                <w:kern w:val="0"/>
                <w:sz w:val="20"/>
                <w:szCs w:val="20"/>
                <w:highlight w:val="none"/>
                <w:lang w:bidi="ar"/>
              </w:rPr>
              <w:t>#Burning in field</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hint="eastAsia" w:ascii="Times New Roman" w:hAnsi="Times New Roman" w:eastAsia="等线"/>
                <w:color w:val="000000"/>
                <w:kern w:val="0"/>
                <w:sz w:val="22"/>
                <w:szCs w:val="22"/>
                <w:highlight w:val="none"/>
                <w:lang w:val="en-US" w:eastAsia="zh-CN" w:bidi="ar"/>
              </w:rPr>
              <w:t>0.0</w:t>
            </w:r>
            <w:r>
              <w:rPr>
                <w:rFonts w:ascii="Times New Roman" w:hAnsi="Times New Roman" w:eastAsia="等线"/>
                <w:color w:val="000000"/>
                <w:kern w:val="0"/>
                <w:sz w:val="22"/>
                <w:szCs w:val="22"/>
                <w:highlight w:val="none"/>
                <w:lang w:bidi="ar"/>
              </w:rPr>
              <w:t xml:space="preserve"> </w:t>
            </w:r>
          </w:p>
        </w:tc>
        <w:tc>
          <w:tcPr>
            <w:tcW w:w="0" w:type="auto"/>
            <w:tcBorders>
              <w:top w:val="nil"/>
              <w:left w:val="nil"/>
              <w:bottom w:val="nil"/>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0.0 </w:t>
            </w:r>
          </w:p>
        </w:tc>
        <w:tc>
          <w:tcPr>
            <w:tcW w:w="0" w:type="auto"/>
            <w:vMerge w:val="continue"/>
            <w:tcBorders>
              <w:top w:val="nil"/>
              <w:left w:val="nil"/>
              <w:bottom w:val="nil"/>
              <w:right w:val="nil"/>
            </w:tcBorders>
            <w:shd w:val="clear" w:color="auto" w:fill="auto"/>
            <w:vAlign w:val="center"/>
          </w:tcPr>
          <w:p>
            <w:pPr>
              <w:jc w:val="left"/>
              <w:rPr>
                <w:rFonts w:ascii="Times New Roman" w:hAnsi="Times New Roman" w:eastAsia="等线"/>
                <w:color w:val="000000"/>
                <w:sz w:val="22"/>
                <w:szCs w:val="22"/>
                <w:highlight w:val="none"/>
              </w:rPr>
            </w:pPr>
          </w:p>
        </w:tc>
      </w:tr>
      <w:tr>
        <w:tblPrEx>
          <w:tblCellMar>
            <w:top w:w="0" w:type="dxa"/>
            <w:left w:w="108" w:type="dxa"/>
            <w:bottom w:w="0" w:type="dxa"/>
            <w:right w:w="108" w:type="dxa"/>
          </w:tblCellMar>
        </w:tblPrEx>
        <w:trPr>
          <w:trHeight w:val="340" w:hRule="atLeast"/>
        </w:trPr>
        <w:tc>
          <w:tcPr>
            <w:tcW w:w="0" w:type="auto"/>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Livestock</w:t>
            </w:r>
          </w:p>
        </w:tc>
        <w:tc>
          <w:tcPr>
            <w:tcW w:w="0" w:type="auto"/>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Manure applied to cropland</w:t>
            </w:r>
          </w:p>
        </w:tc>
        <w:tc>
          <w:tcPr>
            <w:tcW w:w="0" w:type="auto"/>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5.5 </w:t>
            </w:r>
          </w:p>
        </w:tc>
        <w:tc>
          <w:tcPr>
            <w:tcW w:w="0" w:type="auto"/>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10.1 </w:t>
            </w:r>
          </w:p>
        </w:tc>
        <w:tc>
          <w:tcPr>
            <w:tcW w:w="0" w:type="auto"/>
            <w:tcBorders>
              <w:top w:val="nil"/>
              <w:left w:val="nil"/>
              <w:bottom w:val="single" w:color="000000" w:sz="4" w:space="0"/>
              <w:right w:val="nil"/>
            </w:tcBorders>
            <w:shd w:val="clear" w:color="auto" w:fill="auto"/>
            <w:vAlign w:val="center"/>
          </w:tcPr>
          <w:p>
            <w:pPr>
              <w:widowControl/>
              <w:jc w:val="left"/>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Whole manure would return to cropland after crop-live stock coupled </w:t>
            </w:r>
          </w:p>
        </w:tc>
      </w:tr>
    </w:tbl>
    <w:p>
      <w:pPr>
        <w:spacing w:line="300" w:lineRule="auto"/>
        <w:rPr>
          <w:rFonts w:ascii="Times New Roman" w:hAnsi="Times New Roman"/>
          <w:b/>
          <w:bCs/>
          <w:color w:val="000000"/>
          <w:kern w:val="0"/>
          <w:sz w:val="24"/>
          <w:highlight w:val="none"/>
        </w:rPr>
      </w:pPr>
      <w:r>
        <w:rPr>
          <w:rFonts w:ascii="Times New Roman" w:hAnsi="Times New Roman"/>
          <w:b/>
          <w:bCs/>
          <w:color w:val="000000"/>
          <w:kern w:val="0"/>
          <w:sz w:val="24"/>
          <w:highlight w:val="none"/>
        </w:rPr>
        <w:br w:type="page"/>
      </w:r>
    </w:p>
    <w:p>
      <w:pPr>
        <w:spacing w:line="300" w:lineRule="auto"/>
        <w:outlineLvl w:val="0"/>
        <w:rPr>
          <w:rFonts w:ascii="Times New Roman" w:hAnsi="Times New Roman"/>
          <w:b/>
          <w:bCs/>
          <w:sz w:val="24"/>
          <w:highlight w:val="none"/>
        </w:rPr>
      </w:pPr>
      <w:bookmarkStart w:id="25" w:name="_Toc23758"/>
      <w:r>
        <w:rPr>
          <w:rFonts w:ascii="Times New Roman" w:hAnsi="Times New Roman"/>
          <w:b/>
          <w:bCs/>
          <w:color w:val="000000"/>
          <w:kern w:val="0"/>
          <w:sz w:val="24"/>
          <w:highlight w:val="none"/>
        </w:rPr>
        <w:t>Table S</w:t>
      </w:r>
      <w:r>
        <w:rPr>
          <w:rFonts w:hint="eastAsia" w:ascii="Times New Roman" w:hAnsi="Times New Roman"/>
          <w:b/>
          <w:bCs/>
          <w:color w:val="000000"/>
          <w:kern w:val="0"/>
          <w:sz w:val="24"/>
          <w:highlight w:val="none"/>
        </w:rPr>
        <w:t xml:space="preserve">5 </w:t>
      </w:r>
      <w:r>
        <w:rPr>
          <w:rFonts w:ascii="Times New Roman" w:hAnsi="Times New Roman"/>
          <w:b/>
          <w:bCs/>
          <w:color w:val="000000"/>
          <w:kern w:val="0"/>
          <w:sz w:val="24"/>
          <w:highlight w:val="none"/>
        </w:rPr>
        <w:t xml:space="preserve">Proxy variable and land use raster for high </w:t>
      </w:r>
      <w:r>
        <w:rPr>
          <w:rFonts w:ascii="Times New Roman" w:hAnsi="Times New Roman"/>
          <w:b/>
          <w:bCs/>
          <w:sz w:val="24"/>
          <w:highlight w:val="none"/>
        </w:rPr>
        <w:t>spatial resolution N</w:t>
      </w:r>
      <w:r>
        <w:rPr>
          <w:rFonts w:hint="eastAsia" w:ascii="Times New Roman" w:hAnsi="Times New Roman"/>
          <w:b/>
          <w:bCs/>
          <w:sz w:val="24"/>
          <w:highlight w:val="none"/>
        </w:rPr>
        <w:t>r</w:t>
      </w:r>
      <w:r>
        <w:rPr>
          <w:rFonts w:ascii="Times New Roman" w:hAnsi="Times New Roman"/>
          <w:b/>
          <w:bCs/>
          <w:sz w:val="24"/>
          <w:highlight w:val="none"/>
        </w:rPr>
        <w:t xml:space="preserve"> loss inventory</w:t>
      </w:r>
      <w:r>
        <w:rPr>
          <w:rFonts w:hint="eastAsia" w:ascii="Times New Roman" w:hAnsi="Times New Roman"/>
          <w:b/>
          <w:bCs/>
          <w:sz w:val="24"/>
          <w:highlight w:val="none"/>
        </w:rPr>
        <w:t>.</w:t>
      </w:r>
      <w:bookmarkEnd w:id="25"/>
      <w:r>
        <w:rPr>
          <w:rFonts w:hint="eastAsia" w:ascii="Times New Roman" w:hAnsi="Times New Roman"/>
          <w:b/>
          <w:bCs/>
          <w:sz w:val="24"/>
          <w:highlight w:val="none"/>
        </w:rPr>
        <w:t xml:space="preserve"> </w:t>
      </w:r>
    </w:p>
    <w:tbl>
      <w:tblPr>
        <w:tblStyle w:val="10"/>
        <w:tblW w:w="4999" w:type="pct"/>
        <w:tblInd w:w="0" w:type="dxa"/>
        <w:tblLayout w:type="autofit"/>
        <w:tblCellMar>
          <w:top w:w="0" w:type="dxa"/>
          <w:left w:w="108" w:type="dxa"/>
          <w:bottom w:w="0" w:type="dxa"/>
          <w:right w:w="108" w:type="dxa"/>
        </w:tblCellMar>
      </w:tblPr>
      <w:tblGrid>
        <w:gridCol w:w="3872"/>
        <w:gridCol w:w="4377"/>
        <w:gridCol w:w="5922"/>
      </w:tblGrid>
      <w:tr>
        <w:tblPrEx>
          <w:tblCellMar>
            <w:top w:w="0" w:type="dxa"/>
            <w:left w:w="108" w:type="dxa"/>
            <w:bottom w:w="0" w:type="dxa"/>
            <w:right w:w="108" w:type="dxa"/>
          </w:tblCellMar>
        </w:tblPrEx>
        <w:trPr>
          <w:trHeight w:val="536" w:hRule="atLeast"/>
        </w:trPr>
        <w:tc>
          <w:tcPr>
            <w:tcW w:w="1366" w:type="pct"/>
            <w:tcBorders>
              <w:top w:val="single" w:color="000000" w:sz="4" w:space="0"/>
              <w:left w:val="nil"/>
              <w:bottom w:val="single" w:color="000000" w:sz="4" w:space="0"/>
              <w:right w:val="nil"/>
            </w:tcBorders>
            <w:shd w:val="clear" w:color="auto" w:fill="auto"/>
            <w:noWrap/>
            <w:vAlign w:val="bottom"/>
          </w:tcPr>
          <w:p>
            <w:pPr>
              <w:widowControl/>
              <w:spacing w:line="300" w:lineRule="auto"/>
              <w:jc w:val="center"/>
              <w:textAlignment w:val="center"/>
              <w:rPr>
                <w:rFonts w:ascii="Times New Roman" w:hAnsi="Times New Roman" w:eastAsia="等线"/>
                <w:b/>
                <w:bCs/>
                <w:color w:val="000000"/>
                <w:kern w:val="0"/>
                <w:sz w:val="24"/>
                <w:highlight w:val="none"/>
                <w:lang w:bidi="ar"/>
              </w:rPr>
            </w:pPr>
            <w:r>
              <w:rPr>
                <w:rFonts w:ascii="Times New Roman" w:hAnsi="Times New Roman" w:eastAsia="等线"/>
                <w:b/>
                <w:bCs/>
                <w:color w:val="000000"/>
                <w:kern w:val="0"/>
                <w:sz w:val="24"/>
                <w:highlight w:val="none"/>
                <w:lang w:bidi="ar"/>
              </w:rPr>
              <w:t>Subsystem in CHANS</w:t>
            </w:r>
          </w:p>
        </w:tc>
        <w:tc>
          <w:tcPr>
            <w:tcW w:w="1544" w:type="pct"/>
            <w:tcBorders>
              <w:top w:val="single" w:color="000000" w:sz="4" w:space="0"/>
              <w:left w:val="nil"/>
              <w:bottom w:val="single" w:color="000000" w:sz="4" w:space="0"/>
              <w:right w:val="nil"/>
            </w:tcBorders>
            <w:shd w:val="clear" w:color="auto" w:fill="auto"/>
            <w:noWrap/>
            <w:vAlign w:val="bottom"/>
          </w:tcPr>
          <w:p>
            <w:pPr>
              <w:widowControl/>
              <w:spacing w:line="300" w:lineRule="auto"/>
              <w:jc w:val="center"/>
              <w:textAlignment w:val="center"/>
              <w:rPr>
                <w:rFonts w:ascii="Times New Roman" w:hAnsi="Times New Roman" w:eastAsia="等线"/>
                <w:b/>
                <w:bCs/>
                <w:color w:val="000000"/>
                <w:kern w:val="0"/>
                <w:sz w:val="24"/>
                <w:highlight w:val="none"/>
                <w:lang w:bidi="ar"/>
              </w:rPr>
            </w:pPr>
            <w:r>
              <w:rPr>
                <w:rFonts w:ascii="Times New Roman" w:hAnsi="Times New Roman" w:eastAsia="等线"/>
                <w:b/>
                <w:bCs/>
                <w:color w:val="000000"/>
                <w:kern w:val="0"/>
                <w:sz w:val="24"/>
                <w:highlight w:val="none"/>
                <w:lang w:bidi="ar"/>
              </w:rPr>
              <w:t>Proxy Variable</w:t>
            </w:r>
          </w:p>
        </w:tc>
        <w:tc>
          <w:tcPr>
            <w:tcW w:w="2089" w:type="pct"/>
            <w:tcBorders>
              <w:top w:val="single" w:color="000000" w:sz="4" w:space="0"/>
              <w:left w:val="nil"/>
              <w:bottom w:val="single" w:color="000000" w:sz="4" w:space="0"/>
              <w:right w:val="nil"/>
            </w:tcBorders>
            <w:shd w:val="clear" w:color="auto" w:fill="auto"/>
            <w:noWrap/>
            <w:vAlign w:val="bottom"/>
          </w:tcPr>
          <w:p>
            <w:pPr>
              <w:widowControl/>
              <w:spacing w:line="300" w:lineRule="auto"/>
              <w:jc w:val="center"/>
              <w:textAlignment w:val="center"/>
              <w:rPr>
                <w:rFonts w:ascii="Times New Roman" w:hAnsi="Times New Roman" w:eastAsia="等线"/>
                <w:b/>
                <w:bCs/>
                <w:color w:val="000000"/>
                <w:kern w:val="0"/>
                <w:sz w:val="24"/>
                <w:highlight w:val="none"/>
                <w:lang w:bidi="ar"/>
              </w:rPr>
            </w:pPr>
            <w:r>
              <w:rPr>
                <w:rFonts w:ascii="Times New Roman" w:hAnsi="Times New Roman" w:eastAsia="等线"/>
                <w:b/>
                <w:bCs/>
                <w:color w:val="000000"/>
                <w:kern w:val="0"/>
                <w:sz w:val="24"/>
                <w:highlight w:val="none"/>
                <w:lang w:bidi="ar"/>
              </w:rPr>
              <w:t>Land use raster</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Cropland  </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FF"/>
                <w:sz w:val="24"/>
                <w:highlight w:val="none"/>
              </w:rPr>
            </w:pPr>
            <w:r>
              <w:rPr>
                <w:rFonts w:ascii="Times New Roman" w:hAnsi="Times New Roman" w:eastAsia="等线"/>
                <w:kern w:val="0"/>
                <w:sz w:val="24"/>
                <w:highlight w:val="none"/>
                <w:lang w:bidi="ar"/>
              </w:rPr>
              <w:t>Wang et al., 2021</w:t>
            </w:r>
            <w:r>
              <w:rPr>
                <w:rFonts w:ascii="Times New Roman" w:hAnsi="Times New Roman" w:eastAsia="等线"/>
                <w:kern w:val="0"/>
                <w:sz w:val="24"/>
                <w:highlight w:val="none"/>
                <w:lang w:bidi="ar"/>
              </w:rPr>
              <w:fldChar w:fldCharType="begin"/>
            </w:r>
            <w:r>
              <w:rPr>
                <w:rFonts w:hint="eastAsia" w:ascii="Times New Roman" w:hAnsi="Times New Roman" w:eastAsia="等线"/>
                <w:kern w:val="0"/>
                <w:sz w:val="24"/>
                <w:highlight w:val="none"/>
                <w:lang w:eastAsia="zh-CN" w:bidi="ar"/>
              </w:rPr>
              <w:instrText xml:space="preserve"> ADDIN NE.Ref.{733D1B3E-1276-42B0-81EA-2EBE4E4730D3}</w:instrText>
            </w:r>
            <w:r>
              <w:rPr>
                <w:rFonts w:ascii="Times New Roman" w:hAnsi="Times New Roman" w:eastAsia="等线"/>
                <w:kern w:val="0"/>
                <w:sz w:val="24"/>
                <w:highlight w:val="none"/>
                <w:lang w:bidi="ar"/>
              </w:rPr>
              <w:fldChar w:fldCharType="separate"/>
            </w:r>
            <w:r>
              <w:rPr>
                <w:rFonts w:hint="eastAsia" w:ascii="宋体" w:hAnsi="宋体"/>
                <w:color w:val="080000"/>
                <w:sz w:val="21"/>
                <w:szCs w:val="24"/>
                <w:highlight w:val="none"/>
                <w:vertAlign w:val="superscript"/>
              </w:rPr>
              <w:t>7,8</w:t>
            </w:r>
            <w:r>
              <w:rPr>
                <w:rFonts w:ascii="Times New Roman" w:hAnsi="Times New Roman" w:eastAsia="等线"/>
                <w:kern w:val="0"/>
                <w:sz w:val="24"/>
                <w:highlight w:val="none"/>
                <w:lang w:bidi="ar"/>
              </w:rPr>
              <w:fldChar w:fldCharType="end"/>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Cropland  </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Livestock  </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hint="eastAsia" w:ascii="Times New Roman" w:hAnsi="Times New Roman" w:eastAsia="等线"/>
                <w:color w:val="0000FF"/>
                <w:sz w:val="24"/>
                <w:highlight w:val="none"/>
                <w:lang w:eastAsia="zh-CN"/>
              </w:rPr>
            </w:pPr>
            <w:r>
              <w:rPr>
                <w:rFonts w:ascii="Times New Roman" w:hAnsi="Times New Roman" w:eastAsia="等线"/>
                <w:kern w:val="0"/>
                <w:sz w:val="24"/>
                <w:highlight w:val="none"/>
                <w:lang w:bidi="ar"/>
              </w:rPr>
              <w:t>Zhu et al., 2022</w:t>
            </w:r>
            <w:r>
              <w:rPr>
                <w:rFonts w:ascii="Times New Roman" w:hAnsi="Times New Roman" w:eastAsia="等线"/>
                <w:kern w:val="0"/>
                <w:sz w:val="24"/>
                <w:highlight w:val="none"/>
                <w:lang w:bidi="ar"/>
              </w:rPr>
              <w:fldChar w:fldCharType="begin"/>
            </w:r>
            <w:r>
              <w:rPr>
                <w:rFonts w:hint="eastAsia" w:ascii="Times New Roman" w:hAnsi="Times New Roman" w:eastAsia="等线"/>
                <w:kern w:val="0"/>
                <w:sz w:val="24"/>
                <w:highlight w:val="none"/>
                <w:lang w:eastAsia="zh-CN" w:bidi="ar"/>
              </w:rPr>
              <w:instrText xml:space="preserve"> ADDIN NE.Ref.{CD5281A4-3116-4B96-8942-973989CF6317}</w:instrText>
            </w:r>
            <w:r>
              <w:rPr>
                <w:rFonts w:ascii="Times New Roman" w:hAnsi="Times New Roman" w:eastAsia="等线"/>
                <w:kern w:val="0"/>
                <w:sz w:val="24"/>
                <w:highlight w:val="none"/>
                <w:lang w:bidi="ar"/>
              </w:rPr>
              <w:fldChar w:fldCharType="separate"/>
            </w:r>
            <w:r>
              <w:rPr>
                <w:rFonts w:hint="eastAsia" w:ascii="宋体" w:hAnsi="宋体"/>
                <w:color w:val="080000"/>
                <w:sz w:val="21"/>
                <w:szCs w:val="24"/>
                <w:highlight w:val="none"/>
                <w:vertAlign w:val="superscript"/>
              </w:rPr>
              <w:t>3</w:t>
            </w:r>
            <w:r>
              <w:rPr>
                <w:rFonts w:ascii="Times New Roman" w:hAnsi="Times New Roman" w:eastAsia="等线"/>
                <w:kern w:val="0"/>
                <w:sz w:val="24"/>
                <w:highlight w:val="none"/>
                <w:lang w:bidi="ar"/>
              </w:rPr>
              <w:fldChar w:fldCharType="end"/>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Cropland, Rural </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Grassland</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Grassland area</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Grassland</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Aquaculture</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Water area</w:t>
            </w:r>
          </w:p>
        </w:tc>
        <w:tc>
          <w:tcPr>
            <w:tcW w:w="208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Water</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 greenland</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 area</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Human-urban</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Population of urban</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Human-rural</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Population of rural</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Rural</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Industry </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Industrial </w:t>
            </w:r>
            <w:r>
              <w:rPr>
                <w:rFonts w:hint="eastAsia" w:ascii="Times New Roman" w:hAnsi="Times New Roman" w:eastAsia="等线"/>
                <w:color w:val="000000"/>
                <w:kern w:val="0"/>
                <w:sz w:val="24"/>
                <w:highlight w:val="none"/>
                <w:lang w:bidi="ar"/>
              </w:rPr>
              <w:t>output</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Wastewater</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Population </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 Rural</w:t>
            </w:r>
          </w:p>
        </w:tc>
      </w:tr>
      <w:tr>
        <w:tblPrEx>
          <w:tblCellMar>
            <w:top w:w="0" w:type="dxa"/>
            <w:left w:w="108" w:type="dxa"/>
            <w:bottom w:w="0" w:type="dxa"/>
            <w:right w:w="108" w:type="dxa"/>
          </w:tblCellMar>
        </w:tblPrEx>
        <w:trPr>
          <w:trHeight w:val="277" w:hRule="atLeast"/>
        </w:trPr>
        <w:tc>
          <w:tcPr>
            <w:tcW w:w="1366"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Solid waste</w:t>
            </w:r>
          </w:p>
        </w:tc>
        <w:tc>
          <w:tcPr>
            <w:tcW w:w="1544"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 xml:space="preserve">Population </w:t>
            </w:r>
          </w:p>
        </w:tc>
        <w:tc>
          <w:tcPr>
            <w:tcW w:w="2089" w:type="pct"/>
            <w:tcBorders>
              <w:top w:val="nil"/>
              <w:left w:val="nil"/>
              <w:bottom w:val="nil"/>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Urban, Rural</w:t>
            </w:r>
          </w:p>
        </w:tc>
      </w:tr>
      <w:tr>
        <w:tblPrEx>
          <w:tblCellMar>
            <w:top w:w="0" w:type="dxa"/>
            <w:left w:w="108" w:type="dxa"/>
            <w:bottom w:w="0" w:type="dxa"/>
            <w:right w:w="108" w:type="dxa"/>
          </w:tblCellMar>
        </w:tblPrEx>
        <w:trPr>
          <w:trHeight w:val="277" w:hRule="atLeast"/>
        </w:trPr>
        <w:tc>
          <w:tcPr>
            <w:tcW w:w="1366" w:type="pct"/>
            <w:tcBorders>
              <w:top w:val="nil"/>
              <w:left w:val="nil"/>
              <w:bottom w:val="single" w:color="000000" w:sz="4" w:space="0"/>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Forest</w:t>
            </w:r>
          </w:p>
        </w:tc>
        <w:tc>
          <w:tcPr>
            <w:tcW w:w="1544" w:type="pct"/>
            <w:tcBorders>
              <w:top w:val="nil"/>
              <w:left w:val="nil"/>
              <w:bottom w:val="single" w:color="000000" w:sz="4" w:space="0"/>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Forest area</w:t>
            </w:r>
          </w:p>
        </w:tc>
        <w:tc>
          <w:tcPr>
            <w:tcW w:w="2089" w:type="pct"/>
            <w:tcBorders>
              <w:top w:val="nil"/>
              <w:left w:val="nil"/>
              <w:bottom w:val="single" w:color="000000" w:sz="4" w:space="0"/>
              <w:right w:val="nil"/>
            </w:tcBorders>
            <w:shd w:val="clear" w:color="auto" w:fill="auto"/>
            <w:noWrap/>
            <w:vAlign w:val="bottom"/>
          </w:tcPr>
          <w:p>
            <w:pPr>
              <w:widowControl/>
              <w:spacing w:line="300" w:lineRule="auto"/>
              <w:jc w:val="center"/>
              <w:textAlignment w:val="bottom"/>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Forest</w:t>
            </w:r>
          </w:p>
        </w:tc>
      </w:tr>
    </w:tbl>
    <w:p>
      <w:pPr>
        <w:autoSpaceDE w:val="0"/>
        <w:autoSpaceDN w:val="0"/>
        <w:adjustRightInd w:val="0"/>
        <w:spacing w:line="300" w:lineRule="auto"/>
        <w:rPr>
          <w:rFonts w:ascii="Times New Roman" w:hAnsi="Times New Roman"/>
          <w:b/>
          <w:bCs/>
          <w:color w:val="000000"/>
          <w:kern w:val="0"/>
          <w:sz w:val="24"/>
          <w:highlight w:val="none"/>
        </w:rPr>
      </w:pPr>
      <w:r>
        <w:rPr>
          <w:rFonts w:ascii="Times New Roman" w:hAnsi="Times New Roman"/>
          <w:color w:val="000000"/>
          <w:kern w:val="0"/>
          <w:sz w:val="24"/>
          <w:highlight w:val="none"/>
        </w:rPr>
        <w:t>Note: The portion of livestock manure returned to cropland is allocated to cropland</w:t>
      </w:r>
      <w:r>
        <w:rPr>
          <w:rFonts w:hint="eastAsia" w:ascii="Times New Roman" w:hAnsi="Times New Roman"/>
          <w:color w:val="000000"/>
          <w:kern w:val="0"/>
          <w:sz w:val="24"/>
          <w:highlight w:val="none"/>
        </w:rPr>
        <w:t>, while the rest of manure is allocated to rural.</w:t>
      </w:r>
      <w:r>
        <w:rPr>
          <w:rFonts w:ascii="Times New Roman" w:hAnsi="Times New Roman"/>
          <w:color w:val="000000"/>
          <w:kern w:val="0"/>
          <w:sz w:val="24"/>
          <w:highlight w:val="none"/>
        </w:rPr>
        <w:br w:type="page"/>
      </w:r>
    </w:p>
    <w:p>
      <w:pPr>
        <w:spacing w:line="300" w:lineRule="auto"/>
        <w:outlineLvl w:val="0"/>
        <w:rPr>
          <w:rFonts w:ascii="Times New Roman" w:hAnsi="Times New Roman"/>
          <w:b/>
          <w:bCs/>
          <w:sz w:val="24"/>
          <w:highlight w:val="none"/>
        </w:rPr>
      </w:pPr>
      <w:bookmarkStart w:id="26" w:name="_Toc21655"/>
      <w:r>
        <w:rPr>
          <w:rFonts w:ascii="Times New Roman" w:hAnsi="Times New Roman"/>
          <w:b/>
          <w:bCs/>
          <w:sz w:val="24"/>
          <w:highlight w:val="none"/>
        </w:rPr>
        <w:t>Table S</w:t>
      </w:r>
      <w:r>
        <w:rPr>
          <w:rFonts w:hint="eastAsia" w:ascii="Times New Roman" w:hAnsi="Times New Roman"/>
          <w:b/>
          <w:bCs/>
          <w:sz w:val="24"/>
          <w:highlight w:val="none"/>
        </w:rPr>
        <w:t>6</w:t>
      </w:r>
      <w:r>
        <w:rPr>
          <w:rFonts w:ascii="Times New Roman" w:hAnsi="Times New Roman"/>
          <w:b/>
          <w:bCs/>
          <w:sz w:val="24"/>
          <w:highlight w:val="none"/>
        </w:rPr>
        <w:t xml:space="preserve"> </w:t>
      </w:r>
      <w:r>
        <w:rPr>
          <w:rFonts w:ascii="Times New Roman" w:hAnsi="Times New Roman"/>
          <w:b/>
          <w:bCs/>
          <w:color w:val="000000"/>
          <w:kern w:val="0"/>
          <w:sz w:val="24"/>
          <w:highlight w:val="none"/>
        </w:rPr>
        <w:t xml:space="preserve">GAINS </w:t>
      </w:r>
      <w:r>
        <w:rPr>
          <w:rFonts w:ascii="Times New Roman" w:hAnsi="Times New Roman"/>
          <w:b/>
          <w:bCs/>
          <w:sz w:val="24"/>
          <w:highlight w:val="none"/>
        </w:rPr>
        <w:t>mitigation unit cost (</w:t>
      </w:r>
      <w:r>
        <w:rPr>
          <w:rFonts w:ascii="Times New Roman" w:hAnsi="Times New Roman"/>
          <w:b/>
          <w:bCs/>
          <w:color w:val="000000"/>
          <w:kern w:val="0"/>
          <w:sz w:val="24"/>
          <w:highlight w:val="none"/>
          <w:lang w:bidi="ar"/>
        </w:rPr>
        <w:t>US$ kg N</w:t>
      </w:r>
      <w:r>
        <w:rPr>
          <w:rFonts w:ascii="Times New Roman" w:hAnsi="Times New Roman"/>
          <w:b/>
          <w:bCs/>
          <w:color w:val="000000"/>
          <w:kern w:val="0"/>
          <w:sz w:val="24"/>
          <w:highlight w:val="none"/>
          <w:vertAlign w:val="superscript"/>
          <w:lang w:bidi="ar"/>
        </w:rPr>
        <w:t>-1</w:t>
      </w:r>
      <w:r>
        <w:rPr>
          <w:rFonts w:ascii="Times New Roman" w:hAnsi="Times New Roman"/>
          <w:b/>
          <w:bCs/>
          <w:sz w:val="24"/>
          <w:highlight w:val="none"/>
        </w:rPr>
        <w:t>) by provinces in 2017</w:t>
      </w:r>
      <w:r>
        <w:rPr>
          <w:rFonts w:hint="eastAsia" w:ascii="Times New Roman" w:hAnsi="Times New Roman"/>
          <w:b/>
          <w:bCs/>
          <w:sz w:val="24"/>
          <w:highlight w:val="none"/>
        </w:rPr>
        <w:t>.</w:t>
      </w:r>
      <w:bookmarkEnd w:id="26"/>
    </w:p>
    <w:tbl>
      <w:tblPr>
        <w:tblStyle w:val="10"/>
        <w:tblW w:w="0" w:type="auto"/>
        <w:tblInd w:w="100" w:type="dxa"/>
        <w:tblLayout w:type="autofit"/>
        <w:tblCellMar>
          <w:top w:w="0" w:type="dxa"/>
          <w:left w:w="108" w:type="dxa"/>
          <w:bottom w:w="0" w:type="dxa"/>
          <w:right w:w="108" w:type="dxa"/>
        </w:tblCellMar>
      </w:tblPr>
      <w:tblGrid>
        <w:gridCol w:w="1716"/>
        <w:gridCol w:w="1577"/>
        <w:gridCol w:w="1773"/>
        <w:gridCol w:w="2050"/>
        <w:gridCol w:w="222"/>
        <w:gridCol w:w="1336"/>
        <w:gridCol w:w="1577"/>
        <w:gridCol w:w="1773"/>
        <w:gridCol w:w="2050"/>
      </w:tblGrid>
      <w:tr>
        <w:tblPrEx>
          <w:tblCellMar>
            <w:top w:w="0" w:type="dxa"/>
            <w:left w:w="108" w:type="dxa"/>
            <w:bottom w:w="0" w:type="dxa"/>
            <w:right w:w="108" w:type="dxa"/>
          </w:tblCellMar>
        </w:tblPrEx>
        <w:trPr>
          <w:trHeight w:val="277" w:hRule="atLeast"/>
        </w:trPr>
        <w:tc>
          <w:tcPr>
            <w:tcW w:w="0" w:type="auto"/>
            <w:vMerge w:val="restart"/>
            <w:tcBorders>
              <w:top w:val="single" w:color="000000" w:sz="4" w:space="0"/>
              <w:left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Province</w:t>
            </w:r>
          </w:p>
        </w:tc>
        <w:tc>
          <w:tcPr>
            <w:tcW w:w="0" w:type="auto"/>
            <w:vMerge w:val="restart"/>
            <w:tcBorders>
              <w:top w:val="single" w:color="000000" w:sz="4" w:space="0"/>
              <w:left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Abbreviation</w:t>
            </w:r>
          </w:p>
        </w:tc>
        <w:tc>
          <w:tcPr>
            <w:tcW w:w="0" w:type="auto"/>
            <w:gridSpan w:val="2"/>
            <w:tcBorders>
              <w:top w:val="single" w:color="000000" w:sz="4" w:space="0"/>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Mitigation unit cost of industrial upgrading</w:t>
            </w:r>
          </w:p>
        </w:tc>
        <w:tc>
          <w:tcPr>
            <w:tcW w:w="0" w:type="auto"/>
            <w:tcBorders>
              <w:top w:val="single" w:color="auto" w:sz="4" w:space="0"/>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vMerge w:val="restart"/>
            <w:tcBorders>
              <w:top w:val="single" w:color="000000" w:sz="4" w:space="0"/>
              <w:left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Province</w:t>
            </w:r>
          </w:p>
        </w:tc>
        <w:tc>
          <w:tcPr>
            <w:tcW w:w="0" w:type="auto"/>
            <w:vMerge w:val="restart"/>
            <w:tcBorders>
              <w:top w:val="single" w:color="000000" w:sz="4" w:space="0"/>
              <w:left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Abbreviation</w:t>
            </w:r>
          </w:p>
        </w:tc>
        <w:tc>
          <w:tcPr>
            <w:tcW w:w="0" w:type="auto"/>
            <w:gridSpan w:val="2"/>
            <w:tcBorders>
              <w:top w:val="single" w:color="000000" w:sz="4" w:space="0"/>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Mitigation unit cost of industrial upgrading</w:t>
            </w:r>
          </w:p>
        </w:tc>
      </w:tr>
      <w:tr>
        <w:tblPrEx>
          <w:tblCellMar>
            <w:top w:w="0" w:type="dxa"/>
            <w:left w:w="108" w:type="dxa"/>
            <w:bottom w:w="0" w:type="dxa"/>
            <w:right w:w="108" w:type="dxa"/>
          </w:tblCellMar>
        </w:tblPrEx>
        <w:trPr>
          <w:trHeight w:val="363" w:hRule="atLeast"/>
        </w:trPr>
        <w:tc>
          <w:tcPr>
            <w:tcW w:w="0" w:type="auto"/>
            <w:vMerge w:val="continue"/>
            <w:tcBorders>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p>
        </w:tc>
        <w:tc>
          <w:tcPr>
            <w:tcW w:w="0" w:type="auto"/>
            <w:vMerge w:val="continue"/>
            <w:tcBorders>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p>
        </w:tc>
        <w:tc>
          <w:tcPr>
            <w:tcW w:w="0" w:type="auto"/>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NH</w:t>
            </w:r>
            <w:r>
              <w:rPr>
                <w:rFonts w:ascii="Times New Roman" w:hAnsi="Times New Roman"/>
                <w:b/>
                <w:bCs/>
                <w:color w:val="000000"/>
                <w:kern w:val="0"/>
                <w:sz w:val="24"/>
                <w:highlight w:val="none"/>
                <w:vertAlign w:val="subscript"/>
                <w:lang w:bidi="ar"/>
              </w:rPr>
              <w:t>3</w:t>
            </w:r>
          </w:p>
        </w:tc>
        <w:tc>
          <w:tcPr>
            <w:tcW w:w="0" w:type="auto"/>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NO</w:t>
            </w:r>
            <w:r>
              <w:rPr>
                <w:rFonts w:ascii="Times New Roman" w:hAnsi="Times New Roman"/>
                <w:b/>
                <w:bCs/>
                <w:color w:val="000000"/>
                <w:kern w:val="0"/>
                <w:sz w:val="24"/>
                <w:highlight w:val="none"/>
                <w:vertAlign w:val="subscript"/>
                <w:lang w:bidi="ar"/>
              </w:rPr>
              <w:t>x</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vMerge w:val="continue"/>
            <w:tcBorders>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p>
        </w:tc>
        <w:tc>
          <w:tcPr>
            <w:tcW w:w="0" w:type="auto"/>
            <w:vMerge w:val="continue"/>
            <w:tcBorders>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p>
        </w:tc>
        <w:tc>
          <w:tcPr>
            <w:tcW w:w="0" w:type="auto"/>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NH</w:t>
            </w:r>
            <w:r>
              <w:rPr>
                <w:rFonts w:ascii="Times New Roman" w:hAnsi="Times New Roman"/>
                <w:b/>
                <w:bCs/>
                <w:color w:val="000000"/>
                <w:kern w:val="0"/>
                <w:sz w:val="24"/>
                <w:highlight w:val="none"/>
                <w:vertAlign w:val="subscript"/>
                <w:lang w:bidi="ar"/>
              </w:rPr>
              <w:t>3</w:t>
            </w:r>
          </w:p>
        </w:tc>
        <w:tc>
          <w:tcPr>
            <w:tcW w:w="0" w:type="auto"/>
            <w:tcBorders>
              <w:top w:val="nil"/>
              <w:left w:val="nil"/>
              <w:bottom w:val="single" w:color="000000" w:sz="4" w:space="0"/>
              <w:right w:val="nil"/>
            </w:tcBorders>
            <w:shd w:val="clear" w:color="auto" w:fill="auto"/>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NO</w:t>
            </w:r>
            <w:r>
              <w:rPr>
                <w:rFonts w:ascii="Times New Roman" w:hAnsi="Times New Roman"/>
                <w:b/>
                <w:bCs/>
                <w:color w:val="000000"/>
                <w:kern w:val="0"/>
                <w:sz w:val="24"/>
                <w:highlight w:val="none"/>
                <w:vertAlign w:val="subscript"/>
                <w:lang w:bidi="ar"/>
              </w:rPr>
              <w:t>x</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Beijing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themeColor="text1"/>
                <w:sz w:val="24"/>
                <w:highlight w:val="none"/>
                <w14:textFill>
                  <w14:solidFill>
                    <w14:schemeClr w14:val="tx1"/>
                  </w14:solidFill>
                </w14:textFill>
              </w:rPr>
            </w:pPr>
            <w:r>
              <w:rPr>
                <w:rFonts w:ascii="Times New Roman" w:hAnsi="Times New Roman"/>
                <w:color w:val="000000" w:themeColor="text1"/>
                <w:kern w:val="0"/>
                <w:sz w:val="24"/>
                <w:highlight w:val="none"/>
                <w:lang w:bidi="ar"/>
                <w14:textFill>
                  <w14:solidFill>
                    <w14:schemeClr w14:val="tx1"/>
                  </w14:solidFill>
                </w14:textFill>
              </w:rPr>
              <w:t>BJ</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themeColor="text1"/>
                <w:sz w:val="24"/>
                <w:highlight w:val="none"/>
                <w14:textFill>
                  <w14:solidFill>
                    <w14:schemeClr w14:val="tx1"/>
                  </w14:solidFill>
                </w14:textFill>
              </w:rPr>
            </w:pPr>
            <w:r>
              <w:rPr>
                <w:rFonts w:ascii="Times New Roman" w:hAnsi="Times New Roman"/>
                <w:color w:val="000000" w:themeColor="text1"/>
                <w:kern w:val="0"/>
                <w:sz w:val="24"/>
                <w:highlight w:val="none"/>
                <w:lang w:bidi="ar"/>
                <w14:textFill>
                  <w14:solidFill>
                    <w14:schemeClr w14:val="tx1"/>
                  </w14:solidFill>
                </w14:textFill>
              </w:rPr>
              <w:t xml:space="preserve">2.30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25.56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Hubei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HB</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1.65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10.30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Tianjin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TJ</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2.11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33.10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Hunan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2.03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11.43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Hebei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HB</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1.53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20.48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Guangdong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GD</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1.13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4.27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Shanxi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SX</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2.76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15.01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Guangxi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GX</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2.08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8.77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Inner Mongolia</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NMG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2.18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17.85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Hainan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1.99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2.06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Liaoning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LN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2.33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22.91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Chongqing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CQ</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2.38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5.77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Jilin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JL</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1.72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16.47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Sichuan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SC</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2.49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6.09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Heilongjiang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HLJ</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2.27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16.80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Guizhou</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GZ</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2.41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11.04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Shanghai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SH</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2.40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4.99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Yunnan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YN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2.23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5.83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Jiangsu</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JS</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1.06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4.92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Tibet</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XZ</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2.05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0.46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Zhejiang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ZJ</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1.32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5.62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Shannxi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SX</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4.11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15.12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Anhui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AH</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1.61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12.04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Gansu</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GS</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3.25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23.55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Fujian</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FJ</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2.18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5.94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Qinghai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QH</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4.01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8.19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Jiangxi</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JX</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2.39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11.89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Ningxia</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NX</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3.96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18.07 </w:t>
            </w:r>
          </w:p>
        </w:tc>
      </w:tr>
      <w:tr>
        <w:tblPrEx>
          <w:tblCellMar>
            <w:top w:w="0" w:type="dxa"/>
            <w:left w:w="108" w:type="dxa"/>
            <w:bottom w:w="0" w:type="dxa"/>
            <w:right w:w="108" w:type="dxa"/>
          </w:tblCellMar>
        </w:tblPrEx>
        <w:trPr>
          <w:trHeight w:val="277" w:hRule="atLeast"/>
        </w:trPr>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Shandong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SD</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1.95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9.99 </w:t>
            </w:r>
          </w:p>
        </w:tc>
        <w:tc>
          <w:tcPr>
            <w:tcW w:w="0" w:type="auto"/>
            <w:tcBorders>
              <w:top w:val="nil"/>
              <w:left w:val="nil"/>
              <w:bottom w:val="nil"/>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Xinjiang</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XJ</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3.21 </w:t>
            </w:r>
          </w:p>
        </w:tc>
        <w:tc>
          <w:tcPr>
            <w:tcW w:w="0" w:type="auto"/>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13.26 </w:t>
            </w:r>
          </w:p>
        </w:tc>
      </w:tr>
      <w:tr>
        <w:tblPrEx>
          <w:tblCellMar>
            <w:top w:w="0" w:type="dxa"/>
            <w:left w:w="108" w:type="dxa"/>
            <w:bottom w:w="0" w:type="dxa"/>
            <w:right w:w="108" w:type="dxa"/>
          </w:tblCellMar>
        </w:tblPrEx>
        <w:trPr>
          <w:trHeight w:val="277" w:hRule="atLeast"/>
        </w:trPr>
        <w:tc>
          <w:tcPr>
            <w:tcW w:w="0" w:type="auto"/>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Henan</w:t>
            </w:r>
          </w:p>
        </w:tc>
        <w:tc>
          <w:tcPr>
            <w:tcW w:w="0" w:type="auto"/>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HN</w:t>
            </w:r>
          </w:p>
        </w:tc>
        <w:tc>
          <w:tcPr>
            <w:tcW w:w="0" w:type="auto"/>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1.37 </w:t>
            </w:r>
          </w:p>
        </w:tc>
        <w:tc>
          <w:tcPr>
            <w:tcW w:w="0" w:type="auto"/>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 xml:space="preserve">13.76 </w:t>
            </w:r>
          </w:p>
        </w:tc>
        <w:tc>
          <w:tcPr>
            <w:tcW w:w="0" w:type="auto"/>
            <w:tcBorders>
              <w:top w:val="nil"/>
              <w:left w:val="nil"/>
              <w:bottom w:val="single" w:color="000000" w:sz="4" w:space="0"/>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single" w:color="000000" w:sz="4" w:space="0"/>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single" w:color="000000" w:sz="4" w:space="0"/>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single" w:color="000000" w:sz="4" w:space="0"/>
              <w:right w:val="nil"/>
            </w:tcBorders>
            <w:shd w:val="clear" w:color="auto" w:fill="auto"/>
            <w:noWrap/>
            <w:vAlign w:val="center"/>
          </w:tcPr>
          <w:p>
            <w:pPr>
              <w:spacing w:line="300" w:lineRule="auto"/>
              <w:rPr>
                <w:rFonts w:ascii="Times New Roman" w:hAnsi="Times New Roman" w:eastAsia="等线"/>
                <w:color w:val="000000"/>
                <w:sz w:val="24"/>
                <w:highlight w:val="none"/>
              </w:rPr>
            </w:pPr>
          </w:p>
        </w:tc>
        <w:tc>
          <w:tcPr>
            <w:tcW w:w="0" w:type="auto"/>
            <w:tcBorders>
              <w:top w:val="nil"/>
              <w:left w:val="nil"/>
              <w:bottom w:val="single" w:color="000000" w:sz="4" w:space="0"/>
              <w:right w:val="nil"/>
            </w:tcBorders>
            <w:shd w:val="clear" w:color="auto" w:fill="auto"/>
            <w:noWrap/>
            <w:vAlign w:val="center"/>
          </w:tcPr>
          <w:p>
            <w:pPr>
              <w:spacing w:line="300" w:lineRule="auto"/>
              <w:rPr>
                <w:rFonts w:ascii="Times New Roman" w:hAnsi="Times New Roman" w:eastAsia="等线"/>
                <w:color w:val="000000"/>
                <w:sz w:val="24"/>
                <w:highlight w:val="none"/>
              </w:rPr>
            </w:pPr>
          </w:p>
        </w:tc>
      </w:tr>
    </w:tbl>
    <w:p>
      <w:pPr>
        <w:spacing w:line="300" w:lineRule="auto"/>
        <w:rPr>
          <w:rFonts w:ascii="Times New Roman" w:hAnsi="Times New Roman"/>
          <w:sz w:val="24"/>
          <w:highlight w:val="none"/>
        </w:rPr>
      </w:pPr>
      <w:r>
        <w:rPr>
          <w:rFonts w:ascii="Times New Roman" w:hAnsi="Times New Roman"/>
          <w:sz w:val="24"/>
          <w:highlight w:val="none"/>
        </w:rPr>
        <w:t>Note: original cost data are derived from Zhu et al. (2022)</w:t>
      </w:r>
      <w:r>
        <w:rPr>
          <w:rFonts w:ascii="Times New Roman" w:hAnsi="Times New Roman"/>
          <w:sz w:val="24"/>
          <w:highlight w:val="none"/>
        </w:rPr>
        <w:fldChar w:fldCharType="begin"/>
      </w:r>
      <w:r>
        <w:rPr>
          <w:rFonts w:hint="eastAsia" w:ascii="Times New Roman" w:hAnsi="Times New Roman"/>
          <w:sz w:val="24"/>
          <w:highlight w:val="none"/>
          <w:lang w:eastAsia="zh-CN"/>
        </w:rPr>
        <w:instrText xml:space="preserve"> ADDIN NE.Ref.{8C6AC91B-FB26-4751-9DE3-FBA1A4A5FE5B}</w:instrText>
      </w:r>
      <w:r>
        <w:rPr>
          <w:rFonts w:ascii="Times New Roman" w:hAnsi="Times New Roman"/>
          <w:sz w:val="24"/>
          <w:highlight w:val="none"/>
        </w:rPr>
        <w:fldChar w:fldCharType="separate"/>
      </w:r>
      <w:r>
        <w:rPr>
          <w:rFonts w:hint="eastAsia" w:ascii="宋体" w:hAnsi="宋体"/>
          <w:color w:val="080000"/>
          <w:sz w:val="21"/>
          <w:szCs w:val="24"/>
          <w:highlight w:val="none"/>
          <w:vertAlign w:val="superscript"/>
        </w:rPr>
        <w:t>3</w:t>
      </w:r>
      <w:r>
        <w:rPr>
          <w:rFonts w:ascii="Times New Roman" w:hAnsi="Times New Roman"/>
          <w:sz w:val="24"/>
          <w:highlight w:val="none"/>
        </w:rPr>
        <w:fldChar w:fldCharType="end"/>
      </w:r>
      <w:r>
        <w:rPr>
          <w:rFonts w:hint="eastAsia" w:ascii="Times New Roman" w:hAnsi="Times New Roman"/>
          <w:sz w:val="24"/>
          <w:highlight w:val="none"/>
          <w:lang w:val="en-US" w:eastAsia="zh-CN"/>
        </w:rPr>
        <w:t xml:space="preserve"> </w:t>
      </w:r>
      <w:r>
        <w:rPr>
          <w:rFonts w:ascii="Times New Roman" w:hAnsi="Times New Roman"/>
          <w:sz w:val="24"/>
          <w:highlight w:val="none"/>
        </w:rPr>
        <w:t>and Zhang et al. (2020)</w:t>
      </w:r>
      <w:r>
        <w:rPr>
          <w:rFonts w:ascii="Times New Roman" w:hAnsi="Times New Roman"/>
          <w:sz w:val="24"/>
          <w:highlight w:val="none"/>
        </w:rPr>
        <w:fldChar w:fldCharType="begin"/>
      </w:r>
      <w:r>
        <w:rPr>
          <w:rFonts w:hint="eastAsia" w:ascii="Times New Roman" w:hAnsi="Times New Roman"/>
          <w:sz w:val="24"/>
          <w:highlight w:val="none"/>
          <w:lang w:eastAsia="zh-CN"/>
        </w:rPr>
        <w:instrText xml:space="preserve"> ADDIN NE.Ref.{B948389A-0184-4314-9F77-FCD67D2588C4}</w:instrText>
      </w:r>
      <w:r>
        <w:rPr>
          <w:rFonts w:ascii="Times New Roman" w:hAnsi="Times New Roman"/>
          <w:sz w:val="24"/>
          <w:highlight w:val="none"/>
        </w:rPr>
        <w:fldChar w:fldCharType="separate"/>
      </w:r>
      <w:r>
        <w:rPr>
          <w:rFonts w:hint="eastAsia" w:ascii="宋体" w:hAnsi="宋体"/>
          <w:color w:val="080000"/>
          <w:sz w:val="21"/>
          <w:szCs w:val="24"/>
          <w:highlight w:val="none"/>
          <w:vertAlign w:val="superscript"/>
        </w:rPr>
        <w:t>18</w:t>
      </w:r>
      <w:r>
        <w:rPr>
          <w:rFonts w:ascii="Times New Roman" w:hAnsi="Times New Roman"/>
          <w:sz w:val="24"/>
          <w:highlight w:val="none"/>
        </w:rPr>
        <w:fldChar w:fldCharType="end"/>
      </w:r>
    </w:p>
    <w:p>
      <w:pPr>
        <w:spacing w:line="300" w:lineRule="auto"/>
        <w:rPr>
          <w:rFonts w:ascii="Times New Roman" w:hAnsi="Times New Roman"/>
          <w:sz w:val="24"/>
          <w:highlight w:val="none"/>
        </w:rPr>
      </w:pPr>
      <w:r>
        <w:rPr>
          <w:rFonts w:ascii="Times New Roman" w:hAnsi="Times New Roman"/>
          <w:sz w:val="24"/>
          <w:highlight w:val="none"/>
        </w:rPr>
        <w:br w:type="page"/>
      </w:r>
    </w:p>
    <w:p>
      <w:pPr>
        <w:spacing w:line="300" w:lineRule="auto"/>
        <w:rPr>
          <w:rFonts w:ascii="Times New Roman" w:hAnsi="Times New Roman"/>
          <w:color w:val="000000"/>
          <w:kern w:val="0"/>
          <w:sz w:val="24"/>
          <w:highlight w:val="none"/>
        </w:rPr>
      </w:pPr>
    </w:p>
    <w:p>
      <w:pPr>
        <w:spacing w:line="300" w:lineRule="auto"/>
        <w:outlineLvl w:val="0"/>
        <w:rPr>
          <w:rFonts w:ascii="Times New Roman" w:hAnsi="Times New Roman"/>
          <w:b/>
          <w:bCs/>
          <w:color w:val="000000"/>
          <w:kern w:val="0"/>
          <w:sz w:val="24"/>
          <w:highlight w:val="none"/>
        </w:rPr>
      </w:pPr>
      <w:bookmarkStart w:id="27" w:name="_Toc7827"/>
      <w:r>
        <w:rPr>
          <w:rFonts w:ascii="Times New Roman" w:hAnsi="Times New Roman"/>
          <w:b/>
          <w:bCs/>
          <w:color w:val="000000"/>
          <w:kern w:val="0"/>
          <w:sz w:val="24"/>
          <w:highlight w:val="none"/>
        </w:rPr>
        <w:t>Table S</w:t>
      </w:r>
      <w:r>
        <w:rPr>
          <w:rFonts w:hint="eastAsia" w:ascii="Times New Roman" w:hAnsi="Times New Roman"/>
          <w:b/>
          <w:bCs/>
          <w:color w:val="000000"/>
          <w:kern w:val="0"/>
          <w:sz w:val="24"/>
          <w:highlight w:val="none"/>
        </w:rPr>
        <w:t>7</w:t>
      </w:r>
      <w:r>
        <w:rPr>
          <w:rFonts w:ascii="Times New Roman" w:hAnsi="Times New Roman"/>
          <w:b/>
          <w:bCs/>
          <w:color w:val="000000"/>
          <w:kern w:val="0"/>
          <w:sz w:val="24"/>
          <w:highlight w:val="none"/>
        </w:rPr>
        <w:t xml:space="preserve"> N</w:t>
      </w:r>
      <w:r>
        <w:rPr>
          <w:rFonts w:ascii="Times New Roman" w:hAnsi="Times New Roman"/>
          <w:b/>
          <w:bCs/>
          <w:color w:val="000000"/>
          <w:kern w:val="0"/>
          <w:sz w:val="24"/>
          <w:highlight w:val="none"/>
          <w:vertAlign w:val="subscript"/>
        </w:rPr>
        <w:t>r</w:t>
      </w:r>
      <w:r>
        <w:rPr>
          <w:rFonts w:ascii="Times New Roman" w:hAnsi="Times New Roman"/>
          <w:b/>
          <w:bCs/>
          <w:color w:val="000000"/>
          <w:kern w:val="0"/>
          <w:sz w:val="24"/>
          <w:highlight w:val="none"/>
        </w:rPr>
        <w:t xml:space="preserve"> </w:t>
      </w:r>
      <w:r>
        <w:rPr>
          <w:rFonts w:hint="eastAsia" w:ascii="Times New Roman" w:hAnsi="Times New Roman"/>
          <w:b/>
          <w:bCs/>
          <w:color w:val="000000"/>
          <w:kern w:val="0"/>
          <w:sz w:val="24"/>
          <w:highlight w:val="none"/>
        </w:rPr>
        <w:t>loss</w:t>
      </w:r>
      <w:r>
        <w:rPr>
          <w:rFonts w:ascii="Times New Roman" w:hAnsi="Times New Roman"/>
          <w:b/>
          <w:bCs/>
          <w:color w:val="000000"/>
          <w:kern w:val="0"/>
          <w:sz w:val="24"/>
          <w:highlight w:val="none"/>
        </w:rPr>
        <w:t xml:space="preserve">-related </w:t>
      </w:r>
      <w:r>
        <w:rPr>
          <w:rFonts w:hint="eastAsia" w:ascii="Times New Roman" w:hAnsi="Times New Roman"/>
          <w:b/>
          <w:bCs/>
          <w:color w:val="000000"/>
          <w:kern w:val="0"/>
          <w:sz w:val="24"/>
          <w:highlight w:val="none"/>
        </w:rPr>
        <w:t>social benefit through urbanization in China</w:t>
      </w:r>
      <w:bookmarkEnd w:id="27"/>
    </w:p>
    <w:tbl>
      <w:tblPr>
        <w:tblStyle w:val="10"/>
        <w:tblW w:w="4999" w:type="pct"/>
        <w:tblInd w:w="0" w:type="dxa"/>
        <w:tblLayout w:type="autofit"/>
        <w:tblCellMar>
          <w:top w:w="0" w:type="dxa"/>
          <w:left w:w="108" w:type="dxa"/>
          <w:bottom w:w="0" w:type="dxa"/>
          <w:right w:w="108" w:type="dxa"/>
        </w:tblCellMar>
      </w:tblPr>
      <w:tblGrid>
        <w:gridCol w:w="1233"/>
        <w:gridCol w:w="2648"/>
        <w:gridCol w:w="2038"/>
        <w:gridCol w:w="1636"/>
        <w:gridCol w:w="604"/>
        <w:gridCol w:w="2520"/>
        <w:gridCol w:w="1939"/>
        <w:gridCol w:w="1553"/>
      </w:tblGrid>
      <w:tr>
        <w:tblPrEx>
          <w:tblCellMar>
            <w:top w:w="0" w:type="dxa"/>
            <w:left w:w="108" w:type="dxa"/>
            <w:bottom w:w="0" w:type="dxa"/>
            <w:right w:w="108" w:type="dxa"/>
          </w:tblCellMar>
        </w:tblPrEx>
        <w:trPr>
          <w:trHeight w:val="277" w:hRule="atLeast"/>
        </w:trPr>
        <w:tc>
          <w:tcPr>
            <w:tcW w:w="2665" w:type="pct"/>
            <w:gridSpan w:val="4"/>
            <w:tcBorders>
              <w:top w:val="single" w:color="000000" w:sz="4" w:space="0"/>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Unit benefit (US$</w:t>
            </w:r>
            <w:r>
              <w:rPr>
                <w:rFonts w:hint="eastAsia" w:ascii="Times New Roman" w:hAnsi="Times New Roman"/>
                <w:b/>
                <w:bCs/>
                <w:color w:val="000000"/>
                <w:kern w:val="0"/>
                <w:sz w:val="22"/>
                <w:szCs w:val="22"/>
                <w:highlight w:val="none"/>
                <w:lang w:bidi="ar"/>
              </w:rPr>
              <w:t xml:space="preserve"> </w:t>
            </w:r>
            <w:r>
              <w:rPr>
                <w:rFonts w:ascii="Times New Roman" w:hAnsi="Times New Roman"/>
                <w:b/>
                <w:bCs/>
                <w:color w:val="000000"/>
                <w:kern w:val="0"/>
                <w:sz w:val="22"/>
                <w:szCs w:val="22"/>
                <w:highlight w:val="none"/>
                <w:lang w:bidi="ar"/>
              </w:rPr>
              <w:t>kg N</w:t>
            </w:r>
            <w:r>
              <w:rPr>
                <w:rFonts w:hint="eastAsia" w:ascii="Times New Roman" w:hAnsi="Times New Roman"/>
                <w:b/>
                <w:bCs/>
                <w:color w:val="000000"/>
                <w:kern w:val="0"/>
                <w:sz w:val="22"/>
                <w:szCs w:val="22"/>
                <w:highlight w:val="none"/>
                <w:vertAlign w:val="superscript"/>
                <w:lang w:bidi="ar"/>
              </w:rPr>
              <w:t>-1</w:t>
            </w:r>
            <w:r>
              <w:rPr>
                <w:rFonts w:ascii="Times New Roman" w:hAnsi="Times New Roman"/>
                <w:b/>
                <w:bCs/>
                <w:color w:val="000000"/>
                <w:kern w:val="0"/>
                <w:sz w:val="22"/>
                <w:szCs w:val="22"/>
                <w:highlight w:val="none"/>
                <w:lang w:bidi="ar"/>
              </w:rPr>
              <w:t xml:space="preserve">) </w:t>
            </w:r>
          </w:p>
        </w:tc>
        <w:tc>
          <w:tcPr>
            <w:tcW w:w="213" w:type="pct"/>
            <w:tcBorders>
              <w:top w:val="single" w:color="000000" w:sz="4" w:space="0"/>
              <w:left w:val="nil"/>
              <w:bottom w:val="nil"/>
              <w:right w:val="nil"/>
            </w:tcBorders>
            <w:shd w:val="clear" w:color="auto" w:fill="auto"/>
            <w:noWrap/>
            <w:vAlign w:val="center"/>
          </w:tcPr>
          <w:p>
            <w:pPr>
              <w:spacing w:line="300" w:lineRule="auto"/>
              <w:jc w:val="center"/>
              <w:rPr>
                <w:rFonts w:ascii="Times New Roman" w:hAnsi="Times New Roman"/>
                <w:b/>
                <w:bCs/>
                <w:color w:val="000000"/>
                <w:sz w:val="22"/>
                <w:szCs w:val="22"/>
                <w:highlight w:val="none"/>
              </w:rPr>
            </w:pPr>
          </w:p>
        </w:tc>
        <w:tc>
          <w:tcPr>
            <w:tcW w:w="2121" w:type="pct"/>
            <w:gridSpan w:val="3"/>
            <w:tcBorders>
              <w:top w:val="single" w:color="000000" w:sz="4" w:space="0"/>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Total benefit (US$ billion)</w:t>
            </w:r>
          </w:p>
        </w:tc>
      </w:tr>
      <w:tr>
        <w:tblPrEx>
          <w:tblCellMar>
            <w:top w:w="0" w:type="dxa"/>
            <w:left w:w="108" w:type="dxa"/>
            <w:bottom w:w="0" w:type="dxa"/>
            <w:right w:w="108" w:type="dxa"/>
          </w:tblCellMar>
        </w:tblPrEx>
        <w:trPr>
          <w:trHeight w:val="277" w:hRule="atLeast"/>
        </w:trPr>
        <w:tc>
          <w:tcPr>
            <w:tcW w:w="435"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934"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Human health</w:t>
            </w:r>
          </w:p>
        </w:tc>
        <w:tc>
          <w:tcPr>
            <w:tcW w:w="719"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 xml:space="preserve">Ecosystem </w:t>
            </w:r>
          </w:p>
        </w:tc>
        <w:tc>
          <w:tcPr>
            <w:tcW w:w="575"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Climate</w:t>
            </w:r>
          </w:p>
        </w:tc>
        <w:tc>
          <w:tcPr>
            <w:tcW w:w="213"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b/>
                <w:bCs/>
                <w:color w:val="000000"/>
                <w:sz w:val="22"/>
                <w:szCs w:val="22"/>
                <w:highlight w:val="none"/>
              </w:rPr>
            </w:pPr>
          </w:p>
        </w:tc>
        <w:tc>
          <w:tcPr>
            <w:tcW w:w="889"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Human health</w:t>
            </w:r>
          </w:p>
        </w:tc>
        <w:tc>
          <w:tcPr>
            <w:tcW w:w="684"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 xml:space="preserve">Ecosystem </w:t>
            </w:r>
          </w:p>
        </w:tc>
        <w:tc>
          <w:tcPr>
            <w:tcW w:w="546"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Climate</w:t>
            </w:r>
          </w:p>
        </w:tc>
      </w:tr>
      <w:tr>
        <w:tblPrEx>
          <w:tblCellMar>
            <w:top w:w="0" w:type="dxa"/>
            <w:left w:w="108" w:type="dxa"/>
            <w:bottom w:w="0" w:type="dxa"/>
            <w:right w:w="108" w:type="dxa"/>
          </w:tblCellMar>
        </w:tblPrEx>
        <w:trPr>
          <w:trHeight w:val="277" w:hRule="atLeast"/>
        </w:trPr>
        <w:tc>
          <w:tcPr>
            <w:tcW w:w="43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NH</w:t>
            </w:r>
            <w:r>
              <w:rPr>
                <w:rFonts w:ascii="Times New Roman" w:hAnsi="Times New Roman"/>
                <w:b/>
                <w:bCs/>
                <w:color w:val="000000"/>
                <w:kern w:val="0"/>
                <w:sz w:val="22"/>
                <w:szCs w:val="22"/>
                <w:highlight w:val="none"/>
                <w:vertAlign w:val="subscript"/>
                <w:lang w:bidi="ar"/>
              </w:rPr>
              <w:t>3</w:t>
            </w:r>
          </w:p>
        </w:tc>
        <w:tc>
          <w:tcPr>
            <w:tcW w:w="93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4.2 </w:t>
            </w:r>
          </w:p>
        </w:tc>
        <w:tc>
          <w:tcPr>
            <w:tcW w:w="71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6.3 </w:t>
            </w:r>
          </w:p>
        </w:tc>
        <w:tc>
          <w:tcPr>
            <w:tcW w:w="57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-1.5 </w:t>
            </w:r>
          </w:p>
        </w:tc>
        <w:tc>
          <w:tcPr>
            <w:tcW w:w="21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252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-26.3 </w:t>
            </w:r>
          </w:p>
        </w:tc>
        <w:tc>
          <w:tcPr>
            <w:tcW w:w="193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-39.4 </w:t>
            </w:r>
          </w:p>
        </w:tc>
        <w:tc>
          <w:tcPr>
            <w:tcW w:w="155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9.4 </w:t>
            </w:r>
          </w:p>
        </w:tc>
      </w:tr>
      <w:tr>
        <w:tblPrEx>
          <w:tblCellMar>
            <w:top w:w="0" w:type="dxa"/>
            <w:left w:w="108" w:type="dxa"/>
            <w:bottom w:w="0" w:type="dxa"/>
            <w:right w:w="108" w:type="dxa"/>
          </w:tblCellMar>
        </w:tblPrEx>
        <w:trPr>
          <w:trHeight w:val="277" w:hRule="atLeast"/>
        </w:trPr>
        <w:tc>
          <w:tcPr>
            <w:tcW w:w="43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NO</w:t>
            </w:r>
            <w:r>
              <w:rPr>
                <w:rFonts w:ascii="Times New Roman" w:hAnsi="Times New Roman"/>
                <w:b/>
                <w:bCs/>
                <w:color w:val="000000"/>
                <w:kern w:val="0"/>
                <w:sz w:val="22"/>
                <w:szCs w:val="22"/>
                <w:highlight w:val="none"/>
                <w:vertAlign w:val="subscript"/>
                <w:lang w:bidi="ar"/>
              </w:rPr>
              <w:t>x</w:t>
            </w:r>
          </w:p>
        </w:tc>
        <w:tc>
          <w:tcPr>
            <w:tcW w:w="93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18.7 </w:t>
            </w:r>
          </w:p>
        </w:tc>
        <w:tc>
          <w:tcPr>
            <w:tcW w:w="71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8.1 </w:t>
            </w:r>
          </w:p>
        </w:tc>
        <w:tc>
          <w:tcPr>
            <w:tcW w:w="57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-3.6 </w:t>
            </w:r>
          </w:p>
        </w:tc>
        <w:tc>
          <w:tcPr>
            <w:tcW w:w="21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252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-33.1 </w:t>
            </w:r>
          </w:p>
        </w:tc>
        <w:tc>
          <w:tcPr>
            <w:tcW w:w="193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-14.3 </w:t>
            </w:r>
          </w:p>
        </w:tc>
        <w:tc>
          <w:tcPr>
            <w:tcW w:w="155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6.4 </w:t>
            </w:r>
          </w:p>
        </w:tc>
      </w:tr>
      <w:tr>
        <w:tblPrEx>
          <w:tblCellMar>
            <w:top w:w="0" w:type="dxa"/>
            <w:left w:w="108" w:type="dxa"/>
            <w:bottom w:w="0" w:type="dxa"/>
            <w:right w:w="108" w:type="dxa"/>
          </w:tblCellMar>
        </w:tblPrEx>
        <w:trPr>
          <w:trHeight w:val="277" w:hRule="atLeast"/>
        </w:trPr>
        <w:tc>
          <w:tcPr>
            <w:tcW w:w="43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N</w:t>
            </w:r>
            <w:r>
              <w:rPr>
                <w:rFonts w:ascii="Times New Roman" w:hAnsi="Times New Roman"/>
                <w:b/>
                <w:bCs/>
                <w:color w:val="000000"/>
                <w:kern w:val="0"/>
                <w:sz w:val="22"/>
                <w:szCs w:val="22"/>
                <w:highlight w:val="none"/>
                <w:vertAlign w:val="subscript"/>
                <w:lang w:bidi="ar"/>
              </w:rPr>
              <w:t>2</w:t>
            </w:r>
            <w:r>
              <w:rPr>
                <w:rFonts w:hint="eastAsia" w:ascii="Times New Roman" w:hAnsi="Times New Roman"/>
                <w:b/>
                <w:bCs/>
                <w:color w:val="000000"/>
                <w:kern w:val="0"/>
                <w:sz w:val="22"/>
                <w:szCs w:val="22"/>
                <w:highlight w:val="none"/>
                <w:lang w:bidi="ar"/>
              </w:rPr>
              <w:t>O</w:t>
            </w:r>
          </w:p>
        </w:tc>
        <w:tc>
          <w:tcPr>
            <w:tcW w:w="93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1.1 </w:t>
            </w:r>
          </w:p>
        </w:tc>
        <w:tc>
          <w:tcPr>
            <w:tcW w:w="71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1.1 </w:t>
            </w:r>
          </w:p>
        </w:tc>
        <w:tc>
          <w:tcPr>
            <w:tcW w:w="57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11.9 </w:t>
            </w:r>
          </w:p>
        </w:tc>
        <w:tc>
          <w:tcPr>
            <w:tcW w:w="21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252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-0.6 </w:t>
            </w:r>
          </w:p>
        </w:tc>
        <w:tc>
          <w:tcPr>
            <w:tcW w:w="193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-0.6 </w:t>
            </w:r>
          </w:p>
        </w:tc>
        <w:tc>
          <w:tcPr>
            <w:tcW w:w="155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-6.3 </w:t>
            </w:r>
          </w:p>
        </w:tc>
      </w:tr>
      <w:tr>
        <w:tblPrEx>
          <w:tblCellMar>
            <w:top w:w="0" w:type="dxa"/>
            <w:left w:w="108" w:type="dxa"/>
            <w:bottom w:w="0" w:type="dxa"/>
            <w:right w:w="108" w:type="dxa"/>
          </w:tblCellMar>
        </w:tblPrEx>
        <w:trPr>
          <w:trHeight w:val="277" w:hRule="atLeast"/>
        </w:trPr>
        <w:tc>
          <w:tcPr>
            <w:tcW w:w="43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NO</w:t>
            </w:r>
            <w:r>
              <w:rPr>
                <w:rFonts w:ascii="Times New Roman" w:hAnsi="Times New Roman"/>
                <w:b/>
                <w:bCs/>
                <w:color w:val="000000"/>
                <w:kern w:val="0"/>
                <w:sz w:val="22"/>
                <w:szCs w:val="22"/>
                <w:highlight w:val="none"/>
                <w:vertAlign w:val="subscript"/>
                <w:lang w:bidi="ar"/>
              </w:rPr>
              <w:t>3</w:t>
            </w:r>
            <w:r>
              <w:rPr>
                <w:rFonts w:ascii="Times New Roman" w:hAnsi="Times New Roman"/>
                <w:b/>
                <w:bCs/>
                <w:color w:val="000000"/>
                <w:kern w:val="0"/>
                <w:sz w:val="22"/>
                <w:szCs w:val="22"/>
                <w:highlight w:val="none"/>
                <w:vertAlign w:val="superscript"/>
                <w:lang w:bidi="ar"/>
              </w:rPr>
              <w:t>-</w:t>
            </w:r>
          </w:p>
        </w:tc>
        <w:tc>
          <w:tcPr>
            <w:tcW w:w="934"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2.0 </w:t>
            </w:r>
          </w:p>
        </w:tc>
        <w:tc>
          <w:tcPr>
            <w:tcW w:w="719"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13.2 </w:t>
            </w:r>
          </w:p>
        </w:tc>
        <w:tc>
          <w:tcPr>
            <w:tcW w:w="575"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2"/>
                <w:szCs w:val="22"/>
                <w:highlight w:val="none"/>
              </w:rPr>
            </w:pPr>
            <w:r>
              <w:rPr>
                <w:rFonts w:ascii="Times New Roman" w:hAnsi="Times New Roman"/>
                <w:color w:val="000000"/>
                <w:kern w:val="0"/>
                <w:sz w:val="22"/>
                <w:szCs w:val="22"/>
                <w:highlight w:val="none"/>
                <w:lang w:bidi="ar"/>
              </w:rPr>
              <w:t xml:space="preserve">0.0 </w:t>
            </w:r>
          </w:p>
        </w:tc>
        <w:tc>
          <w:tcPr>
            <w:tcW w:w="21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252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-15.0 </w:t>
            </w:r>
          </w:p>
        </w:tc>
        <w:tc>
          <w:tcPr>
            <w:tcW w:w="193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-101.4 </w:t>
            </w:r>
          </w:p>
        </w:tc>
        <w:tc>
          <w:tcPr>
            <w:tcW w:w="155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0.0 </w:t>
            </w:r>
          </w:p>
        </w:tc>
      </w:tr>
      <w:tr>
        <w:tblPrEx>
          <w:tblCellMar>
            <w:top w:w="0" w:type="dxa"/>
            <w:left w:w="108" w:type="dxa"/>
            <w:bottom w:w="0" w:type="dxa"/>
            <w:right w:w="108" w:type="dxa"/>
          </w:tblCellMar>
        </w:tblPrEx>
        <w:trPr>
          <w:trHeight w:val="277" w:hRule="atLeast"/>
        </w:trPr>
        <w:tc>
          <w:tcPr>
            <w:tcW w:w="435" w:type="pct"/>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b/>
                <w:bCs/>
                <w:color w:val="000000"/>
                <w:sz w:val="22"/>
                <w:szCs w:val="22"/>
                <w:highlight w:val="none"/>
              </w:rPr>
            </w:pPr>
            <w:r>
              <w:rPr>
                <w:rFonts w:ascii="Times New Roman" w:hAnsi="Times New Roman"/>
                <w:b/>
                <w:bCs/>
                <w:color w:val="000000"/>
                <w:kern w:val="0"/>
                <w:sz w:val="22"/>
                <w:szCs w:val="22"/>
                <w:highlight w:val="none"/>
                <w:lang w:bidi="ar"/>
              </w:rPr>
              <w:t>SUM</w:t>
            </w:r>
          </w:p>
        </w:tc>
        <w:tc>
          <w:tcPr>
            <w:tcW w:w="934"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719"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575"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213" w:type="pct"/>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color w:val="000000"/>
                <w:sz w:val="22"/>
                <w:szCs w:val="22"/>
                <w:highlight w:val="none"/>
              </w:rPr>
            </w:pPr>
          </w:p>
        </w:tc>
        <w:tc>
          <w:tcPr>
            <w:tcW w:w="2520"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-74.9 </w:t>
            </w:r>
          </w:p>
        </w:tc>
        <w:tc>
          <w:tcPr>
            <w:tcW w:w="1939"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-155.7 </w:t>
            </w:r>
          </w:p>
        </w:tc>
        <w:tc>
          <w:tcPr>
            <w:tcW w:w="1553"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color w:val="000000"/>
                <w:sz w:val="22"/>
                <w:szCs w:val="22"/>
                <w:highlight w:val="none"/>
              </w:rPr>
            </w:pPr>
            <w:r>
              <w:rPr>
                <w:rFonts w:ascii="Times New Roman" w:hAnsi="Times New Roman" w:eastAsia="等线"/>
                <w:color w:val="000000"/>
                <w:kern w:val="0"/>
                <w:sz w:val="22"/>
                <w:szCs w:val="22"/>
                <w:highlight w:val="none"/>
                <w:lang w:bidi="ar"/>
              </w:rPr>
              <w:t xml:space="preserve">9.5 </w:t>
            </w:r>
          </w:p>
        </w:tc>
      </w:tr>
    </w:tbl>
    <w:p>
      <w:pPr>
        <w:spacing w:line="300" w:lineRule="auto"/>
        <w:rPr>
          <w:rFonts w:ascii="Times New Roman" w:hAnsi="Times New Roman"/>
          <w:sz w:val="24"/>
          <w:highlight w:val="none"/>
        </w:rPr>
      </w:pPr>
      <w:r>
        <w:rPr>
          <w:rFonts w:ascii="Times New Roman" w:hAnsi="Times New Roman"/>
          <w:sz w:val="24"/>
          <w:highlight w:val="none"/>
        </w:rPr>
        <w:t>Note: original</w:t>
      </w:r>
      <w:r>
        <w:rPr>
          <w:rFonts w:hint="eastAsia" w:ascii="Times New Roman" w:hAnsi="Times New Roman"/>
          <w:sz w:val="24"/>
          <w:highlight w:val="none"/>
        </w:rPr>
        <w:t xml:space="preserve"> unit</w:t>
      </w:r>
      <w:r>
        <w:rPr>
          <w:rFonts w:ascii="Times New Roman" w:hAnsi="Times New Roman"/>
          <w:sz w:val="24"/>
          <w:highlight w:val="none"/>
        </w:rPr>
        <w:t xml:space="preserve"> cost data are derived from Zhu et al. (2022)</w:t>
      </w:r>
      <w:r>
        <w:rPr>
          <w:rFonts w:ascii="Times New Roman" w:hAnsi="Times New Roman"/>
          <w:sz w:val="24"/>
          <w:highlight w:val="none"/>
        </w:rPr>
        <w:fldChar w:fldCharType="begin"/>
      </w:r>
      <w:r>
        <w:rPr>
          <w:rFonts w:hint="eastAsia" w:ascii="Times New Roman" w:hAnsi="Times New Roman"/>
          <w:sz w:val="24"/>
          <w:highlight w:val="none"/>
          <w:lang w:eastAsia="zh-CN"/>
        </w:rPr>
        <w:instrText xml:space="preserve"> ADDIN NE.Ref.{BEC503C9-AF87-47FE-BA36-4BBCA9F655A0}</w:instrText>
      </w:r>
      <w:r>
        <w:rPr>
          <w:rFonts w:ascii="Times New Roman" w:hAnsi="Times New Roman"/>
          <w:sz w:val="24"/>
          <w:highlight w:val="none"/>
        </w:rPr>
        <w:fldChar w:fldCharType="separate"/>
      </w:r>
      <w:r>
        <w:rPr>
          <w:rFonts w:hint="eastAsia" w:ascii="宋体" w:hAnsi="宋体"/>
          <w:color w:val="080000"/>
          <w:sz w:val="21"/>
          <w:szCs w:val="24"/>
          <w:highlight w:val="none"/>
          <w:vertAlign w:val="superscript"/>
        </w:rPr>
        <w:t>3</w:t>
      </w:r>
      <w:r>
        <w:rPr>
          <w:rFonts w:ascii="Times New Roman" w:hAnsi="Times New Roman"/>
          <w:sz w:val="24"/>
          <w:highlight w:val="none"/>
        </w:rPr>
        <w:fldChar w:fldCharType="end"/>
      </w:r>
      <w:r>
        <w:rPr>
          <w:rFonts w:hint="eastAsia" w:ascii="Times New Roman" w:hAnsi="Times New Roman"/>
          <w:sz w:val="24"/>
          <w:highlight w:val="none"/>
        </w:rPr>
        <w:t xml:space="preserve"> </w:t>
      </w:r>
    </w:p>
    <w:p>
      <w:pPr>
        <w:spacing w:line="300" w:lineRule="auto"/>
        <w:rPr>
          <w:rFonts w:ascii="Times New Roman" w:hAnsi="Times New Roman"/>
          <w:sz w:val="24"/>
          <w:highlight w:val="none"/>
        </w:rPr>
      </w:pPr>
      <w:r>
        <w:rPr>
          <w:rFonts w:hint="eastAsia" w:ascii="Times New Roman" w:hAnsi="Times New Roman"/>
          <w:sz w:val="24"/>
          <w:highlight w:val="none"/>
        </w:rPr>
        <w:br w:type="page"/>
      </w:r>
    </w:p>
    <w:p>
      <w:pPr>
        <w:spacing w:line="300" w:lineRule="auto"/>
        <w:rPr>
          <w:rFonts w:ascii="Times New Roman" w:hAnsi="Times New Roman"/>
          <w:sz w:val="24"/>
          <w:highlight w:val="none"/>
        </w:rPr>
      </w:pPr>
    </w:p>
    <w:p>
      <w:pPr>
        <w:spacing w:line="300" w:lineRule="auto"/>
        <w:outlineLvl w:val="0"/>
        <w:rPr>
          <w:rFonts w:ascii="Times New Roman" w:hAnsi="Times New Roman"/>
          <w:b/>
          <w:bCs/>
          <w:color w:val="000000"/>
          <w:kern w:val="0"/>
          <w:sz w:val="24"/>
          <w:highlight w:val="none"/>
        </w:rPr>
      </w:pPr>
      <w:bookmarkStart w:id="28" w:name="_Toc23944"/>
      <w:r>
        <w:rPr>
          <w:rFonts w:ascii="Times New Roman" w:hAnsi="Times New Roman"/>
          <w:b/>
          <w:bCs/>
          <w:color w:val="000000"/>
          <w:kern w:val="0"/>
          <w:sz w:val="24"/>
          <w:highlight w:val="none"/>
        </w:rPr>
        <w:t>Table S</w:t>
      </w:r>
      <w:r>
        <w:rPr>
          <w:rFonts w:hint="eastAsia" w:ascii="Times New Roman" w:hAnsi="Times New Roman"/>
          <w:b/>
          <w:bCs/>
          <w:color w:val="000000"/>
          <w:kern w:val="0"/>
          <w:sz w:val="24"/>
          <w:highlight w:val="none"/>
        </w:rPr>
        <w:t xml:space="preserve">8 </w:t>
      </w:r>
      <w:r>
        <w:rPr>
          <w:rFonts w:ascii="Times New Roman" w:hAnsi="Times New Roman"/>
          <w:b/>
          <w:bCs/>
          <w:color w:val="000000"/>
          <w:kern w:val="0"/>
          <w:sz w:val="24"/>
          <w:highlight w:val="none"/>
        </w:rPr>
        <w:t>Cost-benefit analysis of China’s regional divisions.</w:t>
      </w:r>
      <w:bookmarkEnd w:id="28"/>
    </w:p>
    <w:tbl>
      <w:tblPr>
        <w:tblStyle w:val="10"/>
        <w:tblpPr w:leftFromText="180" w:rightFromText="180" w:vertAnchor="text" w:horzAnchor="page" w:tblpX="1429" w:tblpY="283"/>
        <w:tblOverlap w:val="never"/>
        <w:tblW w:w="0" w:type="auto"/>
        <w:tblInd w:w="0" w:type="dxa"/>
        <w:tblLayout w:type="fixed"/>
        <w:tblCellMar>
          <w:top w:w="0" w:type="dxa"/>
          <w:left w:w="108" w:type="dxa"/>
          <w:bottom w:w="0" w:type="dxa"/>
          <w:right w:w="108" w:type="dxa"/>
        </w:tblCellMar>
      </w:tblPr>
      <w:tblGrid>
        <w:gridCol w:w="1023"/>
        <w:gridCol w:w="2671"/>
        <w:gridCol w:w="10773"/>
      </w:tblGrid>
      <w:tr>
        <w:tblPrEx>
          <w:tblCellMar>
            <w:top w:w="0" w:type="dxa"/>
            <w:left w:w="108" w:type="dxa"/>
            <w:bottom w:w="0" w:type="dxa"/>
            <w:right w:w="108" w:type="dxa"/>
          </w:tblCellMar>
        </w:tblPrEx>
        <w:trPr>
          <w:trHeight w:val="280" w:hRule="atLeast"/>
        </w:trPr>
        <w:tc>
          <w:tcPr>
            <w:tcW w:w="1023" w:type="dxa"/>
            <w:tcBorders>
              <w:top w:val="single" w:color="000000"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Region code</w:t>
            </w:r>
          </w:p>
        </w:tc>
        <w:tc>
          <w:tcPr>
            <w:tcW w:w="2671" w:type="dxa"/>
            <w:tcBorders>
              <w:top w:val="single" w:color="000000"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Explanation</w:t>
            </w:r>
          </w:p>
        </w:tc>
        <w:tc>
          <w:tcPr>
            <w:tcW w:w="10773" w:type="dxa"/>
            <w:tcBorders>
              <w:top w:val="single" w:color="000000"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Contains province</w:t>
            </w:r>
          </w:p>
        </w:tc>
      </w:tr>
      <w:tr>
        <w:tblPrEx>
          <w:tblCellMar>
            <w:top w:w="0" w:type="dxa"/>
            <w:left w:w="108" w:type="dxa"/>
            <w:bottom w:w="0" w:type="dxa"/>
            <w:right w:w="108" w:type="dxa"/>
          </w:tblCellMar>
        </w:tblPrEx>
        <w:trPr>
          <w:trHeight w:val="472" w:hRule="atLeast"/>
        </w:trPr>
        <w:tc>
          <w:tcPr>
            <w:tcW w:w="1023"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kern w:val="0"/>
                <w:sz w:val="24"/>
                <w:highlight w:val="none"/>
                <w:lang w:bidi="ar"/>
              </w:rPr>
              <w:t>IR</w:t>
            </w:r>
          </w:p>
        </w:tc>
        <w:tc>
          <w:tcPr>
            <w:tcW w:w="2671"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hint="eastAsia" w:ascii="Times New Roman" w:hAnsi="Times New Roman" w:eastAsia="等线"/>
                <w:color w:val="000000"/>
                <w:kern w:val="0"/>
                <w:sz w:val="24"/>
                <w:highlight w:val="none"/>
                <w:lang w:bidi="ar"/>
              </w:rPr>
              <w:t>I</w:t>
            </w:r>
            <w:r>
              <w:rPr>
                <w:rFonts w:ascii="Times New Roman" w:hAnsi="Times New Roman" w:eastAsia="等线"/>
                <w:color w:val="000000"/>
                <w:kern w:val="0"/>
                <w:sz w:val="24"/>
                <w:highlight w:val="none"/>
                <w:lang w:bidi="ar"/>
              </w:rPr>
              <w:t>nflow region</w:t>
            </w:r>
          </w:p>
        </w:tc>
        <w:tc>
          <w:tcPr>
            <w:tcW w:w="10773" w:type="dxa"/>
            <w:tcBorders>
              <w:top w:val="nil"/>
              <w:left w:val="nil"/>
              <w:bottom w:val="nil"/>
              <w:right w:val="nil"/>
            </w:tcBorders>
            <w:shd w:val="clear" w:color="auto" w:fill="auto"/>
            <w:noWrap/>
            <w:vAlign w:val="center"/>
          </w:tcPr>
          <w:p>
            <w:pPr>
              <w:widowControl/>
              <w:spacing w:line="300" w:lineRule="auto"/>
              <w:jc w:val="left"/>
              <w:textAlignment w:val="center"/>
              <w:rPr>
                <w:rFonts w:ascii="Times New Roman" w:hAnsi="Times New Roman" w:eastAsia="等线"/>
                <w:color w:val="000000"/>
                <w:kern w:val="0"/>
                <w:sz w:val="24"/>
                <w:highlight w:val="none"/>
                <w:lang w:bidi="ar"/>
              </w:rPr>
            </w:pPr>
            <w:r>
              <w:rPr>
                <w:rFonts w:ascii="Times New Roman" w:hAnsi="Times New Roman" w:eastAsia="等线"/>
                <w:color w:val="000000"/>
                <w:kern w:val="0"/>
                <w:sz w:val="24"/>
                <w:highlight w:val="none"/>
                <w:lang w:bidi="ar"/>
              </w:rPr>
              <w:t>Beijing, Tianjin, Shanghai, Jiangsu, Zhejiang, Fujian, Guangdong, Chongqing</w:t>
            </w:r>
          </w:p>
        </w:tc>
      </w:tr>
      <w:tr>
        <w:tblPrEx>
          <w:tblCellMar>
            <w:top w:w="0" w:type="dxa"/>
            <w:left w:w="108" w:type="dxa"/>
            <w:bottom w:w="0" w:type="dxa"/>
            <w:right w:w="108" w:type="dxa"/>
          </w:tblCellMar>
        </w:tblPrEx>
        <w:trPr>
          <w:trHeight w:val="447" w:hRule="atLeast"/>
        </w:trPr>
        <w:tc>
          <w:tcPr>
            <w:tcW w:w="1023" w:type="dxa"/>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r>
              <w:rPr>
                <w:rFonts w:hint="eastAsia" w:ascii="Times New Roman" w:hAnsi="Times New Roman"/>
                <w:color w:val="000000"/>
                <w:sz w:val="24"/>
                <w:highlight w:val="none"/>
              </w:rPr>
              <w:t>DOR</w:t>
            </w:r>
          </w:p>
        </w:tc>
        <w:tc>
          <w:tcPr>
            <w:tcW w:w="2671" w:type="dxa"/>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r>
              <w:rPr>
                <w:rFonts w:hint="eastAsia" w:ascii="Times New Roman" w:hAnsi="Times New Roman" w:eastAsia="等线"/>
                <w:color w:val="000000"/>
                <w:sz w:val="24"/>
                <w:highlight w:val="none"/>
              </w:rPr>
              <w:t>Developed outflow region</w:t>
            </w:r>
          </w:p>
        </w:tc>
        <w:tc>
          <w:tcPr>
            <w:tcW w:w="10773" w:type="dxa"/>
            <w:tcBorders>
              <w:top w:val="nil"/>
              <w:left w:val="nil"/>
              <w:bottom w:val="nil"/>
              <w:right w:val="nil"/>
            </w:tcBorders>
            <w:shd w:val="clear" w:color="auto" w:fill="auto"/>
            <w:noWrap/>
            <w:vAlign w:val="center"/>
          </w:tcPr>
          <w:p>
            <w:pPr>
              <w:widowControl/>
              <w:spacing w:line="300" w:lineRule="auto"/>
              <w:jc w:val="left"/>
              <w:textAlignment w:val="center"/>
              <w:rPr>
                <w:rFonts w:ascii="Times New Roman" w:hAnsi="Times New Roman" w:eastAsia="等线"/>
                <w:color w:val="000000"/>
                <w:kern w:val="0"/>
                <w:sz w:val="24"/>
                <w:highlight w:val="none"/>
                <w:lang w:bidi="ar"/>
              </w:rPr>
            </w:pPr>
            <w:r>
              <w:rPr>
                <w:rFonts w:ascii="Times New Roman" w:hAnsi="Times New Roman" w:eastAsia="等线"/>
                <w:color w:val="000000"/>
                <w:kern w:val="0"/>
                <w:sz w:val="24"/>
                <w:highlight w:val="none"/>
                <w:lang w:bidi="ar"/>
              </w:rPr>
              <w:t>Hebei, Shanxi, liaoning, Anhui, Jiangxi, Shandong, Henan, Hubei, Hunan, Guangxi, Hainan, Sichuan, Guizhou, Shannxi</w:t>
            </w:r>
          </w:p>
        </w:tc>
      </w:tr>
      <w:tr>
        <w:tblPrEx>
          <w:tblCellMar>
            <w:top w:w="0" w:type="dxa"/>
            <w:left w:w="108" w:type="dxa"/>
            <w:bottom w:w="0" w:type="dxa"/>
            <w:right w:w="108" w:type="dxa"/>
          </w:tblCellMar>
        </w:tblPrEx>
        <w:trPr>
          <w:trHeight w:val="280" w:hRule="atLeast"/>
        </w:trPr>
        <w:tc>
          <w:tcPr>
            <w:tcW w:w="1023" w:type="dxa"/>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sz w:val="24"/>
                <w:highlight w:val="none"/>
              </w:rPr>
              <w:t>LOR</w:t>
            </w:r>
          </w:p>
        </w:tc>
        <w:tc>
          <w:tcPr>
            <w:tcW w:w="2671" w:type="dxa"/>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hint="eastAsia" w:ascii="Times New Roman" w:hAnsi="Times New Roman" w:eastAsia="等线"/>
                <w:color w:val="000000"/>
                <w:kern w:val="0"/>
                <w:sz w:val="24"/>
                <w:highlight w:val="none"/>
                <w:lang w:bidi="ar"/>
              </w:rPr>
              <w:t>Less developed outflow region</w:t>
            </w:r>
          </w:p>
        </w:tc>
        <w:tc>
          <w:tcPr>
            <w:tcW w:w="10773" w:type="dxa"/>
            <w:tcBorders>
              <w:top w:val="nil"/>
              <w:left w:val="nil"/>
              <w:bottom w:val="single" w:color="auto" w:sz="4" w:space="0"/>
              <w:right w:val="nil"/>
            </w:tcBorders>
            <w:shd w:val="clear" w:color="auto" w:fill="auto"/>
            <w:vAlign w:val="center"/>
          </w:tcPr>
          <w:p>
            <w:pPr>
              <w:widowControl/>
              <w:spacing w:line="300" w:lineRule="auto"/>
              <w:jc w:val="left"/>
              <w:textAlignment w:val="center"/>
              <w:rPr>
                <w:rFonts w:ascii="Times New Roman" w:hAnsi="Times New Roman" w:eastAsia="等线"/>
                <w:color w:val="000000"/>
                <w:kern w:val="0"/>
                <w:sz w:val="24"/>
                <w:highlight w:val="none"/>
                <w:lang w:bidi="ar"/>
              </w:rPr>
            </w:pPr>
            <w:r>
              <w:rPr>
                <w:rFonts w:ascii="Times New Roman" w:hAnsi="Times New Roman" w:eastAsia="等线"/>
                <w:color w:val="000000"/>
                <w:kern w:val="0"/>
                <w:sz w:val="24"/>
                <w:highlight w:val="none"/>
                <w:lang w:bidi="ar"/>
              </w:rPr>
              <w:t>Inner Mongolia,</w:t>
            </w:r>
            <w:r>
              <w:rPr>
                <w:rFonts w:hint="eastAsia" w:ascii="Times New Roman" w:hAnsi="Times New Roman" w:eastAsia="等线"/>
                <w:color w:val="000000"/>
                <w:kern w:val="0"/>
                <w:sz w:val="24"/>
                <w:highlight w:val="none"/>
                <w:lang w:bidi="ar"/>
              </w:rPr>
              <w:t xml:space="preserve"> </w:t>
            </w:r>
            <w:r>
              <w:rPr>
                <w:rFonts w:ascii="Times New Roman" w:hAnsi="Times New Roman" w:eastAsia="等线"/>
                <w:color w:val="000000"/>
                <w:kern w:val="0"/>
                <w:sz w:val="24"/>
                <w:highlight w:val="none"/>
                <w:lang w:bidi="ar"/>
              </w:rPr>
              <w:t>Jilin, Heilongjiang, Yunnan, Tibet, Gansu, Qinghai, Ningxia, Xinjiang</w:t>
            </w:r>
          </w:p>
        </w:tc>
      </w:tr>
    </w:tbl>
    <w:p>
      <w:pPr>
        <w:spacing w:line="300" w:lineRule="auto"/>
        <w:rPr>
          <w:rFonts w:ascii="Times New Roman" w:hAnsi="Times New Roman"/>
          <w:sz w:val="24"/>
          <w:highlight w:val="none"/>
        </w:rPr>
      </w:pPr>
      <w:r>
        <w:rPr>
          <w:rFonts w:hint="eastAsia" w:ascii="Times New Roman" w:hAnsi="Times New Roman"/>
          <w:sz w:val="24"/>
          <w:highlight w:val="none"/>
        </w:rPr>
        <w:t xml:space="preserve">Note: The region division is based on population change during urbanization and GDP per capta of each provinces. </w:t>
      </w:r>
    </w:p>
    <w:p>
      <w:pPr>
        <w:spacing w:line="300" w:lineRule="auto"/>
        <w:rPr>
          <w:rFonts w:ascii="Times New Roman" w:hAnsi="Times New Roman"/>
          <w:sz w:val="24"/>
          <w:highlight w:val="none"/>
        </w:rPr>
      </w:pPr>
    </w:p>
    <w:p>
      <w:pPr>
        <w:spacing w:line="300" w:lineRule="auto"/>
        <w:rPr>
          <w:rFonts w:ascii="Times New Roman" w:hAnsi="Times New Roman"/>
          <w:b/>
          <w:bCs/>
          <w:color w:val="000000"/>
          <w:kern w:val="0"/>
          <w:sz w:val="24"/>
          <w:highlight w:val="none"/>
        </w:rPr>
      </w:pPr>
      <w:bookmarkStart w:id="29" w:name="_Toc7352"/>
      <w:r>
        <w:rPr>
          <w:rFonts w:hint="eastAsia" w:ascii="Times New Roman" w:hAnsi="Times New Roman"/>
          <w:b/>
          <w:bCs/>
          <w:color w:val="000000"/>
          <w:kern w:val="0"/>
          <w:sz w:val="24"/>
          <w:highlight w:val="none"/>
        </w:rPr>
        <w:br w:type="page"/>
      </w:r>
    </w:p>
    <w:p>
      <w:pPr>
        <w:spacing w:line="300" w:lineRule="auto"/>
        <w:outlineLvl w:val="0"/>
        <w:rPr>
          <w:rFonts w:ascii="Times New Roman" w:hAnsi="Times New Roman"/>
          <w:b/>
          <w:bCs/>
          <w:sz w:val="24"/>
          <w:highlight w:val="none"/>
        </w:rPr>
      </w:pPr>
      <w:bookmarkStart w:id="30" w:name="_Toc30493"/>
      <w:r>
        <w:rPr>
          <w:rFonts w:ascii="Times New Roman" w:hAnsi="Times New Roman"/>
          <w:b/>
          <w:bCs/>
          <w:color w:val="000000"/>
          <w:kern w:val="0"/>
          <w:sz w:val="24"/>
          <w:highlight w:val="none"/>
        </w:rPr>
        <w:t>Table S</w:t>
      </w:r>
      <w:r>
        <w:rPr>
          <w:rFonts w:hint="eastAsia" w:ascii="Times New Roman" w:hAnsi="Times New Roman"/>
          <w:b/>
          <w:bCs/>
          <w:color w:val="000000"/>
          <w:kern w:val="0"/>
          <w:sz w:val="24"/>
          <w:highlight w:val="none"/>
        </w:rPr>
        <w:t xml:space="preserve">9 </w:t>
      </w:r>
      <w:r>
        <w:rPr>
          <w:rFonts w:ascii="Times New Roman" w:hAnsi="Times New Roman"/>
          <w:b/>
          <w:bCs/>
          <w:sz w:val="24"/>
          <w:highlight w:val="none"/>
        </w:rPr>
        <w:t>Investment cost of sewage/garbage projects from Public-Private Partnership Service Platform of China.</w:t>
      </w:r>
      <w:bookmarkEnd w:id="29"/>
      <w:bookmarkEnd w:id="30"/>
    </w:p>
    <w:tbl>
      <w:tblPr>
        <w:tblStyle w:val="10"/>
        <w:tblW w:w="0" w:type="auto"/>
        <w:tblInd w:w="0" w:type="dxa"/>
        <w:tblLayout w:type="autofit"/>
        <w:tblCellMar>
          <w:top w:w="0" w:type="dxa"/>
          <w:left w:w="108" w:type="dxa"/>
          <w:bottom w:w="0" w:type="dxa"/>
          <w:right w:w="108" w:type="dxa"/>
        </w:tblCellMar>
      </w:tblPr>
      <w:tblGrid>
        <w:gridCol w:w="1337"/>
        <w:gridCol w:w="1157"/>
        <w:gridCol w:w="1349"/>
        <w:gridCol w:w="1576"/>
        <w:gridCol w:w="221"/>
        <w:gridCol w:w="1179"/>
        <w:gridCol w:w="1246"/>
        <w:gridCol w:w="1503"/>
        <w:gridCol w:w="221"/>
        <w:gridCol w:w="1296"/>
        <w:gridCol w:w="1411"/>
        <w:gridCol w:w="1678"/>
      </w:tblGrid>
      <w:tr>
        <w:tblPrEx>
          <w:tblCellMar>
            <w:top w:w="0" w:type="dxa"/>
            <w:left w:w="108" w:type="dxa"/>
            <w:bottom w:w="0" w:type="dxa"/>
            <w:right w:w="108" w:type="dxa"/>
          </w:tblCellMar>
        </w:tblPrEx>
        <w:trPr>
          <w:trHeight w:val="860" w:hRule="atLeast"/>
        </w:trPr>
        <w:tc>
          <w:tcPr>
            <w:tcW w:w="0" w:type="auto"/>
            <w:vMerge w:val="restart"/>
            <w:tcBorders>
              <w:top w:val="single" w:color="000000" w:sz="4" w:space="0"/>
              <w:left w:val="nil"/>
              <w:bottom w:val="single" w:color="000000" w:sz="4" w:space="0"/>
              <w:right w:val="nil"/>
            </w:tcBorders>
            <w:shd w:val="clear" w:color="auto" w:fill="FFFFFF"/>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Region code</w:t>
            </w:r>
          </w:p>
        </w:tc>
        <w:tc>
          <w:tcPr>
            <w:tcW w:w="0" w:type="auto"/>
            <w:gridSpan w:val="3"/>
            <w:tcBorders>
              <w:top w:val="single" w:color="000000" w:sz="4" w:space="0"/>
              <w:left w:val="nil"/>
              <w:bottom w:val="single" w:color="000000" w:sz="4" w:space="0"/>
              <w:right w:val="nil"/>
            </w:tcBorders>
            <w:shd w:val="clear" w:color="auto" w:fill="FFFFFF"/>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Investment projects for sewage treatment</w:t>
            </w:r>
          </w:p>
        </w:tc>
        <w:tc>
          <w:tcPr>
            <w:tcW w:w="0" w:type="auto"/>
            <w:tcBorders>
              <w:top w:val="single" w:color="000000" w:sz="4" w:space="0"/>
              <w:left w:val="nil"/>
              <w:bottom w:val="nil"/>
              <w:right w:val="nil"/>
            </w:tcBorders>
            <w:shd w:val="clear" w:color="auto" w:fill="FFFFFF"/>
            <w:noWrap/>
            <w:vAlign w:val="center"/>
          </w:tcPr>
          <w:p>
            <w:pPr>
              <w:spacing w:line="300" w:lineRule="auto"/>
              <w:jc w:val="center"/>
              <w:rPr>
                <w:rFonts w:ascii="Times New Roman" w:hAnsi="Times New Roman" w:eastAsia="等线"/>
                <w:color w:val="000000"/>
                <w:sz w:val="24"/>
                <w:highlight w:val="none"/>
              </w:rPr>
            </w:pPr>
          </w:p>
        </w:tc>
        <w:tc>
          <w:tcPr>
            <w:tcW w:w="0" w:type="auto"/>
            <w:gridSpan w:val="3"/>
            <w:tcBorders>
              <w:top w:val="single" w:color="000000" w:sz="4" w:space="0"/>
              <w:left w:val="nil"/>
              <w:bottom w:val="single" w:color="000000" w:sz="4" w:space="0"/>
              <w:right w:val="nil"/>
            </w:tcBorders>
            <w:shd w:val="clear" w:color="auto" w:fill="FFFFFF"/>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Investment projects for garbage landfill</w:t>
            </w:r>
          </w:p>
        </w:tc>
        <w:tc>
          <w:tcPr>
            <w:tcW w:w="0" w:type="auto"/>
            <w:tcBorders>
              <w:top w:val="single" w:color="000000" w:sz="4" w:space="0"/>
              <w:left w:val="nil"/>
              <w:bottom w:val="nil"/>
              <w:right w:val="nil"/>
            </w:tcBorders>
            <w:shd w:val="clear" w:color="auto" w:fill="FFFFFF"/>
            <w:noWrap/>
            <w:vAlign w:val="center"/>
          </w:tcPr>
          <w:p>
            <w:pPr>
              <w:spacing w:line="300" w:lineRule="auto"/>
              <w:jc w:val="center"/>
              <w:rPr>
                <w:rFonts w:ascii="Times New Roman" w:hAnsi="Times New Roman" w:eastAsia="等线"/>
                <w:color w:val="000000"/>
                <w:sz w:val="24"/>
                <w:highlight w:val="none"/>
              </w:rPr>
            </w:pPr>
          </w:p>
        </w:tc>
        <w:tc>
          <w:tcPr>
            <w:tcW w:w="0" w:type="auto"/>
            <w:gridSpan w:val="3"/>
            <w:tcBorders>
              <w:top w:val="single" w:color="000000" w:sz="4" w:space="0"/>
              <w:left w:val="nil"/>
              <w:bottom w:val="single" w:color="000000" w:sz="4" w:space="0"/>
              <w:right w:val="nil"/>
            </w:tcBorders>
            <w:shd w:val="clear" w:color="auto" w:fill="FFFFFF"/>
            <w:noWrap/>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Investment projects for garbage incineration</w:t>
            </w:r>
          </w:p>
        </w:tc>
      </w:tr>
      <w:tr>
        <w:tblPrEx>
          <w:tblCellMar>
            <w:top w:w="0" w:type="dxa"/>
            <w:left w:w="108" w:type="dxa"/>
            <w:bottom w:w="0" w:type="dxa"/>
            <w:right w:w="108" w:type="dxa"/>
          </w:tblCellMar>
        </w:tblPrEx>
        <w:trPr>
          <w:trHeight w:val="765" w:hRule="atLeast"/>
        </w:trPr>
        <w:tc>
          <w:tcPr>
            <w:tcW w:w="0" w:type="auto"/>
            <w:vMerge w:val="continue"/>
            <w:tcBorders>
              <w:top w:val="single" w:color="000000" w:sz="4" w:space="0"/>
              <w:left w:val="nil"/>
              <w:bottom w:val="single" w:color="000000" w:sz="4" w:space="0"/>
              <w:right w:val="nil"/>
            </w:tcBorders>
            <w:shd w:val="clear" w:color="auto" w:fill="FFFFFF"/>
            <w:noWrap/>
            <w:vAlign w:val="center"/>
          </w:tcPr>
          <w:p>
            <w:pPr>
              <w:spacing w:line="300" w:lineRule="auto"/>
              <w:jc w:val="center"/>
              <w:rPr>
                <w:rFonts w:ascii="Times New Roman" w:hAnsi="Times New Roman" w:eastAsia="等线"/>
                <w:b/>
                <w:bCs/>
                <w:color w:val="000000"/>
                <w:sz w:val="24"/>
                <w:highlight w:val="none"/>
              </w:rPr>
            </w:pP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No. of projects</w:t>
            </w: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Mean (</w:t>
            </w: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m</w:t>
            </w:r>
            <w:r>
              <w:rPr>
                <w:rFonts w:hint="eastAsia" w:ascii="Times New Roman" w:hAnsi="Times New Roman" w:eastAsia="等线"/>
                <w:b/>
                <w:bCs/>
                <w:color w:val="000000"/>
                <w:kern w:val="0"/>
                <w:sz w:val="24"/>
                <w:highlight w:val="none"/>
                <w:vertAlign w:val="superscript"/>
                <w:lang w:bidi="ar"/>
              </w:rPr>
              <w:t>-</w:t>
            </w:r>
            <w:r>
              <w:rPr>
                <w:rFonts w:ascii="Times New Roman" w:hAnsi="Times New Roman" w:eastAsia="等线"/>
                <w:b/>
                <w:bCs/>
                <w:color w:val="000000"/>
                <w:kern w:val="0"/>
                <w:sz w:val="24"/>
                <w:highlight w:val="none"/>
                <w:vertAlign w:val="superscript"/>
                <w:lang w:bidi="ar"/>
              </w:rPr>
              <w:t>3</w:t>
            </w:r>
            <w:r>
              <w:rPr>
                <w:rFonts w:ascii="Times New Roman" w:hAnsi="Times New Roman" w:eastAsia="等线"/>
                <w:b/>
                <w:bCs/>
                <w:color w:val="000000"/>
                <w:kern w:val="0"/>
                <w:sz w:val="24"/>
                <w:highlight w:val="none"/>
                <w:lang w:bidi="ar"/>
              </w:rPr>
              <w:t>)</w:t>
            </w: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Range (</w:t>
            </w: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m</w:t>
            </w:r>
            <w:r>
              <w:rPr>
                <w:rFonts w:hint="eastAsia" w:ascii="Times New Roman" w:hAnsi="Times New Roman" w:eastAsia="等线"/>
                <w:b/>
                <w:bCs/>
                <w:color w:val="000000"/>
                <w:kern w:val="0"/>
                <w:sz w:val="24"/>
                <w:highlight w:val="none"/>
                <w:vertAlign w:val="superscript"/>
                <w:lang w:bidi="ar"/>
              </w:rPr>
              <w:t>-</w:t>
            </w:r>
            <w:r>
              <w:rPr>
                <w:rFonts w:ascii="Times New Roman" w:hAnsi="Times New Roman" w:eastAsia="等线"/>
                <w:b/>
                <w:bCs/>
                <w:color w:val="000000"/>
                <w:kern w:val="0"/>
                <w:sz w:val="24"/>
                <w:highlight w:val="none"/>
                <w:vertAlign w:val="superscript"/>
                <w:lang w:bidi="ar"/>
              </w:rPr>
              <w:t>3</w:t>
            </w:r>
            <w:r>
              <w:rPr>
                <w:rFonts w:ascii="Times New Roman" w:hAnsi="Times New Roman" w:eastAsia="等线"/>
                <w:b/>
                <w:bCs/>
                <w:color w:val="000000"/>
                <w:kern w:val="0"/>
                <w:sz w:val="24"/>
                <w:highlight w:val="none"/>
                <w:lang w:bidi="ar"/>
              </w:rPr>
              <w:t>)</w:t>
            </w:r>
          </w:p>
        </w:tc>
        <w:tc>
          <w:tcPr>
            <w:tcW w:w="0" w:type="auto"/>
            <w:tcBorders>
              <w:top w:val="nil"/>
              <w:left w:val="nil"/>
              <w:bottom w:val="single" w:color="000000" w:sz="4" w:space="0"/>
              <w:right w:val="nil"/>
            </w:tcBorders>
            <w:shd w:val="clear" w:color="auto" w:fill="FFFFFF"/>
            <w:noWrap/>
            <w:vAlign w:val="center"/>
          </w:tcPr>
          <w:p>
            <w:pPr>
              <w:spacing w:line="300" w:lineRule="auto"/>
              <w:jc w:val="center"/>
              <w:rPr>
                <w:rFonts w:ascii="Times New Roman" w:hAnsi="Times New Roman" w:eastAsia="等线"/>
                <w:color w:val="000000"/>
                <w:sz w:val="24"/>
                <w:highlight w:val="none"/>
              </w:rPr>
            </w:pP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No. of projects</w:t>
            </w: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 xml:space="preserve">Mean (million </w:t>
            </w: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t</w:t>
            </w:r>
            <w:r>
              <w:rPr>
                <w:rFonts w:hint="eastAsia" w:ascii="Times New Roman" w:hAnsi="Times New Roman" w:eastAsia="等线"/>
                <w:b/>
                <w:bCs/>
                <w:color w:val="000000"/>
                <w:kern w:val="0"/>
                <w:sz w:val="24"/>
                <w:highlight w:val="none"/>
                <w:vertAlign w:val="superscript"/>
                <w:lang w:bidi="ar"/>
              </w:rPr>
              <w:t>-1</w:t>
            </w:r>
            <w:r>
              <w:rPr>
                <w:rFonts w:ascii="Times New Roman" w:hAnsi="Times New Roman" w:eastAsia="等线"/>
                <w:b/>
                <w:bCs/>
                <w:color w:val="000000"/>
                <w:kern w:val="0"/>
                <w:sz w:val="24"/>
                <w:highlight w:val="none"/>
                <w:lang w:bidi="ar"/>
              </w:rPr>
              <w:t>)</w:t>
            </w: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 xml:space="preserve">Range (million </w:t>
            </w: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t</w:t>
            </w:r>
            <w:r>
              <w:rPr>
                <w:rFonts w:hint="eastAsia" w:ascii="Times New Roman" w:hAnsi="Times New Roman" w:eastAsia="等线"/>
                <w:b/>
                <w:bCs/>
                <w:color w:val="000000"/>
                <w:kern w:val="0"/>
                <w:sz w:val="24"/>
                <w:highlight w:val="none"/>
                <w:vertAlign w:val="superscript"/>
                <w:lang w:bidi="ar"/>
              </w:rPr>
              <w:t>-1</w:t>
            </w:r>
            <w:r>
              <w:rPr>
                <w:rFonts w:ascii="Times New Roman" w:hAnsi="Times New Roman" w:eastAsia="等线"/>
                <w:b/>
                <w:bCs/>
                <w:color w:val="000000"/>
                <w:kern w:val="0"/>
                <w:sz w:val="24"/>
                <w:highlight w:val="none"/>
                <w:lang w:bidi="ar"/>
              </w:rPr>
              <w:t>)</w:t>
            </w:r>
          </w:p>
        </w:tc>
        <w:tc>
          <w:tcPr>
            <w:tcW w:w="0" w:type="auto"/>
            <w:tcBorders>
              <w:top w:val="nil"/>
              <w:left w:val="nil"/>
              <w:bottom w:val="single" w:color="000000" w:sz="4" w:space="0"/>
              <w:right w:val="nil"/>
            </w:tcBorders>
            <w:shd w:val="clear" w:color="auto" w:fill="FFFFFF"/>
            <w:noWrap/>
            <w:vAlign w:val="center"/>
          </w:tcPr>
          <w:p>
            <w:pPr>
              <w:spacing w:line="300" w:lineRule="auto"/>
              <w:jc w:val="center"/>
              <w:rPr>
                <w:rFonts w:ascii="Times New Roman" w:hAnsi="Times New Roman" w:eastAsia="等线"/>
                <w:color w:val="000000"/>
                <w:sz w:val="24"/>
                <w:highlight w:val="none"/>
              </w:rPr>
            </w:pP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No. of projects</w:t>
            </w: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 xml:space="preserve">Mean (million </w:t>
            </w: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t</w:t>
            </w:r>
            <w:r>
              <w:rPr>
                <w:rFonts w:hint="eastAsia" w:ascii="Times New Roman" w:hAnsi="Times New Roman" w:eastAsia="等线"/>
                <w:b/>
                <w:bCs/>
                <w:color w:val="000000"/>
                <w:kern w:val="0"/>
                <w:sz w:val="24"/>
                <w:highlight w:val="none"/>
                <w:vertAlign w:val="superscript"/>
                <w:lang w:bidi="ar"/>
              </w:rPr>
              <w:t>-1</w:t>
            </w:r>
            <w:r>
              <w:rPr>
                <w:rFonts w:ascii="Times New Roman" w:hAnsi="Times New Roman" w:eastAsia="等线"/>
                <w:b/>
                <w:bCs/>
                <w:color w:val="000000"/>
                <w:kern w:val="0"/>
                <w:sz w:val="24"/>
                <w:highlight w:val="none"/>
                <w:lang w:bidi="ar"/>
              </w:rPr>
              <w:t>)</w:t>
            </w:r>
          </w:p>
        </w:tc>
        <w:tc>
          <w:tcPr>
            <w:tcW w:w="0" w:type="auto"/>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 xml:space="preserve">Range (million </w:t>
            </w: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eastAsia="等线"/>
                <w:b/>
                <w:bCs/>
                <w:color w:val="000000"/>
                <w:kern w:val="0"/>
                <w:sz w:val="24"/>
                <w:highlight w:val="none"/>
                <w:lang w:bidi="ar"/>
              </w:rPr>
              <w:t>t</w:t>
            </w:r>
            <w:r>
              <w:rPr>
                <w:rFonts w:hint="eastAsia" w:ascii="Times New Roman" w:hAnsi="Times New Roman" w:eastAsia="等线"/>
                <w:b/>
                <w:bCs/>
                <w:color w:val="000000"/>
                <w:kern w:val="0"/>
                <w:sz w:val="24"/>
                <w:highlight w:val="none"/>
                <w:vertAlign w:val="superscript"/>
                <w:lang w:bidi="ar"/>
              </w:rPr>
              <w:t>-1</w:t>
            </w:r>
            <w:r>
              <w:rPr>
                <w:rFonts w:ascii="Times New Roman" w:hAnsi="Times New Roman" w:eastAsia="等线"/>
                <w:b/>
                <w:bCs/>
                <w:color w:val="000000"/>
                <w:kern w:val="0"/>
                <w:sz w:val="24"/>
                <w:highlight w:val="none"/>
                <w:lang w:bidi="ar"/>
              </w:rPr>
              <w:t>)</w:t>
            </w:r>
          </w:p>
        </w:tc>
      </w:tr>
      <w:tr>
        <w:tblPrEx>
          <w:tblCellMar>
            <w:top w:w="0" w:type="dxa"/>
            <w:left w:w="108" w:type="dxa"/>
            <w:bottom w:w="0" w:type="dxa"/>
            <w:right w:w="108" w:type="dxa"/>
          </w:tblCellMar>
        </w:tblPrEx>
        <w:trPr>
          <w:trHeight w:val="300" w:hRule="atLeast"/>
        </w:trPr>
        <w:tc>
          <w:tcPr>
            <w:tcW w:w="1337"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kern w:val="0"/>
                <w:sz w:val="24"/>
                <w:highlight w:val="none"/>
                <w:lang w:bidi="ar"/>
              </w:rPr>
              <w:t>IR</w:t>
            </w:r>
          </w:p>
        </w:tc>
        <w:tc>
          <w:tcPr>
            <w:tcW w:w="1154"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26</w:t>
            </w:r>
          </w:p>
        </w:tc>
        <w:tc>
          <w:tcPr>
            <w:tcW w:w="1349"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 xml:space="preserve">1875 </w:t>
            </w:r>
          </w:p>
        </w:tc>
        <w:tc>
          <w:tcPr>
            <w:tcW w:w="158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403 - 6977</w:t>
            </w:r>
          </w:p>
        </w:tc>
        <w:tc>
          <w:tcPr>
            <w:tcW w:w="221" w:type="dxa"/>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1177"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1</w:t>
            </w:r>
          </w:p>
        </w:tc>
        <w:tc>
          <w:tcPr>
            <w:tcW w:w="1245"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 xml:space="preserve">0.06 </w:t>
            </w:r>
          </w:p>
        </w:tc>
        <w:tc>
          <w:tcPr>
            <w:tcW w:w="1506"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0.06-0.06</w:t>
            </w:r>
          </w:p>
        </w:tc>
        <w:tc>
          <w:tcPr>
            <w:tcW w:w="221" w:type="dxa"/>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1294"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5</w:t>
            </w:r>
          </w:p>
        </w:tc>
        <w:tc>
          <w:tcPr>
            <w:tcW w:w="141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 xml:space="preserve">0.09 </w:t>
            </w:r>
          </w:p>
        </w:tc>
        <w:tc>
          <w:tcPr>
            <w:tcW w:w="168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0.06-0.11</w:t>
            </w:r>
          </w:p>
        </w:tc>
      </w:tr>
      <w:tr>
        <w:tblPrEx>
          <w:tblCellMar>
            <w:top w:w="0" w:type="dxa"/>
            <w:left w:w="108" w:type="dxa"/>
            <w:bottom w:w="0" w:type="dxa"/>
            <w:right w:w="108" w:type="dxa"/>
          </w:tblCellMar>
        </w:tblPrEx>
        <w:trPr>
          <w:trHeight w:val="300" w:hRule="atLeast"/>
        </w:trPr>
        <w:tc>
          <w:tcPr>
            <w:tcW w:w="1337" w:type="dxa"/>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r>
              <w:rPr>
                <w:rFonts w:hint="eastAsia" w:ascii="Times New Roman" w:hAnsi="Times New Roman"/>
                <w:color w:val="000000"/>
                <w:sz w:val="24"/>
                <w:highlight w:val="none"/>
              </w:rPr>
              <w:t>DOR</w:t>
            </w:r>
          </w:p>
        </w:tc>
        <w:tc>
          <w:tcPr>
            <w:tcW w:w="1154"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93</w:t>
            </w:r>
          </w:p>
        </w:tc>
        <w:tc>
          <w:tcPr>
            <w:tcW w:w="1349"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 xml:space="preserve">1955 </w:t>
            </w:r>
          </w:p>
        </w:tc>
        <w:tc>
          <w:tcPr>
            <w:tcW w:w="158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262 - 26833</w:t>
            </w:r>
          </w:p>
        </w:tc>
        <w:tc>
          <w:tcPr>
            <w:tcW w:w="221" w:type="dxa"/>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1177"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15</w:t>
            </w:r>
          </w:p>
        </w:tc>
        <w:tc>
          <w:tcPr>
            <w:tcW w:w="1245"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 xml:space="preserve">0.09 </w:t>
            </w:r>
          </w:p>
        </w:tc>
        <w:tc>
          <w:tcPr>
            <w:tcW w:w="1506"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0.02-0.34</w:t>
            </w:r>
          </w:p>
        </w:tc>
        <w:tc>
          <w:tcPr>
            <w:tcW w:w="221" w:type="dxa"/>
            <w:tcBorders>
              <w:top w:val="nil"/>
              <w:left w:val="nil"/>
              <w:bottom w:val="nil"/>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1294"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25</w:t>
            </w:r>
          </w:p>
        </w:tc>
        <w:tc>
          <w:tcPr>
            <w:tcW w:w="141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 xml:space="preserve">0.14 </w:t>
            </w:r>
          </w:p>
        </w:tc>
        <w:tc>
          <w:tcPr>
            <w:tcW w:w="168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0.02-1.77</w:t>
            </w:r>
          </w:p>
        </w:tc>
      </w:tr>
      <w:tr>
        <w:tblPrEx>
          <w:tblCellMar>
            <w:top w:w="0" w:type="dxa"/>
            <w:left w:w="108" w:type="dxa"/>
            <w:bottom w:w="0" w:type="dxa"/>
            <w:right w:w="108" w:type="dxa"/>
          </w:tblCellMar>
        </w:tblPrEx>
        <w:trPr>
          <w:trHeight w:val="300" w:hRule="atLeast"/>
        </w:trPr>
        <w:tc>
          <w:tcPr>
            <w:tcW w:w="1337" w:type="dxa"/>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sz w:val="24"/>
                <w:highlight w:val="none"/>
              </w:rPr>
              <w:t>LOR</w:t>
            </w:r>
          </w:p>
        </w:tc>
        <w:tc>
          <w:tcPr>
            <w:tcW w:w="1154"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29</w:t>
            </w:r>
          </w:p>
        </w:tc>
        <w:tc>
          <w:tcPr>
            <w:tcW w:w="1349"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r>
              <w:rPr>
                <w:rFonts w:ascii="Times New Roman" w:hAnsi="Times New Roman"/>
                <w:color w:val="000000"/>
                <w:kern w:val="0"/>
                <w:sz w:val="24"/>
                <w:highlight w:val="none"/>
                <w:lang w:bidi="ar"/>
              </w:rPr>
              <w:t xml:space="preserve">1222 </w:t>
            </w:r>
          </w:p>
        </w:tc>
        <w:tc>
          <w:tcPr>
            <w:tcW w:w="1580"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r>
              <w:rPr>
                <w:rFonts w:ascii="Times New Roman" w:hAnsi="Times New Roman"/>
                <w:color w:val="000000"/>
                <w:kern w:val="0"/>
                <w:sz w:val="24"/>
                <w:highlight w:val="none"/>
                <w:lang w:bidi="ar"/>
              </w:rPr>
              <w:t>522 - 4186</w:t>
            </w:r>
          </w:p>
        </w:tc>
        <w:tc>
          <w:tcPr>
            <w:tcW w:w="221" w:type="dxa"/>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1177"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12</w:t>
            </w:r>
          </w:p>
        </w:tc>
        <w:tc>
          <w:tcPr>
            <w:tcW w:w="1245"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r>
              <w:rPr>
                <w:rFonts w:ascii="Times New Roman" w:hAnsi="Times New Roman"/>
                <w:color w:val="000000"/>
                <w:kern w:val="0"/>
                <w:sz w:val="24"/>
                <w:highlight w:val="none"/>
                <w:lang w:bidi="ar"/>
              </w:rPr>
              <w:t xml:space="preserve">0.10 </w:t>
            </w:r>
          </w:p>
        </w:tc>
        <w:tc>
          <w:tcPr>
            <w:tcW w:w="1506"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r>
              <w:rPr>
                <w:rFonts w:ascii="Times New Roman" w:hAnsi="Times New Roman"/>
                <w:color w:val="000000"/>
                <w:kern w:val="0"/>
                <w:sz w:val="24"/>
                <w:highlight w:val="none"/>
                <w:lang w:bidi="ar"/>
              </w:rPr>
              <w:t>0.03-0.16</w:t>
            </w:r>
          </w:p>
        </w:tc>
        <w:tc>
          <w:tcPr>
            <w:tcW w:w="221" w:type="dxa"/>
            <w:tcBorders>
              <w:top w:val="nil"/>
              <w:left w:val="nil"/>
              <w:bottom w:val="single" w:color="000000" w:sz="4" w:space="0"/>
              <w:right w:val="nil"/>
            </w:tcBorders>
            <w:shd w:val="clear" w:color="auto" w:fill="auto"/>
            <w:noWrap/>
            <w:vAlign w:val="center"/>
          </w:tcPr>
          <w:p>
            <w:pPr>
              <w:spacing w:line="300" w:lineRule="auto"/>
              <w:jc w:val="center"/>
              <w:rPr>
                <w:rFonts w:ascii="Times New Roman" w:hAnsi="Times New Roman" w:eastAsia="等线"/>
                <w:color w:val="000000"/>
                <w:sz w:val="24"/>
                <w:highlight w:val="none"/>
              </w:rPr>
            </w:pPr>
          </w:p>
        </w:tc>
        <w:tc>
          <w:tcPr>
            <w:tcW w:w="1294"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sz w:val="24"/>
                <w:highlight w:val="none"/>
              </w:rPr>
            </w:pPr>
            <w:r>
              <w:rPr>
                <w:rFonts w:ascii="Times New Roman" w:hAnsi="Times New Roman"/>
                <w:color w:val="000000"/>
                <w:kern w:val="0"/>
                <w:sz w:val="24"/>
                <w:highlight w:val="none"/>
                <w:lang w:bidi="ar"/>
              </w:rPr>
              <w:t>6</w:t>
            </w:r>
          </w:p>
        </w:tc>
        <w:tc>
          <w:tcPr>
            <w:tcW w:w="1410"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r>
              <w:rPr>
                <w:rFonts w:ascii="Times New Roman" w:hAnsi="Times New Roman"/>
                <w:color w:val="000000"/>
                <w:kern w:val="0"/>
                <w:sz w:val="24"/>
                <w:highlight w:val="none"/>
                <w:lang w:bidi="ar"/>
              </w:rPr>
              <w:t xml:space="preserve">0.10 </w:t>
            </w:r>
          </w:p>
        </w:tc>
        <w:tc>
          <w:tcPr>
            <w:tcW w:w="1680" w:type="dxa"/>
            <w:tcBorders>
              <w:top w:val="nil"/>
              <w:left w:val="nil"/>
              <w:bottom w:val="single" w:color="000000" w:sz="4" w:space="0"/>
              <w:right w:val="nil"/>
            </w:tcBorders>
            <w:shd w:val="clear" w:color="auto" w:fill="auto"/>
            <w:noWrap/>
            <w:vAlign w:val="center"/>
          </w:tcPr>
          <w:p>
            <w:pPr>
              <w:widowControl/>
              <w:spacing w:line="300" w:lineRule="auto"/>
              <w:jc w:val="center"/>
              <w:textAlignment w:val="center"/>
              <w:rPr>
                <w:rFonts w:ascii="Times New Roman" w:hAnsi="Times New Roman" w:eastAsia="等线"/>
                <w:color w:val="000000"/>
                <w:kern w:val="0"/>
                <w:sz w:val="24"/>
                <w:highlight w:val="none"/>
                <w:lang w:bidi="ar"/>
              </w:rPr>
            </w:pPr>
            <w:r>
              <w:rPr>
                <w:rFonts w:ascii="Times New Roman" w:hAnsi="Times New Roman"/>
                <w:color w:val="000000"/>
                <w:kern w:val="0"/>
                <w:sz w:val="24"/>
                <w:highlight w:val="none"/>
                <w:lang w:bidi="ar"/>
              </w:rPr>
              <w:t>0.00-0.23</w:t>
            </w:r>
          </w:p>
        </w:tc>
      </w:tr>
    </w:tbl>
    <w:p>
      <w:pPr>
        <w:spacing w:line="300" w:lineRule="auto"/>
        <w:rPr>
          <w:rFonts w:ascii="Times New Roman" w:hAnsi="Times New Roman"/>
          <w:sz w:val="24"/>
          <w:highlight w:val="none"/>
        </w:rPr>
      </w:pPr>
      <w:r>
        <w:rPr>
          <w:rFonts w:ascii="Times New Roman" w:hAnsi="Times New Roman"/>
          <w:sz w:val="24"/>
          <w:highlight w:val="none"/>
        </w:rPr>
        <w:br w:type="page"/>
      </w:r>
    </w:p>
    <w:p>
      <w:pPr>
        <w:spacing w:line="300" w:lineRule="auto"/>
        <w:outlineLvl w:val="0"/>
        <w:rPr>
          <w:rFonts w:ascii="Times New Roman" w:hAnsi="Times New Roman"/>
          <w:sz w:val="24"/>
          <w:highlight w:val="none"/>
        </w:rPr>
      </w:pPr>
      <w:bookmarkStart w:id="31" w:name="_Toc28168"/>
      <w:bookmarkStart w:id="32" w:name="_Toc24437"/>
      <w:r>
        <w:rPr>
          <w:rFonts w:ascii="Times New Roman" w:hAnsi="Times New Roman"/>
          <w:b/>
          <w:bCs/>
          <w:color w:val="000000"/>
          <w:kern w:val="0"/>
          <w:sz w:val="24"/>
          <w:highlight w:val="none"/>
        </w:rPr>
        <w:t>Table S</w:t>
      </w:r>
      <w:r>
        <w:rPr>
          <w:rFonts w:hint="eastAsia" w:ascii="Times New Roman" w:hAnsi="Times New Roman"/>
          <w:b/>
          <w:bCs/>
          <w:color w:val="000000"/>
          <w:kern w:val="0"/>
          <w:sz w:val="24"/>
          <w:highlight w:val="none"/>
        </w:rPr>
        <w:t>10</w:t>
      </w:r>
      <w:r>
        <w:rPr>
          <w:rFonts w:ascii="Times New Roman" w:hAnsi="Times New Roman"/>
          <w:b/>
          <w:bCs/>
          <w:sz w:val="24"/>
          <w:highlight w:val="none"/>
        </w:rPr>
        <w:t xml:space="preserve"> </w:t>
      </w:r>
      <w:r>
        <w:rPr>
          <w:rFonts w:hint="eastAsia" w:ascii="Times New Roman" w:hAnsi="Times New Roman"/>
          <w:b/>
          <w:bCs/>
          <w:sz w:val="24"/>
          <w:highlight w:val="none"/>
        </w:rPr>
        <w:t>I</w:t>
      </w:r>
      <w:r>
        <w:rPr>
          <w:rFonts w:ascii="Times New Roman" w:hAnsi="Times New Roman"/>
          <w:b/>
          <w:bCs/>
          <w:sz w:val="24"/>
          <w:highlight w:val="none"/>
        </w:rPr>
        <w:t xml:space="preserve">nvestment cost of </w:t>
      </w:r>
      <w:r>
        <w:rPr>
          <w:rFonts w:hint="eastAsia" w:ascii="Times New Roman" w:hAnsi="Times New Roman"/>
          <w:b/>
          <w:bCs/>
          <w:sz w:val="24"/>
          <w:highlight w:val="none"/>
        </w:rPr>
        <w:t>rural</w:t>
      </w:r>
      <w:r>
        <w:rPr>
          <w:rFonts w:ascii="Times New Roman" w:hAnsi="Times New Roman"/>
          <w:b/>
          <w:bCs/>
          <w:sz w:val="24"/>
          <w:highlight w:val="none"/>
        </w:rPr>
        <w:t xml:space="preserve"> reclamation</w:t>
      </w:r>
      <w:r>
        <w:rPr>
          <w:rFonts w:hint="eastAsia" w:ascii="Times New Roman" w:hAnsi="Times New Roman"/>
          <w:b/>
          <w:bCs/>
          <w:sz w:val="24"/>
          <w:highlight w:val="none"/>
        </w:rPr>
        <w:t xml:space="preserve">, </w:t>
      </w:r>
      <w:r>
        <w:rPr>
          <w:rFonts w:ascii="Times New Roman" w:hAnsi="Times New Roman"/>
          <w:b/>
          <w:bCs/>
          <w:sz w:val="24"/>
          <w:highlight w:val="none"/>
        </w:rPr>
        <w:t xml:space="preserve">cropland consolidation </w:t>
      </w:r>
      <w:r>
        <w:rPr>
          <w:rFonts w:hint="eastAsia" w:ascii="Times New Roman" w:hAnsi="Times New Roman"/>
          <w:b/>
          <w:bCs/>
          <w:sz w:val="24"/>
          <w:highlight w:val="none"/>
        </w:rPr>
        <w:t>and livestock relocation</w:t>
      </w:r>
      <w:bookmarkEnd w:id="31"/>
      <w:bookmarkEnd w:id="32"/>
    </w:p>
    <w:tbl>
      <w:tblPr>
        <w:tblStyle w:val="10"/>
        <w:tblpPr w:leftFromText="180" w:rightFromText="180" w:vertAnchor="text" w:horzAnchor="page" w:tblpX="1530" w:tblpY="285"/>
        <w:tblOverlap w:val="never"/>
        <w:tblW w:w="4999" w:type="pct"/>
        <w:tblInd w:w="0" w:type="dxa"/>
        <w:tblLayout w:type="autofit"/>
        <w:tblCellMar>
          <w:top w:w="0" w:type="dxa"/>
          <w:left w:w="108" w:type="dxa"/>
          <w:bottom w:w="0" w:type="dxa"/>
          <w:right w:w="108" w:type="dxa"/>
        </w:tblCellMar>
      </w:tblPr>
      <w:tblGrid>
        <w:gridCol w:w="1460"/>
        <w:gridCol w:w="2203"/>
        <w:gridCol w:w="1993"/>
        <w:gridCol w:w="2041"/>
        <w:gridCol w:w="235"/>
        <w:gridCol w:w="2203"/>
        <w:gridCol w:w="1994"/>
        <w:gridCol w:w="2042"/>
      </w:tblGrid>
      <w:tr>
        <w:tblPrEx>
          <w:tblCellMar>
            <w:top w:w="0" w:type="dxa"/>
            <w:left w:w="108" w:type="dxa"/>
            <w:bottom w:w="0" w:type="dxa"/>
            <w:right w:w="108" w:type="dxa"/>
          </w:tblCellMar>
        </w:tblPrEx>
        <w:trPr>
          <w:trHeight w:val="565" w:hRule="atLeast"/>
        </w:trPr>
        <w:tc>
          <w:tcPr>
            <w:tcW w:w="515" w:type="pct"/>
            <w:vMerge w:val="restart"/>
            <w:tcBorders>
              <w:top w:val="single" w:color="000000"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Region code</w:t>
            </w:r>
          </w:p>
        </w:tc>
        <w:tc>
          <w:tcPr>
            <w:tcW w:w="2200" w:type="pct"/>
            <w:gridSpan w:val="3"/>
            <w:tcBorders>
              <w:top w:val="single" w:color="000000"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Rural reclamation</w:t>
            </w:r>
          </w:p>
        </w:tc>
        <w:tc>
          <w:tcPr>
            <w:tcW w:w="83" w:type="pct"/>
            <w:tcBorders>
              <w:top w:val="single" w:color="000000" w:sz="4" w:space="0"/>
              <w:left w:val="nil"/>
              <w:bottom w:val="nil"/>
              <w:right w:val="nil"/>
            </w:tcBorders>
            <w:shd w:val="clear" w:color="auto" w:fill="FFFFFF"/>
            <w:vAlign w:val="center"/>
          </w:tcPr>
          <w:p>
            <w:pPr>
              <w:spacing w:line="300" w:lineRule="auto"/>
              <w:jc w:val="center"/>
              <w:rPr>
                <w:rFonts w:ascii="Times New Roman" w:hAnsi="Times New Roman"/>
                <w:b/>
                <w:bCs/>
                <w:color w:val="000000"/>
                <w:sz w:val="24"/>
                <w:highlight w:val="none"/>
              </w:rPr>
            </w:pPr>
          </w:p>
        </w:tc>
        <w:tc>
          <w:tcPr>
            <w:tcW w:w="2200" w:type="pct"/>
            <w:gridSpan w:val="3"/>
            <w:tcBorders>
              <w:top w:val="single" w:color="000000"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Cropland consolidation</w:t>
            </w:r>
          </w:p>
        </w:tc>
      </w:tr>
      <w:tr>
        <w:tblPrEx>
          <w:tblCellMar>
            <w:top w:w="0" w:type="dxa"/>
            <w:left w:w="108" w:type="dxa"/>
            <w:bottom w:w="0" w:type="dxa"/>
            <w:right w:w="108" w:type="dxa"/>
          </w:tblCellMar>
        </w:tblPrEx>
        <w:trPr>
          <w:trHeight w:val="810" w:hRule="atLeast"/>
        </w:trPr>
        <w:tc>
          <w:tcPr>
            <w:tcW w:w="515" w:type="pct"/>
            <w:vMerge w:val="continue"/>
            <w:tcBorders>
              <w:top w:val="single" w:color="000000" w:sz="4" w:space="0"/>
              <w:left w:val="nil"/>
              <w:bottom w:val="single" w:color="000000" w:sz="4" w:space="0"/>
              <w:right w:val="nil"/>
            </w:tcBorders>
            <w:shd w:val="clear" w:color="auto" w:fill="FFFFFF"/>
            <w:vAlign w:val="center"/>
          </w:tcPr>
          <w:p>
            <w:pPr>
              <w:spacing w:line="300" w:lineRule="auto"/>
              <w:jc w:val="center"/>
              <w:rPr>
                <w:rFonts w:ascii="Times New Roman" w:hAnsi="Times New Roman"/>
                <w:b/>
                <w:bCs/>
                <w:color w:val="000000"/>
                <w:sz w:val="24"/>
                <w:highlight w:val="none"/>
              </w:rPr>
            </w:pPr>
          </w:p>
        </w:tc>
        <w:tc>
          <w:tcPr>
            <w:tcW w:w="777"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Number of projects</w:t>
            </w:r>
          </w:p>
        </w:tc>
        <w:tc>
          <w:tcPr>
            <w:tcW w:w="703"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Rang</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 xml:space="preserve"> (US$ h</w:t>
            </w:r>
            <w:r>
              <w:rPr>
                <w:rFonts w:hint="eastAsia" w:ascii="Times New Roman" w:hAnsi="Times New Roman"/>
                <w:b/>
                <w:bCs/>
                <w:color w:val="000000"/>
                <w:kern w:val="0"/>
                <w:sz w:val="24"/>
                <w:highlight w:val="none"/>
                <w:lang w:bidi="ar"/>
              </w:rPr>
              <w:t>a</w:t>
            </w:r>
            <w:r>
              <w:rPr>
                <w:rFonts w:ascii="Times New Roman" w:hAnsi="Times New Roman"/>
                <w:b/>
                <w:bCs/>
                <w:color w:val="000000"/>
                <w:kern w:val="0"/>
                <w:sz w:val="24"/>
                <w:highlight w:val="none"/>
                <w:vertAlign w:val="superscript"/>
                <w:lang w:bidi="ar"/>
              </w:rPr>
              <w:t>-</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c>
          <w:tcPr>
            <w:tcW w:w="718"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 xml:space="preserve">Mean </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(US$ h</w:t>
            </w:r>
            <w:r>
              <w:rPr>
                <w:rFonts w:hint="eastAsia" w:ascii="Times New Roman" w:hAnsi="Times New Roman"/>
                <w:b/>
                <w:bCs/>
                <w:color w:val="000000"/>
                <w:kern w:val="0"/>
                <w:sz w:val="24"/>
                <w:highlight w:val="none"/>
                <w:lang w:bidi="ar"/>
              </w:rPr>
              <w:t>a</w:t>
            </w:r>
            <w:r>
              <w:rPr>
                <w:rFonts w:ascii="Times New Roman" w:hAnsi="Times New Roman"/>
                <w:b/>
                <w:bCs/>
                <w:color w:val="000000"/>
                <w:kern w:val="0"/>
                <w:sz w:val="24"/>
                <w:highlight w:val="none"/>
                <w:vertAlign w:val="superscript"/>
                <w:lang w:bidi="ar"/>
              </w:rPr>
              <w:t>-</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c>
          <w:tcPr>
            <w:tcW w:w="83" w:type="pct"/>
            <w:tcBorders>
              <w:top w:val="nil"/>
              <w:left w:val="nil"/>
              <w:bottom w:val="single" w:color="000000" w:sz="4" w:space="0"/>
              <w:right w:val="nil"/>
            </w:tcBorders>
            <w:shd w:val="clear" w:color="auto" w:fill="FFFFFF"/>
            <w:vAlign w:val="center"/>
          </w:tcPr>
          <w:p>
            <w:pPr>
              <w:spacing w:line="300" w:lineRule="auto"/>
              <w:jc w:val="center"/>
              <w:rPr>
                <w:rFonts w:ascii="Times New Roman" w:hAnsi="Times New Roman"/>
                <w:b/>
                <w:bCs/>
                <w:color w:val="000000"/>
                <w:sz w:val="24"/>
                <w:highlight w:val="none"/>
              </w:rPr>
            </w:pPr>
          </w:p>
        </w:tc>
        <w:tc>
          <w:tcPr>
            <w:tcW w:w="777"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Number of projects</w:t>
            </w:r>
          </w:p>
        </w:tc>
        <w:tc>
          <w:tcPr>
            <w:tcW w:w="703"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Rang</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 xml:space="preserve"> (US$ h</w:t>
            </w:r>
            <w:r>
              <w:rPr>
                <w:rFonts w:hint="eastAsia" w:ascii="Times New Roman" w:hAnsi="Times New Roman"/>
                <w:b/>
                <w:bCs/>
                <w:color w:val="000000"/>
                <w:kern w:val="0"/>
                <w:sz w:val="24"/>
                <w:highlight w:val="none"/>
                <w:lang w:bidi="ar"/>
              </w:rPr>
              <w:t>a</w:t>
            </w:r>
            <w:r>
              <w:rPr>
                <w:rFonts w:ascii="Times New Roman" w:hAnsi="Times New Roman"/>
                <w:b/>
                <w:bCs/>
                <w:color w:val="000000"/>
                <w:kern w:val="0"/>
                <w:sz w:val="24"/>
                <w:highlight w:val="none"/>
                <w:vertAlign w:val="superscript"/>
                <w:lang w:bidi="ar"/>
              </w:rPr>
              <w:t>-</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c>
          <w:tcPr>
            <w:tcW w:w="718"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Mean</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 xml:space="preserve"> (US$ h</w:t>
            </w:r>
            <w:r>
              <w:rPr>
                <w:rFonts w:hint="eastAsia" w:ascii="Times New Roman" w:hAnsi="Times New Roman"/>
                <w:b/>
                <w:bCs/>
                <w:color w:val="000000"/>
                <w:kern w:val="0"/>
                <w:sz w:val="24"/>
                <w:highlight w:val="none"/>
                <w:lang w:bidi="ar"/>
              </w:rPr>
              <w:t>a</w:t>
            </w:r>
            <w:r>
              <w:rPr>
                <w:rFonts w:ascii="Times New Roman" w:hAnsi="Times New Roman"/>
                <w:b/>
                <w:bCs/>
                <w:color w:val="000000"/>
                <w:kern w:val="0"/>
                <w:sz w:val="24"/>
                <w:highlight w:val="none"/>
                <w:vertAlign w:val="superscript"/>
                <w:lang w:bidi="ar"/>
              </w:rPr>
              <w:t>-</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r>
      <w:tr>
        <w:tblPrEx>
          <w:tblCellMar>
            <w:top w:w="0" w:type="dxa"/>
            <w:left w:w="108" w:type="dxa"/>
            <w:bottom w:w="0" w:type="dxa"/>
            <w:right w:w="108" w:type="dxa"/>
          </w:tblCellMar>
        </w:tblPrEx>
        <w:trPr>
          <w:trHeight w:val="480" w:hRule="atLeast"/>
        </w:trPr>
        <w:tc>
          <w:tcPr>
            <w:tcW w:w="146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kern w:val="0"/>
                <w:sz w:val="24"/>
                <w:highlight w:val="none"/>
                <w:lang w:bidi="ar"/>
              </w:rPr>
              <w:t>IR</w:t>
            </w:r>
          </w:p>
        </w:tc>
        <w:tc>
          <w:tcPr>
            <w:tcW w:w="777"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7</w:t>
            </w:r>
          </w:p>
        </w:tc>
        <w:tc>
          <w:tcPr>
            <w:tcW w:w="70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36225-979054</w:t>
            </w:r>
          </w:p>
        </w:tc>
        <w:tc>
          <w:tcPr>
            <w:tcW w:w="71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337731</w:t>
            </w:r>
          </w:p>
        </w:tc>
        <w:tc>
          <w:tcPr>
            <w:tcW w:w="8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p>
        </w:tc>
        <w:tc>
          <w:tcPr>
            <w:tcW w:w="777"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46</w:t>
            </w:r>
          </w:p>
        </w:tc>
        <w:tc>
          <w:tcPr>
            <w:tcW w:w="70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2275-12516</w:t>
            </w:r>
          </w:p>
        </w:tc>
        <w:tc>
          <w:tcPr>
            <w:tcW w:w="71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5196</w:t>
            </w:r>
          </w:p>
        </w:tc>
      </w:tr>
      <w:tr>
        <w:tblPrEx>
          <w:tblCellMar>
            <w:top w:w="0" w:type="dxa"/>
            <w:left w:w="108" w:type="dxa"/>
            <w:bottom w:w="0" w:type="dxa"/>
            <w:right w:w="108" w:type="dxa"/>
          </w:tblCellMar>
        </w:tblPrEx>
        <w:trPr>
          <w:trHeight w:val="408" w:hRule="atLeast"/>
        </w:trPr>
        <w:tc>
          <w:tcPr>
            <w:tcW w:w="1460" w:type="dxa"/>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r>
              <w:rPr>
                <w:rFonts w:hint="eastAsia" w:ascii="Times New Roman" w:hAnsi="Times New Roman"/>
                <w:color w:val="000000"/>
                <w:sz w:val="24"/>
                <w:highlight w:val="none"/>
              </w:rPr>
              <w:t>DOR</w:t>
            </w:r>
          </w:p>
        </w:tc>
        <w:tc>
          <w:tcPr>
            <w:tcW w:w="777"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20</w:t>
            </w:r>
          </w:p>
        </w:tc>
        <w:tc>
          <w:tcPr>
            <w:tcW w:w="70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2-323023</w:t>
            </w:r>
          </w:p>
        </w:tc>
        <w:tc>
          <w:tcPr>
            <w:tcW w:w="71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54481</w:t>
            </w:r>
          </w:p>
        </w:tc>
        <w:tc>
          <w:tcPr>
            <w:tcW w:w="8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p>
        </w:tc>
        <w:tc>
          <w:tcPr>
            <w:tcW w:w="777"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116</w:t>
            </w:r>
          </w:p>
        </w:tc>
        <w:tc>
          <w:tcPr>
            <w:tcW w:w="703"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1725-11796</w:t>
            </w:r>
          </w:p>
        </w:tc>
        <w:tc>
          <w:tcPr>
            <w:tcW w:w="718" w:type="pct"/>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4528</w:t>
            </w:r>
          </w:p>
        </w:tc>
      </w:tr>
      <w:tr>
        <w:tblPrEx>
          <w:tblCellMar>
            <w:top w:w="0" w:type="dxa"/>
            <w:left w:w="108" w:type="dxa"/>
            <w:bottom w:w="0" w:type="dxa"/>
            <w:right w:w="108" w:type="dxa"/>
          </w:tblCellMar>
        </w:tblPrEx>
        <w:trPr>
          <w:trHeight w:val="322" w:hRule="atLeast"/>
        </w:trPr>
        <w:tc>
          <w:tcPr>
            <w:tcW w:w="1460" w:type="dxa"/>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sz w:val="24"/>
                <w:highlight w:val="none"/>
              </w:rPr>
              <w:t>LOR</w:t>
            </w:r>
          </w:p>
        </w:tc>
        <w:tc>
          <w:tcPr>
            <w:tcW w:w="777"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w:t>
            </w:r>
          </w:p>
        </w:tc>
        <w:tc>
          <w:tcPr>
            <w:tcW w:w="703"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13-22007</w:t>
            </w:r>
          </w:p>
        </w:tc>
        <w:tc>
          <w:tcPr>
            <w:tcW w:w="718"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21654</w:t>
            </w:r>
          </w:p>
        </w:tc>
        <w:tc>
          <w:tcPr>
            <w:tcW w:w="83" w:type="pct"/>
            <w:tcBorders>
              <w:top w:val="nil"/>
              <w:left w:val="nil"/>
              <w:bottom w:val="single" w:color="auto" w:sz="4" w:space="0"/>
              <w:right w:val="nil"/>
            </w:tcBorders>
            <w:shd w:val="clear" w:color="auto" w:fill="auto"/>
            <w:noWrap/>
            <w:vAlign w:val="center"/>
          </w:tcPr>
          <w:p>
            <w:pPr>
              <w:spacing w:line="300" w:lineRule="auto"/>
              <w:jc w:val="center"/>
              <w:rPr>
                <w:rFonts w:ascii="Times New Roman" w:hAnsi="Times New Roman"/>
                <w:color w:val="000000"/>
                <w:sz w:val="24"/>
                <w:highlight w:val="none"/>
              </w:rPr>
            </w:pPr>
          </w:p>
        </w:tc>
        <w:tc>
          <w:tcPr>
            <w:tcW w:w="777"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39</w:t>
            </w:r>
          </w:p>
        </w:tc>
        <w:tc>
          <w:tcPr>
            <w:tcW w:w="703"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1243-6604</w:t>
            </w:r>
          </w:p>
        </w:tc>
        <w:tc>
          <w:tcPr>
            <w:tcW w:w="718" w:type="pct"/>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3546</w:t>
            </w:r>
          </w:p>
        </w:tc>
      </w:tr>
      <w:tr>
        <w:tblPrEx>
          <w:tblCellMar>
            <w:top w:w="0" w:type="dxa"/>
            <w:left w:w="108" w:type="dxa"/>
            <w:bottom w:w="0" w:type="dxa"/>
            <w:right w:w="108" w:type="dxa"/>
          </w:tblCellMar>
        </w:tblPrEx>
        <w:trPr>
          <w:trHeight w:val="621" w:hRule="atLeast"/>
        </w:trPr>
        <w:tc>
          <w:tcPr>
            <w:tcW w:w="515" w:type="pct"/>
            <w:vMerge w:val="restart"/>
            <w:tcBorders>
              <w:top w:val="single" w:color="auto"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Region code</w:t>
            </w:r>
          </w:p>
        </w:tc>
        <w:tc>
          <w:tcPr>
            <w:tcW w:w="2200" w:type="pct"/>
            <w:gridSpan w:val="3"/>
            <w:tcBorders>
              <w:top w:val="single" w:color="auto"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hint="eastAsia" w:ascii="Times New Roman" w:hAnsi="Times New Roman"/>
                <w:b/>
                <w:bCs/>
                <w:color w:val="000000"/>
                <w:kern w:val="0"/>
                <w:sz w:val="24"/>
                <w:highlight w:val="none"/>
                <w:lang w:bidi="ar"/>
              </w:rPr>
              <w:t>Livestock f</w:t>
            </w:r>
            <w:r>
              <w:rPr>
                <w:rFonts w:ascii="Times New Roman" w:hAnsi="Times New Roman"/>
                <w:b/>
                <w:bCs/>
                <w:color w:val="000000"/>
                <w:kern w:val="0"/>
                <w:sz w:val="24"/>
                <w:highlight w:val="none"/>
                <w:lang w:bidi="ar"/>
              </w:rPr>
              <w:t xml:space="preserve">acilities </w:t>
            </w:r>
            <w:r>
              <w:rPr>
                <w:rFonts w:hint="eastAsia" w:ascii="Times New Roman" w:hAnsi="Times New Roman"/>
                <w:b/>
                <w:bCs/>
                <w:color w:val="000000"/>
                <w:kern w:val="0"/>
                <w:sz w:val="24"/>
                <w:highlight w:val="none"/>
                <w:lang w:bidi="ar"/>
              </w:rPr>
              <w:t>dismantling</w:t>
            </w:r>
          </w:p>
        </w:tc>
        <w:tc>
          <w:tcPr>
            <w:tcW w:w="83" w:type="pct"/>
            <w:tcBorders>
              <w:top w:val="single" w:color="auto" w:sz="4" w:space="0"/>
              <w:left w:val="nil"/>
              <w:bottom w:val="nil"/>
              <w:right w:val="nil"/>
            </w:tcBorders>
            <w:shd w:val="clear" w:color="auto" w:fill="FFFFFF"/>
            <w:noWrap/>
            <w:vAlign w:val="center"/>
          </w:tcPr>
          <w:p>
            <w:pPr>
              <w:spacing w:line="300" w:lineRule="auto"/>
              <w:jc w:val="center"/>
              <w:rPr>
                <w:rFonts w:ascii="Times New Roman" w:hAnsi="Times New Roman"/>
                <w:b/>
                <w:bCs/>
                <w:color w:val="000000"/>
                <w:sz w:val="24"/>
                <w:highlight w:val="none"/>
              </w:rPr>
            </w:pPr>
          </w:p>
        </w:tc>
        <w:tc>
          <w:tcPr>
            <w:tcW w:w="2200" w:type="pct"/>
            <w:gridSpan w:val="3"/>
            <w:tcBorders>
              <w:top w:val="single" w:color="auto" w:sz="4" w:space="0"/>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Subsidy of livestock</w:t>
            </w:r>
          </w:p>
        </w:tc>
      </w:tr>
      <w:tr>
        <w:tblPrEx>
          <w:tblCellMar>
            <w:top w:w="0" w:type="dxa"/>
            <w:left w:w="108" w:type="dxa"/>
            <w:bottom w:w="0" w:type="dxa"/>
            <w:right w:w="108" w:type="dxa"/>
          </w:tblCellMar>
        </w:tblPrEx>
        <w:trPr>
          <w:trHeight w:val="810" w:hRule="atLeast"/>
        </w:trPr>
        <w:tc>
          <w:tcPr>
            <w:tcW w:w="515" w:type="pct"/>
            <w:vMerge w:val="continue"/>
            <w:tcBorders>
              <w:top w:val="single" w:color="000000" w:sz="4" w:space="0"/>
              <w:left w:val="nil"/>
              <w:bottom w:val="single" w:color="000000" w:sz="4" w:space="0"/>
              <w:right w:val="nil"/>
            </w:tcBorders>
            <w:shd w:val="clear" w:color="auto" w:fill="FFFFFF"/>
            <w:vAlign w:val="center"/>
          </w:tcPr>
          <w:p>
            <w:pPr>
              <w:spacing w:line="300" w:lineRule="auto"/>
              <w:jc w:val="center"/>
              <w:rPr>
                <w:rFonts w:ascii="Times New Roman" w:hAnsi="Times New Roman"/>
                <w:b/>
                <w:bCs/>
                <w:color w:val="000000"/>
                <w:sz w:val="24"/>
                <w:highlight w:val="none"/>
              </w:rPr>
            </w:pPr>
          </w:p>
        </w:tc>
        <w:tc>
          <w:tcPr>
            <w:tcW w:w="777"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Number of projects</w:t>
            </w:r>
          </w:p>
        </w:tc>
        <w:tc>
          <w:tcPr>
            <w:tcW w:w="703"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 xml:space="preserve">Rang </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(US$ h</w:t>
            </w:r>
            <w:r>
              <w:rPr>
                <w:rFonts w:hint="eastAsia" w:ascii="Times New Roman" w:hAnsi="Times New Roman"/>
                <w:b/>
                <w:bCs/>
                <w:color w:val="000000"/>
                <w:kern w:val="0"/>
                <w:sz w:val="24"/>
                <w:highlight w:val="none"/>
                <w:lang w:bidi="ar"/>
              </w:rPr>
              <w:t>a</w:t>
            </w:r>
            <w:r>
              <w:rPr>
                <w:rFonts w:ascii="Times New Roman" w:hAnsi="Times New Roman"/>
                <w:b/>
                <w:bCs/>
                <w:color w:val="000000"/>
                <w:kern w:val="0"/>
                <w:sz w:val="24"/>
                <w:highlight w:val="none"/>
                <w:vertAlign w:val="superscript"/>
                <w:lang w:bidi="ar"/>
              </w:rPr>
              <w:t>-</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c>
          <w:tcPr>
            <w:tcW w:w="718"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 xml:space="preserve">Mean </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(US$ h</w:t>
            </w:r>
            <w:r>
              <w:rPr>
                <w:rFonts w:hint="eastAsia" w:ascii="Times New Roman" w:hAnsi="Times New Roman"/>
                <w:b/>
                <w:bCs/>
                <w:color w:val="000000"/>
                <w:kern w:val="0"/>
                <w:sz w:val="24"/>
                <w:highlight w:val="none"/>
                <w:lang w:bidi="ar"/>
              </w:rPr>
              <w:t>a</w:t>
            </w:r>
            <w:r>
              <w:rPr>
                <w:rFonts w:ascii="Times New Roman" w:hAnsi="Times New Roman"/>
                <w:b/>
                <w:bCs/>
                <w:color w:val="000000"/>
                <w:kern w:val="0"/>
                <w:sz w:val="24"/>
                <w:highlight w:val="none"/>
                <w:vertAlign w:val="superscript"/>
                <w:lang w:bidi="ar"/>
              </w:rPr>
              <w:t>-</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c>
          <w:tcPr>
            <w:tcW w:w="83" w:type="pct"/>
            <w:tcBorders>
              <w:top w:val="nil"/>
              <w:left w:val="nil"/>
              <w:bottom w:val="single" w:color="000000" w:sz="4" w:space="0"/>
              <w:right w:val="nil"/>
            </w:tcBorders>
            <w:shd w:val="clear" w:color="auto" w:fill="FFFFFF"/>
            <w:noWrap/>
            <w:vAlign w:val="center"/>
          </w:tcPr>
          <w:p>
            <w:pPr>
              <w:spacing w:line="300" w:lineRule="auto"/>
              <w:jc w:val="center"/>
              <w:rPr>
                <w:rFonts w:ascii="Times New Roman" w:hAnsi="Times New Roman"/>
                <w:b/>
                <w:bCs/>
                <w:color w:val="000000"/>
                <w:sz w:val="24"/>
                <w:highlight w:val="none"/>
              </w:rPr>
            </w:pPr>
          </w:p>
        </w:tc>
        <w:tc>
          <w:tcPr>
            <w:tcW w:w="777"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Number of projects</w:t>
            </w:r>
          </w:p>
        </w:tc>
        <w:tc>
          <w:tcPr>
            <w:tcW w:w="703"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Rang</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(US$</w:t>
            </w:r>
            <w:r>
              <w:rPr>
                <w:rFonts w:hint="eastAsia" w:ascii="Times New Roman" w:hAnsi="Times New Roman"/>
                <w:b/>
                <w:bCs/>
                <w:color w:val="000000"/>
                <w:kern w:val="0"/>
                <w:sz w:val="24"/>
                <w:highlight w:val="none"/>
                <w:lang w:bidi="ar"/>
              </w:rPr>
              <w:t xml:space="preserve"> </w:t>
            </w:r>
            <w:r>
              <w:rPr>
                <w:rFonts w:ascii="Times New Roman" w:hAnsi="Times New Roman"/>
                <w:b/>
                <w:bCs/>
                <w:color w:val="000000"/>
                <w:kern w:val="0"/>
                <w:sz w:val="24"/>
                <w:highlight w:val="none"/>
                <w:lang w:bidi="ar"/>
              </w:rPr>
              <w:t>pig</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c>
          <w:tcPr>
            <w:tcW w:w="718" w:type="pct"/>
            <w:tcBorders>
              <w:top w:val="nil"/>
              <w:left w:val="nil"/>
              <w:bottom w:val="single" w:color="000000" w:sz="4" w:space="0"/>
              <w:right w:val="nil"/>
            </w:tcBorders>
            <w:shd w:val="clear" w:color="auto" w:fill="FFFFFF"/>
            <w:vAlign w:val="center"/>
          </w:tcPr>
          <w:p>
            <w:pPr>
              <w:widowControl/>
              <w:spacing w:line="300" w:lineRule="auto"/>
              <w:jc w:val="center"/>
              <w:textAlignment w:val="center"/>
              <w:rPr>
                <w:rFonts w:ascii="Times New Roman" w:hAnsi="Times New Roman"/>
                <w:b/>
                <w:bCs/>
                <w:color w:val="000000"/>
                <w:kern w:val="0"/>
                <w:sz w:val="24"/>
                <w:highlight w:val="none"/>
                <w:lang w:bidi="ar"/>
              </w:rPr>
            </w:pPr>
            <w:r>
              <w:rPr>
                <w:rFonts w:ascii="Times New Roman" w:hAnsi="Times New Roman"/>
                <w:b/>
                <w:bCs/>
                <w:color w:val="000000"/>
                <w:kern w:val="0"/>
                <w:sz w:val="24"/>
                <w:highlight w:val="none"/>
                <w:lang w:bidi="ar"/>
              </w:rPr>
              <w:t>Mean</w:t>
            </w:r>
          </w:p>
          <w:p>
            <w:pPr>
              <w:widowControl/>
              <w:spacing w:line="300" w:lineRule="auto"/>
              <w:jc w:val="center"/>
              <w:textAlignment w:val="center"/>
              <w:rPr>
                <w:rFonts w:ascii="Times New Roman" w:hAnsi="Times New Roman"/>
                <w:b/>
                <w:bCs/>
                <w:color w:val="000000"/>
                <w:sz w:val="24"/>
                <w:highlight w:val="none"/>
              </w:rPr>
            </w:pPr>
            <w:r>
              <w:rPr>
                <w:rFonts w:ascii="Times New Roman" w:hAnsi="Times New Roman"/>
                <w:b/>
                <w:bCs/>
                <w:color w:val="000000"/>
                <w:kern w:val="0"/>
                <w:sz w:val="24"/>
                <w:highlight w:val="none"/>
                <w:lang w:bidi="ar"/>
              </w:rPr>
              <w:t xml:space="preserve"> (US$</w:t>
            </w:r>
            <w:r>
              <w:rPr>
                <w:rFonts w:hint="eastAsia" w:ascii="Times New Roman" w:hAnsi="Times New Roman"/>
                <w:b/>
                <w:bCs/>
                <w:color w:val="000000"/>
                <w:kern w:val="0"/>
                <w:sz w:val="24"/>
                <w:highlight w:val="none"/>
                <w:lang w:bidi="ar"/>
              </w:rPr>
              <w:t xml:space="preserve"> </w:t>
            </w:r>
            <w:r>
              <w:rPr>
                <w:rFonts w:ascii="Times New Roman" w:hAnsi="Times New Roman"/>
                <w:b/>
                <w:bCs/>
                <w:color w:val="000000"/>
                <w:kern w:val="0"/>
                <w:sz w:val="24"/>
                <w:highlight w:val="none"/>
                <w:lang w:bidi="ar"/>
              </w:rPr>
              <w:t>pig</w:t>
            </w:r>
            <w:r>
              <w:rPr>
                <w:rFonts w:hint="eastAsia" w:ascii="Times New Roman" w:hAnsi="Times New Roman"/>
                <w:b/>
                <w:bCs/>
                <w:color w:val="000000"/>
                <w:kern w:val="0"/>
                <w:sz w:val="24"/>
                <w:highlight w:val="none"/>
                <w:vertAlign w:val="superscript"/>
                <w:lang w:bidi="ar"/>
              </w:rPr>
              <w:t>-1</w:t>
            </w:r>
            <w:r>
              <w:rPr>
                <w:rFonts w:ascii="Times New Roman" w:hAnsi="Times New Roman"/>
                <w:b/>
                <w:bCs/>
                <w:color w:val="000000"/>
                <w:kern w:val="0"/>
                <w:sz w:val="24"/>
                <w:highlight w:val="none"/>
                <w:lang w:bidi="ar"/>
              </w:rPr>
              <w:t>)</w:t>
            </w:r>
          </w:p>
        </w:tc>
      </w:tr>
      <w:tr>
        <w:tblPrEx>
          <w:tblCellMar>
            <w:top w:w="0" w:type="dxa"/>
            <w:left w:w="108" w:type="dxa"/>
            <w:bottom w:w="0" w:type="dxa"/>
            <w:right w:w="108" w:type="dxa"/>
          </w:tblCellMar>
        </w:tblPrEx>
        <w:trPr>
          <w:trHeight w:val="308" w:hRule="atLeast"/>
        </w:trPr>
        <w:tc>
          <w:tcPr>
            <w:tcW w:w="1460" w:type="dxa"/>
            <w:tcBorders>
              <w:top w:val="nil"/>
              <w:left w:val="nil"/>
              <w:bottom w:val="nil"/>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kern w:val="0"/>
                <w:sz w:val="24"/>
                <w:highlight w:val="none"/>
                <w:lang w:bidi="ar"/>
              </w:rPr>
              <w:t>IR</w:t>
            </w:r>
          </w:p>
        </w:tc>
        <w:tc>
          <w:tcPr>
            <w:tcW w:w="777"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5</w:t>
            </w:r>
          </w:p>
        </w:tc>
        <w:tc>
          <w:tcPr>
            <w:tcW w:w="703"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6.4-69.7</w:t>
            </w:r>
          </w:p>
        </w:tc>
        <w:tc>
          <w:tcPr>
            <w:tcW w:w="718"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29.2</w:t>
            </w:r>
          </w:p>
        </w:tc>
        <w:tc>
          <w:tcPr>
            <w:tcW w:w="8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p>
        </w:tc>
        <w:tc>
          <w:tcPr>
            <w:tcW w:w="777"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10</w:t>
            </w:r>
          </w:p>
        </w:tc>
        <w:tc>
          <w:tcPr>
            <w:tcW w:w="703"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9.7-51.5</w:t>
            </w:r>
          </w:p>
        </w:tc>
        <w:tc>
          <w:tcPr>
            <w:tcW w:w="718"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35.4</w:t>
            </w:r>
          </w:p>
        </w:tc>
      </w:tr>
      <w:tr>
        <w:tblPrEx>
          <w:tblCellMar>
            <w:top w:w="0" w:type="dxa"/>
            <w:left w:w="108" w:type="dxa"/>
            <w:bottom w:w="0" w:type="dxa"/>
            <w:right w:w="108" w:type="dxa"/>
          </w:tblCellMar>
        </w:tblPrEx>
        <w:trPr>
          <w:trHeight w:val="308" w:hRule="atLeast"/>
        </w:trPr>
        <w:tc>
          <w:tcPr>
            <w:tcW w:w="1460" w:type="dxa"/>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r>
              <w:rPr>
                <w:rFonts w:hint="eastAsia" w:ascii="Times New Roman" w:hAnsi="Times New Roman"/>
                <w:color w:val="000000"/>
                <w:sz w:val="24"/>
                <w:highlight w:val="none"/>
              </w:rPr>
              <w:t>DOR</w:t>
            </w:r>
          </w:p>
        </w:tc>
        <w:tc>
          <w:tcPr>
            <w:tcW w:w="777"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7</w:t>
            </w:r>
          </w:p>
        </w:tc>
        <w:tc>
          <w:tcPr>
            <w:tcW w:w="703"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3.2-56.4</w:t>
            </w:r>
          </w:p>
        </w:tc>
        <w:tc>
          <w:tcPr>
            <w:tcW w:w="718"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24.9</w:t>
            </w:r>
          </w:p>
        </w:tc>
        <w:tc>
          <w:tcPr>
            <w:tcW w:w="83" w:type="pct"/>
            <w:tcBorders>
              <w:top w:val="nil"/>
              <w:left w:val="nil"/>
              <w:bottom w:val="nil"/>
              <w:right w:val="nil"/>
            </w:tcBorders>
            <w:shd w:val="clear" w:color="auto" w:fill="auto"/>
            <w:noWrap/>
            <w:vAlign w:val="center"/>
          </w:tcPr>
          <w:p>
            <w:pPr>
              <w:spacing w:line="300" w:lineRule="auto"/>
              <w:jc w:val="center"/>
              <w:rPr>
                <w:rFonts w:ascii="Times New Roman" w:hAnsi="Times New Roman"/>
                <w:color w:val="000000"/>
                <w:sz w:val="24"/>
                <w:highlight w:val="none"/>
              </w:rPr>
            </w:pPr>
          </w:p>
        </w:tc>
        <w:tc>
          <w:tcPr>
            <w:tcW w:w="777"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7</w:t>
            </w:r>
          </w:p>
        </w:tc>
        <w:tc>
          <w:tcPr>
            <w:tcW w:w="703"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6.4-32.2</w:t>
            </w:r>
          </w:p>
        </w:tc>
        <w:tc>
          <w:tcPr>
            <w:tcW w:w="718" w:type="pct"/>
            <w:tcBorders>
              <w:top w:val="nil"/>
              <w:left w:val="nil"/>
              <w:bottom w:val="nil"/>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16.8</w:t>
            </w:r>
          </w:p>
        </w:tc>
      </w:tr>
      <w:tr>
        <w:tblPrEx>
          <w:tblCellMar>
            <w:top w:w="0" w:type="dxa"/>
            <w:left w:w="108" w:type="dxa"/>
            <w:bottom w:w="0" w:type="dxa"/>
            <w:right w:w="108" w:type="dxa"/>
          </w:tblCellMar>
        </w:tblPrEx>
        <w:trPr>
          <w:trHeight w:val="323" w:hRule="atLeast"/>
        </w:trPr>
        <w:tc>
          <w:tcPr>
            <w:tcW w:w="1460" w:type="dxa"/>
            <w:tcBorders>
              <w:top w:val="nil"/>
              <w:left w:val="nil"/>
              <w:bottom w:val="single" w:color="auto" w:sz="4" w:space="0"/>
              <w:right w:val="nil"/>
            </w:tcBorders>
            <w:shd w:val="clear" w:color="auto" w:fill="auto"/>
            <w:noWrap/>
            <w:vAlign w:val="center"/>
          </w:tcPr>
          <w:p>
            <w:pPr>
              <w:widowControl/>
              <w:spacing w:line="300" w:lineRule="auto"/>
              <w:jc w:val="center"/>
              <w:textAlignment w:val="center"/>
              <w:rPr>
                <w:rFonts w:ascii="Times New Roman" w:hAnsi="Times New Roman"/>
                <w:color w:val="000000"/>
                <w:sz w:val="24"/>
                <w:highlight w:val="none"/>
              </w:rPr>
            </w:pPr>
            <w:r>
              <w:rPr>
                <w:rFonts w:hint="eastAsia" w:ascii="Times New Roman" w:hAnsi="Times New Roman"/>
                <w:color w:val="000000"/>
                <w:sz w:val="24"/>
                <w:highlight w:val="none"/>
              </w:rPr>
              <w:t>LOR</w:t>
            </w:r>
          </w:p>
        </w:tc>
        <w:tc>
          <w:tcPr>
            <w:tcW w:w="777" w:type="pct"/>
            <w:tcBorders>
              <w:top w:val="nil"/>
              <w:left w:val="nil"/>
              <w:bottom w:val="single" w:color="auto" w:sz="4" w:space="0"/>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NA</w:t>
            </w:r>
          </w:p>
        </w:tc>
        <w:tc>
          <w:tcPr>
            <w:tcW w:w="703" w:type="pct"/>
            <w:tcBorders>
              <w:top w:val="nil"/>
              <w:left w:val="nil"/>
              <w:bottom w:val="single" w:color="auto" w:sz="4" w:space="0"/>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w:t>
            </w:r>
          </w:p>
        </w:tc>
        <w:tc>
          <w:tcPr>
            <w:tcW w:w="718" w:type="pct"/>
            <w:tcBorders>
              <w:top w:val="nil"/>
              <w:left w:val="nil"/>
              <w:bottom w:val="single" w:color="auto" w:sz="4" w:space="0"/>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26.7</w:t>
            </w:r>
          </w:p>
        </w:tc>
        <w:tc>
          <w:tcPr>
            <w:tcW w:w="83" w:type="pct"/>
            <w:tcBorders>
              <w:top w:val="nil"/>
              <w:left w:val="nil"/>
              <w:bottom w:val="single" w:color="auto" w:sz="4" w:space="0"/>
              <w:right w:val="nil"/>
            </w:tcBorders>
            <w:shd w:val="clear" w:color="auto" w:fill="auto"/>
            <w:noWrap/>
            <w:vAlign w:val="center"/>
          </w:tcPr>
          <w:p>
            <w:pPr>
              <w:spacing w:line="300" w:lineRule="auto"/>
              <w:jc w:val="center"/>
              <w:rPr>
                <w:rFonts w:ascii="Times New Roman" w:hAnsi="Times New Roman"/>
                <w:color w:val="000000"/>
                <w:sz w:val="24"/>
                <w:highlight w:val="none"/>
              </w:rPr>
            </w:pPr>
          </w:p>
        </w:tc>
        <w:tc>
          <w:tcPr>
            <w:tcW w:w="777" w:type="pct"/>
            <w:tcBorders>
              <w:top w:val="nil"/>
              <w:left w:val="nil"/>
              <w:bottom w:val="single" w:color="auto" w:sz="4" w:space="0"/>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NA</w:t>
            </w:r>
          </w:p>
        </w:tc>
        <w:tc>
          <w:tcPr>
            <w:tcW w:w="703" w:type="pct"/>
            <w:tcBorders>
              <w:top w:val="nil"/>
              <w:left w:val="nil"/>
              <w:bottom w:val="single" w:color="auto" w:sz="4" w:space="0"/>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w:t>
            </w:r>
          </w:p>
        </w:tc>
        <w:tc>
          <w:tcPr>
            <w:tcW w:w="718" w:type="pct"/>
            <w:tcBorders>
              <w:top w:val="nil"/>
              <w:left w:val="nil"/>
              <w:bottom w:val="single" w:color="auto" w:sz="4" w:space="0"/>
              <w:right w:val="nil"/>
            </w:tcBorders>
            <w:shd w:val="clear" w:color="auto" w:fill="auto"/>
            <w:vAlign w:val="center"/>
          </w:tcPr>
          <w:p>
            <w:pPr>
              <w:widowControl/>
              <w:spacing w:line="300" w:lineRule="auto"/>
              <w:jc w:val="center"/>
              <w:textAlignment w:val="center"/>
              <w:rPr>
                <w:rFonts w:ascii="Times New Roman" w:hAnsi="Times New Roman"/>
                <w:color w:val="000000"/>
                <w:sz w:val="24"/>
                <w:highlight w:val="none"/>
              </w:rPr>
            </w:pPr>
            <w:r>
              <w:rPr>
                <w:rFonts w:ascii="Times New Roman" w:hAnsi="Times New Roman"/>
                <w:color w:val="000000"/>
                <w:kern w:val="0"/>
                <w:sz w:val="24"/>
                <w:highlight w:val="none"/>
                <w:lang w:bidi="ar"/>
              </w:rPr>
              <w:t>27.8</w:t>
            </w:r>
          </w:p>
        </w:tc>
      </w:tr>
    </w:tbl>
    <w:p>
      <w:pPr>
        <w:spacing w:line="300" w:lineRule="auto"/>
        <w:rPr>
          <w:rFonts w:ascii="Times New Roman" w:hAnsi="Times New Roman"/>
          <w:bCs/>
          <w:sz w:val="24"/>
          <w:highlight w:val="none"/>
        </w:rPr>
      </w:pPr>
      <w:r>
        <w:rPr>
          <w:rFonts w:hint="eastAsia" w:ascii="Times New Roman" w:hAnsi="Times New Roman"/>
          <w:sz w:val="24"/>
          <w:highlight w:val="none"/>
        </w:rPr>
        <w:t xml:space="preserve">Note: </w:t>
      </w:r>
      <w:r>
        <w:rPr>
          <w:rFonts w:hint="eastAsia" w:ascii="Times New Roman" w:hAnsi="Times New Roman"/>
          <w:bCs/>
          <w:sz w:val="24"/>
          <w:highlight w:val="none"/>
        </w:rPr>
        <w:t xml:space="preserve">Cost data of </w:t>
      </w:r>
      <w:r>
        <w:rPr>
          <w:rFonts w:ascii="Times New Roman" w:hAnsi="Times New Roman"/>
          <w:bCs/>
          <w:sz w:val="24"/>
          <w:highlight w:val="none"/>
        </w:rPr>
        <w:t>homestead reclamation</w:t>
      </w:r>
      <w:r>
        <w:rPr>
          <w:rFonts w:hint="eastAsia" w:ascii="Times New Roman" w:hAnsi="Times New Roman"/>
          <w:bCs/>
          <w:sz w:val="24"/>
          <w:highlight w:val="none"/>
        </w:rPr>
        <w:t xml:space="preserve"> and </w:t>
      </w:r>
      <w:r>
        <w:rPr>
          <w:rFonts w:ascii="Times New Roman" w:hAnsi="Times New Roman"/>
          <w:bCs/>
          <w:sz w:val="24"/>
          <w:highlight w:val="none"/>
        </w:rPr>
        <w:t>cropland consolidation</w:t>
      </w:r>
      <w:r>
        <w:rPr>
          <w:rFonts w:hint="eastAsia" w:ascii="Times New Roman" w:hAnsi="Times New Roman"/>
          <w:bCs/>
          <w:sz w:val="24"/>
          <w:highlight w:val="none"/>
        </w:rPr>
        <w:t xml:space="preserve"> were collected from more than 200 implemented </w:t>
      </w:r>
      <w:r>
        <w:rPr>
          <w:rFonts w:ascii="Times New Roman" w:hAnsi="Times New Roman"/>
          <w:bCs/>
          <w:color w:val="000000" w:themeColor="text1"/>
          <w:sz w:val="24"/>
          <w:highlight w:val="none"/>
          <w14:textFill>
            <w14:solidFill>
              <w14:schemeClr w14:val="tx1"/>
            </w14:solidFill>
          </w14:textFill>
        </w:rPr>
        <w:t>pr</w:t>
      </w:r>
      <w:r>
        <w:rPr>
          <w:rFonts w:ascii="Times New Roman" w:hAnsi="Times New Roman"/>
          <w:bCs/>
          <w:sz w:val="24"/>
          <w:highlight w:val="none"/>
        </w:rPr>
        <w:t xml:space="preserve">ojects in China Land Consolidation and Rehabilitation </w:t>
      </w:r>
      <w:r>
        <w:rPr>
          <w:highlight w:val="none"/>
        </w:rPr>
        <w:fldChar w:fldCharType="begin"/>
      </w:r>
      <w:r>
        <w:rPr>
          <w:highlight w:val="none"/>
        </w:rPr>
        <w:instrText xml:space="preserve"> HYPERLINK "file:///D:\\资料\\OneDrive\\桌面\\(http:\\www.lcrc.org.cn)" </w:instrText>
      </w:r>
      <w:r>
        <w:rPr>
          <w:highlight w:val="none"/>
        </w:rPr>
        <w:fldChar w:fldCharType="separate"/>
      </w:r>
      <w:r>
        <w:rPr>
          <w:rFonts w:ascii="Times New Roman" w:hAnsi="Times New Roman"/>
          <w:bCs/>
          <w:sz w:val="24"/>
          <w:highlight w:val="none"/>
        </w:rPr>
        <w:t>(</w:t>
      </w:r>
      <w:r>
        <w:rPr>
          <w:rFonts w:hint="eastAsia" w:ascii="Times New Roman" w:hAnsi="Times New Roman"/>
          <w:bCs/>
          <w:sz w:val="24"/>
          <w:highlight w:val="none"/>
        </w:rPr>
        <w:t>CLCR,</w:t>
      </w:r>
      <w:r>
        <w:rPr>
          <w:rStyle w:val="14"/>
          <w:rFonts w:hint="eastAsia" w:ascii="Times New Roman" w:hAnsi="Times New Roman"/>
          <w:bCs/>
          <w:sz w:val="24"/>
          <w:highlight w:val="none"/>
        </w:rPr>
        <w:t xml:space="preserve"> </w:t>
      </w:r>
      <w:r>
        <w:rPr>
          <w:rStyle w:val="14"/>
          <w:rFonts w:ascii="Times New Roman" w:hAnsi="Times New Roman"/>
          <w:bCs/>
          <w:sz w:val="24"/>
          <w:highlight w:val="none"/>
        </w:rPr>
        <w:t>http://www.lcrc.org.cn</w:t>
      </w:r>
      <w:r>
        <w:rPr>
          <w:rStyle w:val="14"/>
          <w:rFonts w:ascii="Times New Roman" w:hAnsi="Times New Roman"/>
          <w:bCs/>
          <w:sz w:val="24"/>
          <w:highlight w:val="none"/>
        </w:rPr>
        <w:fldChar w:fldCharType="end"/>
      </w:r>
      <w:r>
        <w:rPr>
          <w:rFonts w:ascii="Times New Roman" w:hAnsi="Times New Roman"/>
          <w:bCs/>
          <w:sz w:val="24"/>
          <w:highlight w:val="none"/>
        </w:rPr>
        <w:t>)</w:t>
      </w:r>
      <w:r>
        <w:rPr>
          <w:rFonts w:hint="eastAsia" w:ascii="Times New Roman" w:hAnsi="Times New Roman"/>
          <w:bCs/>
          <w:sz w:val="24"/>
          <w:highlight w:val="none"/>
        </w:rPr>
        <w:t xml:space="preserve">. Subsidy of livestock relocation were collected from 35 local compensation programs by local governments. </w:t>
      </w:r>
    </w:p>
    <w:p>
      <w:pPr>
        <w:rPr>
          <w:rFonts w:ascii="Times New Roman" w:hAnsi="Times New Roman"/>
          <w:bCs/>
          <w:sz w:val="24"/>
          <w:highlight w:val="none"/>
        </w:rPr>
      </w:pPr>
      <w:r>
        <w:rPr>
          <w:rFonts w:hint="eastAsia" w:ascii="Times New Roman" w:hAnsi="Times New Roman"/>
          <w:bCs/>
          <w:sz w:val="24"/>
          <w:highlight w:val="none"/>
        </w:rPr>
        <w:br w:type="page"/>
      </w:r>
    </w:p>
    <w:p>
      <w:pPr>
        <w:spacing w:line="300" w:lineRule="auto"/>
        <w:rPr>
          <w:rFonts w:ascii="Times New Roman" w:hAnsi="Times New Roman"/>
          <w:b/>
          <w:bCs/>
          <w:sz w:val="24"/>
          <w:highlight w:val="none"/>
        </w:rPr>
      </w:pPr>
      <w:r>
        <w:rPr>
          <w:rFonts w:hint="eastAsia" w:ascii="Times New Roman" w:hAnsi="Times New Roman"/>
          <w:color w:val="000000"/>
          <w:kern w:val="0"/>
          <w:sz w:val="24"/>
          <w:highlight w:val="none"/>
        </w:rPr>
        <w:t>T</w:t>
      </w:r>
      <w:r>
        <w:rPr>
          <w:rFonts w:hint="eastAsia" w:ascii="Times New Roman" w:hAnsi="Times New Roman"/>
          <w:b/>
          <w:bCs/>
          <w:sz w:val="24"/>
          <w:highlight w:val="none"/>
        </w:rPr>
        <w:t>able S11 Constraint zone for livestock breeding and livestock volume through crop-livestock coupled</w:t>
      </w:r>
    </w:p>
    <w:tbl>
      <w:tblPr>
        <w:tblStyle w:val="10"/>
        <w:tblW w:w="0" w:type="auto"/>
        <w:tblInd w:w="100" w:type="dxa"/>
        <w:tblLayout w:type="fixed"/>
        <w:tblCellMar>
          <w:top w:w="0" w:type="dxa"/>
          <w:left w:w="108" w:type="dxa"/>
          <w:bottom w:w="0" w:type="dxa"/>
          <w:right w:w="108" w:type="dxa"/>
        </w:tblCellMar>
      </w:tblPr>
      <w:tblGrid>
        <w:gridCol w:w="1716"/>
        <w:gridCol w:w="1577"/>
        <w:gridCol w:w="1613"/>
        <w:gridCol w:w="1001"/>
        <w:gridCol w:w="1200"/>
        <w:gridCol w:w="240"/>
        <w:gridCol w:w="1470"/>
        <w:gridCol w:w="1425"/>
        <w:gridCol w:w="1613"/>
        <w:gridCol w:w="1012"/>
        <w:gridCol w:w="1189"/>
      </w:tblGrid>
      <w:tr>
        <w:tblPrEx>
          <w:tblCellMar>
            <w:top w:w="0" w:type="dxa"/>
            <w:left w:w="108" w:type="dxa"/>
            <w:bottom w:w="0" w:type="dxa"/>
            <w:right w:w="108" w:type="dxa"/>
          </w:tblCellMar>
        </w:tblPrEx>
        <w:trPr>
          <w:trHeight w:val="277" w:hRule="atLeast"/>
        </w:trPr>
        <w:tc>
          <w:tcPr>
            <w:tcW w:w="1716" w:type="dxa"/>
            <w:vMerge w:val="restar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Province</w:t>
            </w:r>
          </w:p>
        </w:tc>
        <w:tc>
          <w:tcPr>
            <w:tcW w:w="1577" w:type="dxa"/>
            <w:vMerge w:val="restar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Abbreviation</w:t>
            </w:r>
          </w:p>
        </w:tc>
        <w:tc>
          <w:tcPr>
            <w:tcW w:w="1613" w:type="dxa"/>
            <w:vMerge w:val="restar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Zones for livestock production</w:t>
            </w:r>
          </w:p>
        </w:tc>
        <w:tc>
          <w:tcPr>
            <w:tcW w:w="2201" w:type="dxa"/>
            <w:gridSpan w:val="2"/>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Livestock (million pig unit)</w:t>
            </w:r>
          </w:p>
        </w:tc>
        <w:tc>
          <w:tcPr>
            <w:tcW w:w="240" w:type="dxa"/>
            <w:tcBorders>
              <w:top w:val="single" w:color="auto" w:sz="4" w:space="0"/>
              <w:left w:val="nil"/>
              <w:bottom w:val="nil"/>
              <w:right w:val="nil"/>
            </w:tcBorders>
            <w:shd w:val="clear" w:color="auto" w:fill="auto"/>
            <w:noWrap/>
            <w:vAlign w:val="center"/>
          </w:tcPr>
          <w:p>
            <w:pPr>
              <w:jc w:val="center"/>
              <w:rPr>
                <w:rFonts w:ascii="Times New Roman" w:hAnsi="Times New Roman" w:eastAsia="等线"/>
                <w:b/>
                <w:bCs/>
                <w:color w:val="000000"/>
                <w:sz w:val="22"/>
                <w:szCs w:val="22"/>
                <w:highlight w:val="none"/>
              </w:rPr>
            </w:pPr>
          </w:p>
        </w:tc>
        <w:tc>
          <w:tcPr>
            <w:tcW w:w="1470" w:type="dxa"/>
            <w:vMerge w:val="restar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Province</w:t>
            </w:r>
          </w:p>
        </w:tc>
        <w:tc>
          <w:tcPr>
            <w:tcW w:w="1425" w:type="dxa"/>
            <w:vMerge w:val="restar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4"/>
                <w:highlight w:val="none"/>
              </w:rPr>
            </w:pPr>
            <w:r>
              <w:rPr>
                <w:rFonts w:ascii="Times New Roman" w:hAnsi="Times New Roman" w:eastAsia="等线"/>
                <w:b/>
                <w:bCs/>
                <w:color w:val="000000"/>
                <w:kern w:val="0"/>
                <w:sz w:val="24"/>
                <w:highlight w:val="none"/>
                <w:lang w:bidi="ar"/>
              </w:rPr>
              <w:t>Abbreviation</w:t>
            </w:r>
          </w:p>
        </w:tc>
        <w:tc>
          <w:tcPr>
            <w:tcW w:w="1613" w:type="dxa"/>
            <w:vMerge w:val="restar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Zones for livestock production</w:t>
            </w:r>
          </w:p>
        </w:tc>
        <w:tc>
          <w:tcPr>
            <w:tcW w:w="2201" w:type="dxa"/>
            <w:gridSpan w:val="2"/>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Livestock (million pig unit)</w:t>
            </w:r>
          </w:p>
        </w:tc>
      </w:tr>
      <w:tr>
        <w:tblPrEx>
          <w:tblCellMar>
            <w:top w:w="0" w:type="dxa"/>
            <w:left w:w="108" w:type="dxa"/>
            <w:bottom w:w="0" w:type="dxa"/>
            <w:right w:w="108" w:type="dxa"/>
          </w:tblCellMar>
        </w:tblPrEx>
        <w:trPr>
          <w:trHeight w:val="810" w:hRule="atLeast"/>
        </w:trPr>
        <w:tc>
          <w:tcPr>
            <w:tcW w:w="1716" w:type="dxa"/>
            <w:vMerge w:val="continue"/>
            <w:tcBorders>
              <w:top w:val="single" w:color="000000" w:sz="4" w:space="0"/>
              <w:left w:val="nil"/>
              <w:bottom w:val="single" w:color="000000" w:sz="4" w:space="0"/>
              <w:right w:val="nil"/>
            </w:tcBorders>
            <w:shd w:val="clear" w:color="auto" w:fill="auto"/>
            <w:noWrap/>
            <w:vAlign w:val="center"/>
          </w:tcPr>
          <w:p>
            <w:pPr>
              <w:jc w:val="center"/>
              <w:rPr>
                <w:rFonts w:ascii="Times New Roman" w:hAnsi="Times New Roman" w:eastAsia="等线"/>
                <w:b/>
                <w:bCs/>
                <w:color w:val="000000"/>
                <w:sz w:val="24"/>
                <w:highlight w:val="none"/>
              </w:rPr>
            </w:pPr>
          </w:p>
        </w:tc>
        <w:tc>
          <w:tcPr>
            <w:tcW w:w="1577" w:type="dxa"/>
            <w:vMerge w:val="continue"/>
            <w:tcBorders>
              <w:top w:val="single" w:color="000000" w:sz="4" w:space="0"/>
              <w:left w:val="nil"/>
              <w:bottom w:val="single" w:color="000000" w:sz="4" w:space="0"/>
              <w:right w:val="nil"/>
            </w:tcBorders>
            <w:shd w:val="clear" w:color="auto" w:fill="auto"/>
            <w:vAlign w:val="center"/>
          </w:tcPr>
          <w:p>
            <w:pPr>
              <w:jc w:val="center"/>
              <w:rPr>
                <w:rFonts w:ascii="Times New Roman" w:hAnsi="Times New Roman" w:eastAsia="等线"/>
                <w:b/>
                <w:bCs/>
                <w:color w:val="000000"/>
                <w:sz w:val="24"/>
                <w:highlight w:val="none"/>
              </w:rPr>
            </w:pPr>
          </w:p>
        </w:tc>
        <w:tc>
          <w:tcPr>
            <w:tcW w:w="1613" w:type="dxa"/>
            <w:vMerge w:val="continue"/>
            <w:tcBorders>
              <w:top w:val="single" w:color="000000" w:sz="4" w:space="0"/>
              <w:left w:val="nil"/>
              <w:bottom w:val="single" w:color="000000" w:sz="4" w:space="0"/>
              <w:right w:val="nil"/>
            </w:tcBorders>
            <w:shd w:val="clear" w:color="auto" w:fill="auto"/>
            <w:vAlign w:val="center"/>
          </w:tcPr>
          <w:p>
            <w:pPr>
              <w:jc w:val="center"/>
              <w:rPr>
                <w:rFonts w:ascii="Times New Roman" w:hAnsi="Times New Roman" w:eastAsia="等线"/>
                <w:b/>
                <w:bCs/>
                <w:color w:val="000000"/>
                <w:sz w:val="22"/>
                <w:szCs w:val="22"/>
                <w:highlight w:val="none"/>
              </w:rPr>
            </w:pPr>
          </w:p>
        </w:tc>
        <w:tc>
          <w:tcPr>
            <w:tcW w:w="1001"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 xml:space="preserve">2017 </w:t>
            </w:r>
          </w:p>
        </w:tc>
        <w:tc>
          <w:tcPr>
            <w:tcW w:w="1200" w:type="dxa"/>
            <w:tcBorders>
              <w:top w:val="nil"/>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2"/>
                <w:szCs w:val="22"/>
                <w:highlight w:val="none"/>
              </w:rPr>
            </w:pPr>
            <w:r>
              <w:rPr>
                <w:rFonts w:hint="eastAsia" w:ascii="Times New Roman" w:hAnsi="Times New Roman" w:eastAsia="等线"/>
                <w:b/>
                <w:bCs/>
                <w:color w:val="000000"/>
                <w:kern w:val="0"/>
                <w:sz w:val="22"/>
                <w:szCs w:val="22"/>
                <w:highlight w:val="none"/>
                <w:lang w:bidi="ar"/>
              </w:rPr>
              <w:t>After coupled</w:t>
            </w:r>
          </w:p>
        </w:tc>
        <w:tc>
          <w:tcPr>
            <w:tcW w:w="240"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b/>
                <w:bCs/>
                <w:color w:val="000000"/>
                <w:sz w:val="22"/>
                <w:szCs w:val="22"/>
                <w:highlight w:val="none"/>
              </w:rPr>
            </w:pPr>
          </w:p>
        </w:tc>
        <w:tc>
          <w:tcPr>
            <w:tcW w:w="1470" w:type="dxa"/>
            <w:vMerge w:val="continue"/>
            <w:tcBorders>
              <w:top w:val="single" w:color="000000" w:sz="4" w:space="0"/>
              <w:left w:val="nil"/>
              <w:bottom w:val="single" w:color="000000" w:sz="4" w:space="0"/>
              <w:right w:val="nil"/>
            </w:tcBorders>
            <w:shd w:val="clear" w:color="auto" w:fill="auto"/>
            <w:noWrap/>
            <w:vAlign w:val="center"/>
          </w:tcPr>
          <w:p>
            <w:pPr>
              <w:jc w:val="center"/>
              <w:rPr>
                <w:rFonts w:ascii="Times New Roman" w:hAnsi="Times New Roman" w:eastAsia="等线"/>
                <w:b/>
                <w:bCs/>
                <w:color w:val="000000"/>
                <w:sz w:val="24"/>
                <w:highlight w:val="none"/>
              </w:rPr>
            </w:pPr>
          </w:p>
        </w:tc>
        <w:tc>
          <w:tcPr>
            <w:tcW w:w="1425" w:type="dxa"/>
            <w:vMerge w:val="continue"/>
            <w:tcBorders>
              <w:top w:val="single" w:color="000000" w:sz="4" w:space="0"/>
              <w:left w:val="nil"/>
              <w:bottom w:val="single" w:color="000000" w:sz="4" w:space="0"/>
              <w:right w:val="nil"/>
            </w:tcBorders>
            <w:shd w:val="clear" w:color="auto" w:fill="auto"/>
            <w:vAlign w:val="center"/>
          </w:tcPr>
          <w:p>
            <w:pPr>
              <w:jc w:val="center"/>
              <w:rPr>
                <w:rFonts w:ascii="Times New Roman" w:hAnsi="Times New Roman" w:eastAsia="等线"/>
                <w:b/>
                <w:bCs/>
                <w:color w:val="000000"/>
                <w:sz w:val="24"/>
                <w:highlight w:val="none"/>
              </w:rPr>
            </w:pPr>
          </w:p>
        </w:tc>
        <w:tc>
          <w:tcPr>
            <w:tcW w:w="1613" w:type="dxa"/>
            <w:vMerge w:val="continue"/>
            <w:tcBorders>
              <w:top w:val="single" w:color="000000" w:sz="4" w:space="0"/>
              <w:left w:val="nil"/>
              <w:bottom w:val="single" w:color="000000" w:sz="4" w:space="0"/>
              <w:right w:val="nil"/>
            </w:tcBorders>
            <w:shd w:val="clear" w:color="auto" w:fill="auto"/>
            <w:vAlign w:val="center"/>
          </w:tcPr>
          <w:p>
            <w:pPr>
              <w:jc w:val="center"/>
              <w:rPr>
                <w:rFonts w:ascii="Times New Roman" w:hAnsi="Times New Roman" w:eastAsia="等线"/>
                <w:b/>
                <w:bCs/>
                <w:color w:val="000000"/>
                <w:sz w:val="22"/>
                <w:szCs w:val="22"/>
                <w:highlight w:val="none"/>
              </w:rPr>
            </w:pPr>
          </w:p>
        </w:tc>
        <w:tc>
          <w:tcPr>
            <w:tcW w:w="1012"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b/>
                <w:bCs/>
                <w:color w:val="000000"/>
                <w:sz w:val="22"/>
                <w:szCs w:val="22"/>
                <w:highlight w:val="none"/>
              </w:rPr>
            </w:pPr>
            <w:r>
              <w:rPr>
                <w:rFonts w:ascii="Times New Roman" w:hAnsi="Times New Roman" w:eastAsia="等线"/>
                <w:b/>
                <w:bCs/>
                <w:color w:val="000000"/>
                <w:kern w:val="0"/>
                <w:sz w:val="22"/>
                <w:szCs w:val="22"/>
                <w:highlight w:val="none"/>
                <w:lang w:bidi="ar"/>
              </w:rPr>
              <w:t xml:space="preserve">2017 </w:t>
            </w:r>
          </w:p>
        </w:tc>
        <w:tc>
          <w:tcPr>
            <w:tcW w:w="1189" w:type="dxa"/>
            <w:tcBorders>
              <w:top w:val="nil"/>
              <w:left w:val="nil"/>
              <w:bottom w:val="single" w:color="000000" w:sz="4" w:space="0"/>
              <w:right w:val="nil"/>
            </w:tcBorders>
            <w:shd w:val="clear" w:color="auto" w:fill="auto"/>
            <w:vAlign w:val="center"/>
          </w:tcPr>
          <w:p>
            <w:pPr>
              <w:widowControl/>
              <w:jc w:val="center"/>
              <w:textAlignment w:val="center"/>
              <w:rPr>
                <w:rFonts w:ascii="Times New Roman" w:hAnsi="Times New Roman" w:eastAsia="等线"/>
                <w:b/>
                <w:bCs/>
                <w:color w:val="000000"/>
                <w:sz w:val="22"/>
                <w:szCs w:val="22"/>
                <w:highlight w:val="none"/>
              </w:rPr>
            </w:pPr>
            <w:r>
              <w:rPr>
                <w:rFonts w:hint="eastAsia" w:ascii="Times New Roman" w:hAnsi="Times New Roman" w:eastAsia="等线"/>
                <w:b/>
                <w:bCs/>
                <w:color w:val="000000"/>
                <w:kern w:val="0"/>
                <w:sz w:val="22"/>
                <w:szCs w:val="22"/>
                <w:highlight w:val="none"/>
                <w:lang w:bidi="ar"/>
              </w:rPr>
              <w:t>After coupled</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Beijing</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FF0000"/>
                <w:sz w:val="24"/>
                <w:highlight w:val="none"/>
              </w:rPr>
            </w:pPr>
            <w:r>
              <w:rPr>
                <w:rFonts w:ascii="Times New Roman" w:hAnsi="Times New Roman" w:eastAsia="等线"/>
                <w:color w:val="000000" w:themeColor="text1"/>
                <w:kern w:val="0"/>
                <w:sz w:val="24"/>
                <w:highlight w:val="none"/>
                <w:lang w:bidi="ar"/>
                <w14:textFill>
                  <w14:solidFill>
                    <w14:schemeClr w14:val="tx1"/>
                  </w14:solidFill>
                </w14:textFill>
              </w:rPr>
              <w:t>BJ</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Hubei</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HB</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142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142 </w:t>
            </w:r>
          </w:p>
        </w:tc>
      </w:tr>
      <w:tr>
        <w:tblPrEx>
          <w:tblCellMar>
            <w:top w:w="0" w:type="dxa"/>
            <w:left w:w="108" w:type="dxa"/>
            <w:bottom w:w="0" w:type="dxa"/>
            <w:right w:w="108" w:type="dxa"/>
          </w:tblCellMar>
        </w:tblPrEx>
        <w:trPr>
          <w:trHeight w:val="300"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Tianjin</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TJ</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17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15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Hunan</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HN</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173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117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Hebei</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HB</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184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186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Guangdong</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GD</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126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76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Shanxi</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SX</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81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92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Guangxi</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GX</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128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96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Inner Mongolia</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NMG</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96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168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Hainan</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HN</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20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17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Liaoning</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LN</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132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144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Chongqing</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CQ</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54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60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Jilin</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JL</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67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91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Sichuan</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SC</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179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198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Heilongjiang</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HLJ</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89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89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Guizhou</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GZ</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73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67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Shanghai</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SH</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Yunnan</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YN</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185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108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Jiangsu</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JS</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108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108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Tibet</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XZ</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14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4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Zhejiang</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ZJ</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32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32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Shannxi</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SX</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60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104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Anhui</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AH</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109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109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Gansu</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GS</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60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66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Fujian</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FJ</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57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32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Qinghai</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QH</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17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12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Jiangxi</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JX</w:t>
            </w:r>
          </w:p>
        </w:tc>
        <w:tc>
          <w:tcPr>
            <w:tcW w:w="161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Constraint zone</w:t>
            </w: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90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85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Ningxia</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NX</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31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16 </w:t>
            </w:r>
          </w:p>
        </w:tc>
      </w:tr>
      <w:tr>
        <w:tblPrEx>
          <w:tblCellMar>
            <w:top w:w="0" w:type="dxa"/>
            <w:left w:w="108" w:type="dxa"/>
            <w:bottom w:w="0" w:type="dxa"/>
            <w:right w:w="108" w:type="dxa"/>
          </w:tblCellMar>
        </w:tblPrEx>
        <w:trPr>
          <w:trHeight w:val="307" w:hRule="atLeast"/>
        </w:trPr>
        <w:tc>
          <w:tcPr>
            <w:tcW w:w="1716"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Shandong</w:t>
            </w:r>
          </w:p>
        </w:tc>
        <w:tc>
          <w:tcPr>
            <w:tcW w:w="157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SD</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227 </w:t>
            </w:r>
          </w:p>
        </w:tc>
        <w:tc>
          <w:tcPr>
            <w:tcW w:w="120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235 </w:t>
            </w:r>
          </w:p>
        </w:tc>
        <w:tc>
          <w:tcPr>
            <w:tcW w:w="240"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Xinjiang</w:t>
            </w:r>
          </w:p>
        </w:tc>
        <w:tc>
          <w:tcPr>
            <w:tcW w:w="142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XJ</w:t>
            </w:r>
          </w:p>
        </w:tc>
        <w:tc>
          <w:tcPr>
            <w:tcW w:w="1613" w:type="dxa"/>
            <w:tcBorders>
              <w:top w:val="nil"/>
              <w:left w:val="nil"/>
              <w:bottom w:val="nil"/>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82 </w:t>
            </w:r>
          </w:p>
        </w:tc>
        <w:tc>
          <w:tcPr>
            <w:tcW w:w="1189"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121 </w:t>
            </w:r>
          </w:p>
        </w:tc>
      </w:tr>
      <w:tr>
        <w:tblPrEx>
          <w:tblCellMar>
            <w:top w:w="0" w:type="dxa"/>
            <w:left w:w="108" w:type="dxa"/>
            <w:bottom w:w="0" w:type="dxa"/>
            <w:right w:w="108" w:type="dxa"/>
          </w:tblCellMar>
        </w:tblPrEx>
        <w:trPr>
          <w:trHeight w:val="307" w:hRule="atLeast"/>
        </w:trPr>
        <w:tc>
          <w:tcPr>
            <w:tcW w:w="1716"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Henan</w:t>
            </w:r>
          </w:p>
        </w:tc>
        <w:tc>
          <w:tcPr>
            <w:tcW w:w="1577"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color w:val="000000"/>
                <w:sz w:val="24"/>
                <w:highlight w:val="none"/>
              </w:rPr>
            </w:pPr>
            <w:r>
              <w:rPr>
                <w:rFonts w:ascii="Times New Roman" w:hAnsi="Times New Roman" w:eastAsia="等线"/>
                <w:color w:val="000000"/>
                <w:kern w:val="0"/>
                <w:sz w:val="24"/>
                <w:highlight w:val="none"/>
                <w:lang w:bidi="ar"/>
              </w:rPr>
              <w:t>HN</w:t>
            </w:r>
          </w:p>
        </w:tc>
        <w:tc>
          <w:tcPr>
            <w:tcW w:w="1613"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01"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202 </w:t>
            </w:r>
          </w:p>
        </w:tc>
        <w:tc>
          <w:tcPr>
            <w:tcW w:w="1200"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等线"/>
                <w:color w:val="000000"/>
                <w:sz w:val="22"/>
                <w:szCs w:val="22"/>
                <w:highlight w:val="none"/>
              </w:rPr>
            </w:pPr>
            <w:r>
              <w:rPr>
                <w:rFonts w:ascii="Times New Roman" w:hAnsi="Times New Roman" w:eastAsia="等线"/>
                <w:color w:val="000000"/>
                <w:kern w:val="0"/>
                <w:sz w:val="22"/>
                <w:szCs w:val="22"/>
                <w:highlight w:val="none"/>
                <w:lang w:bidi="ar"/>
              </w:rPr>
              <w:t xml:space="preserve">247 </w:t>
            </w:r>
          </w:p>
        </w:tc>
        <w:tc>
          <w:tcPr>
            <w:tcW w:w="240"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70"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425"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613"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012"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c>
          <w:tcPr>
            <w:tcW w:w="1189" w:type="dxa"/>
            <w:tcBorders>
              <w:top w:val="nil"/>
              <w:left w:val="nil"/>
              <w:bottom w:val="single" w:color="000000" w:sz="4" w:space="0"/>
              <w:right w:val="nil"/>
            </w:tcBorders>
            <w:shd w:val="clear" w:color="auto" w:fill="auto"/>
            <w:noWrap/>
            <w:vAlign w:val="center"/>
          </w:tcPr>
          <w:p>
            <w:pPr>
              <w:jc w:val="center"/>
              <w:rPr>
                <w:rFonts w:ascii="Times New Roman" w:hAnsi="Times New Roman" w:eastAsia="等线"/>
                <w:color w:val="000000"/>
                <w:sz w:val="22"/>
                <w:szCs w:val="22"/>
                <w:highlight w:val="none"/>
              </w:rPr>
            </w:pPr>
          </w:p>
        </w:tc>
      </w:tr>
    </w:tbl>
    <w:p>
      <w:pPr>
        <w:spacing w:line="300" w:lineRule="auto"/>
        <w:rPr>
          <w:rFonts w:ascii="Times New Roman" w:hAnsi="Times New Roman"/>
          <w:bCs/>
          <w:sz w:val="24"/>
          <w:highlight w:val="none"/>
        </w:rPr>
      </w:pPr>
    </w:p>
    <w:p>
      <w:pPr>
        <w:spacing w:line="300" w:lineRule="auto"/>
        <w:rPr>
          <w:rFonts w:ascii="Times New Roman" w:hAnsi="Times New Roman"/>
          <w:sz w:val="24"/>
          <w:highlight w:val="none"/>
        </w:rPr>
      </w:pPr>
    </w:p>
    <w:p>
      <w:pPr>
        <w:autoSpaceDE w:val="0"/>
        <w:autoSpaceDN w:val="0"/>
        <w:adjustRightInd w:val="0"/>
        <w:spacing w:line="300" w:lineRule="auto"/>
        <w:rPr>
          <w:rFonts w:ascii="Times New Roman" w:hAnsi="Times New Roman"/>
          <w:color w:val="000000"/>
          <w:kern w:val="0"/>
          <w:sz w:val="24"/>
          <w:highlight w:val="none"/>
        </w:rPr>
        <w:sectPr>
          <w:pgSz w:w="16838" w:h="11906" w:orient="landscape"/>
          <w:pgMar w:top="1800" w:right="1440" w:bottom="1800" w:left="1440" w:header="851" w:footer="992" w:gutter="0"/>
          <w:lnNumType w:countBy="1" w:restart="continuous"/>
          <w:cols w:space="720" w:num="1"/>
          <w:docGrid w:type="lines" w:linePitch="312" w:charSpace="0"/>
        </w:sectPr>
      </w:pPr>
    </w:p>
    <w:p>
      <w:pPr>
        <w:autoSpaceDE w:val="0"/>
        <w:autoSpaceDN w:val="0"/>
        <w:adjustRightInd w:val="0"/>
        <w:spacing w:line="300" w:lineRule="auto"/>
        <w:jc w:val="center"/>
        <w:rPr>
          <w:rFonts w:ascii="Times New Roman" w:hAnsi="Times New Roman"/>
          <w:kern w:val="0"/>
          <w:sz w:val="24"/>
          <w:highlight w:val="none"/>
        </w:rPr>
      </w:pPr>
      <w:r>
        <w:rPr>
          <w:rFonts w:ascii="Times New Roman" w:hAnsi="Times New Roman"/>
          <w:kern w:val="0"/>
          <w:sz w:val="24"/>
          <w:highlight w:val="none"/>
        </w:rPr>
        <w:drawing>
          <wp:inline distT="0" distB="0" distL="114300" distR="114300">
            <wp:extent cx="3959860" cy="3908425"/>
            <wp:effectExtent l="0" t="0" r="2540" b="6350"/>
            <wp:docPr id="1" name="图片 1" descr="Gu_NH3NOx_2015&amp;IU_模拟结果-徐嘉钰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u_NH3NOx_2015&amp;IU_模拟结果-徐嘉钰_01"/>
                    <pic:cNvPicPr>
                      <a:picLocks noChangeAspect="1"/>
                    </pic:cNvPicPr>
                  </pic:nvPicPr>
                  <pic:blipFill>
                    <a:blip r:embed="rId49"/>
                    <a:srcRect l="24150" r="18857"/>
                    <a:stretch>
                      <a:fillRect/>
                    </a:stretch>
                  </pic:blipFill>
                  <pic:spPr>
                    <a:xfrm>
                      <a:off x="0" y="0"/>
                      <a:ext cx="3959860" cy="3908425"/>
                    </a:xfrm>
                    <a:prstGeom prst="rect">
                      <a:avLst/>
                    </a:prstGeom>
                  </pic:spPr>
                </pic:pic>
              </a:graphicData>
            </a:graphic>
          </wp:inline>
        </w:drawing>
      </w:r>
    </w:p>
    <w:p>
      <w:pPr>
        <w:autoSpaceDE w:val="0"/>
        <w:autoSpaceDN w:val="0"/>
        <w:adjustRightInd w:val="0"/>
        <w:spacing w:line="300" w:lineRule="auto"/>
        <w:ind w:left="241" w:hanging="241" w:hangingChars="100"/>
        <w:jc w:val="left"/>
        <w:outlineLvl w:val="0"/>
        <w:rPr>
          <w:rFonts w:ascii="Times New Roman" w:hAnsi="Times New Roman"/>
          <w:b/>
          <w:bCs/>
          <w:kern w:val="0"/>
          <w:sz w:val="24"/>
          <w:highlight w:val="none"/>
        </w:rPr>
      </w:pPr>
      <w:bookmarkStart w:id="33" w:name="_Toc7642"/>
      <w:r>
        <w:rPr>
          <w:rFonts w:ascii="Times New Roman" w:hAnsi="Times New Roman"/>
          <w:b/>
          <w:bCs/>
          <w:kern w:val="0"/>
          <w:sz w:val="24"/>
          <w:highlight w:val="none"/>
        </w:rPr>
        <w:t>Fig. S</w:t>
      </w:r>
      <w:r>
        <w:rPr>
          <w:rFonts w:hint="eastAsia" w:ascii="Times New Roman" w:hAnsi="Times New Roman"/>
          <w:b/>
          <w:bCs/>
          <w:kern w:val="0"/>
          <w:sz w:val="24"/>
          <w:highlight w:val="none"/>
        </w:rPr>
        <w:t xml:space="preserve">1 </w:t>
      </w:r>
      <w:r>
        <w:rPr>
          <w:rFonts w:ascii="Times New Roman" w:hAnsi="Times New Roman"/>
          <w:sz w:val="24"/>
          <w:highlight w:val="none"/>
        </w:rPr>
        <w:t>|</w:t>
      </w:r>
      <w:r>
        <w:rPr>
          <w:rFonts w:hint="eastAsia" w:ascii="Times New Roman" w:hAnsi="Times New Roman"/>
          <w:sz w:val="24"/>
          <w:highlight w:val="none"/>
        </w:rPr>
        <w:t xml:space="preserve"> </w:t>
      </w:r>
      <w:r>
        <w:rPr>
          <w:rFonts w:ascii="Times New Roman" w:hAnsi="Times New Roman"/>
          <w:b/>
          <w:bCs/>
          <w:kern w:val="0"/>
          <w:sz w:val="24"/>
          <w:highlight w:val="none"/>
        </w:rPr>
        <w:t>Comparison of observed and modeled monthly mean PM</w:t>
      </w:r>
      <w:r>
        <w:rPr>
          <w:rFonts w:ascii="Times New Roman" w:hAnsi="Times New Roman"/>
          <w:b/>
          <w:bCs/>
          <w:kern w:val="0"/>
          <w:sz w:val="24"/>
          <w:highlight w:val="none"/>
          <w:vertAlign w:val="subscript"/>
        </w:rPr>
        <w:t>2.5</w:t>
      </w:r>
      <w:r>
        <w:rPr>
          <w:rFonts w:hint="eastAsia" w:ascii="Times New Roman" w:hAnsi="Times New Roman"/>
          <w:b/>
          <w:bCs/>
          <w:kern w:val="0"/>
          <w:sz w:val="24"/>
          <w:highlight w:val="none"/>
          <w:vertAlign w:val="subscript"/>
        </w:rPr>
        <w:t xml:space="preserve"> </w:t>
      </w:r>
      <w:r>
        <w:rPr>
          <w:rFonts w:ascii="Times New Roman" w:hAnsi="Times New Roman"/>
          <w:b/>
          <w:bCs/>
          <w:kern w:val="0"/>
          <w:sz w:val="24"/>
          <w:highlight w:val="none"/>
        </w:rPr>
        <w:t>concentrations.</w:t>
      </w:r>
      <w:bookmarkEnd w:id="33"/>
      <w:r>
        <w:rPr>
          <w:rFonts w:ascii="Times New Roman" w:hAnsi="Times New Roman"/>
          <w:b/>
          <w:bCs/>
          <w:kern w:val="0"/>
          <w:sz w:val="24"/>
          <w:highlight w:val="none"/>
        </w:rPr>
        <w:t xml:space="preserve"> </w:t>
      </w:r>
    </w:p>
    <w:p>
      <w:pPr>
        <w:spacing w:beforeLines="0" w:afterLines="0"/>
        <w:jc w:val="left"/>
        <w:rPr>
          <w:rFonts w:hint="default"/>
          <w:sz w:val="24"/>
          <w:szCs w:val="24"/>
          <w:highlight w:val="none"/>
        </w:rPr>
      </w:pPr>
      <w:r>
        <w:rPr>
          <w:rFonts w:ascii="Times New Roman" w:hAnsi="Times New Roman"/>
          <w:sz w:val="24"/>
          <w:highlight w:val="none"/>
        </w:rPr>
        <w:fldChar w:fldCharType="begin"/>
      </w:r>
      <w:r>
        <w:rPr>
          <w:rFonts w:hint="eastAsia" w:ascii="Times New Roman" w:hAnsi="Times New Roman"/>
          <w:sz w:val="24"/>
          <w:highlight w:val="none"/>
          <w:lang w:eastAsia="zh-CN"/>
        </w:rPr>
        <w:instrText xml:space="preserve"> ADDIN NE.Rep</w:instrText>
      </w:r>
      <w:r>
        <w:rPr>
          <w:rFonts w:ascii="Times New Roman" w:hAnsi="Times New Roman"/>
          <w:sz w:val="24"/>
          <w:highlight w:val="none"/>
        </w:rPr>
        <w:fldChar w:fldCharType="separate"/>
      </w:r>
    </w:p>
    <w:p>
      <w:pPr>
        <w:spacing w:beforeLines="0" w:afterLines="0"/>
        <w:jc w:val="left"/>
        <w:rPr>
          <w:rFonts w:hint="default"/>
          <w:sz w:val="24"/>
          <w:szCs w:val="24"/>
          <w:highlight w:val="none"/>
        </w:rPr>
      </w:pPr>
      <w:r>
        <w:rPr>
          <w:rFonts w:ascii="Times New Roman" w:hAnsi="Times New Roman"/>
          <w:sz w:val="24"/>
          <w:highlight w:val="none"/>
        </w:rPr>
        <w:fldChar w:fldCharType="end"/>
      </w:r>
      <w:r>
        <w:rPr>
          <w:rFonts w:ascii="Times New Roman" w:hAnsi="Times New Roman"/>
          <w:sz w:val="24"/>
          <w:highlight w:val="none"/>
        </w:rPr>
        <w:fldChar w:fldCharType="begin"/>
      </w:r>
      <w:r>
        <w:rPr>
          <w:rFonts w:hint="eastAsia" w:ascii="Times New Roman" w:hAnsi="Times New Roman"/>
          <w:sz w:val="24"/>
          <w:highlight w:val="none"/>
          <w:lang w:eastAsia="zh-CN"/>
        </w:rPr>
        <w:instrText xml:space="preserve"> ADDIN NE.Bib</w:instrText>
      </w:r>
      <w:r>
        <w:rPr>
          <w:rFonts w:ascii="Times New Roman" w:hAnsi="Times New Roman"/>
          <w:sz w:val="24"/>
          <w:highlight w:val="none"/>
        </w:rPr>
        <w:fldChar w:fldCharType="separate"/>
      </w:r>
    </w:p>
    <w:p>
      <w:pPr>
        <w:spacing w:beforeLines="0" w:afterLines="0"/>
        <w:jc w:val="center"/>
        <w:rPr>
          <w:rFonts w:hint="default"/>
          <w:sz w:val="24"/>
          <w:szCs w:val="24"/>
          <w:highlight w:val="none"/>
        </w:rPr>
      </w:pPr>
      <w:r>
        <w:rPr>
          <w:rFonts w:hint="default" w:ascii="Times New Roman" w:hAnsi="Times New Roman" w:eastAsia="Times New Roman"/>
          <w:b/>
          <w:color w:val="000000"/>
          <w:sz w:val="40"/>
          <w:szCs w:val="24"/>
          <w:highlight w:val="none"/>
        </w:rPr>
        <w:t>References:</w:t>
      </w:r>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1</w:t>
      </w:r>
      <w:r>
        <w:rPr>
          <w:rFonts w:hint="default" w:ascii="Times New Roman" w:hAnsi="Times New Roman" w:eastAsia="Times New Roman"/>
          <w:color w:val="000000"/>
          <w:sz w:val="20"/>
          <w:szCs w:val="24"/>
          <w:highlight w:val="none"/>
        </w:rPr>
        <w:tab/>
      </w:r>
      <w:bookmarkStart w:id="34" w:name="_neb7C8270B8_A1F8_49B9_973D_2B972CDC58E4"/>
      <w:r>
        <w:rPr>
          <w:rFonts w:hint="default" w:ascii="Times New Roman" w:hAnsi="Times New Roman" w:eastAsia="Times New Roman"/>
          <w:color w:val="000000"/>
          <w:sz w:val="20"/>
          <w:szCs w:val="24"/>
          <w:highlight w:val="none"/>
        </w:rPr>
        <w:t>Wang, S.</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Urbanization can benefit agricultural production with large-scale farming in China. </w:t>
      </w:r>
      <w:r>
        <w:rPr>
          <w:rFonts w:hint="default" w:ascii="Times New Roman" w:hAnsi="Times New Roman" w:eastAsia="Times New Roman"/>
          <w:i/>
          <w:color w:val="000000"/>
          <w:sz w:val="20"/>
          <w:szCs w:val="24"/>
          <w:highlight w:val="none"/>
        </w:rPr>
        <w:t>Nature Food</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2</w:t>
      </w:r>
      <w:r>
        <w:rPr>
          <w:rFonts w:hint="default" w:ascii="Times New Roman" w:hAnsi="Times New Roman" w:eastAsia="Times New Roman"/>
          <w:color w:val="000000"/>
          <w:sz w:val="20"/>
          <w:szCs w:val="24"/>
          <w:highlight w:val="none"/>
        </w:rPr>
        <w:t xml:space="preserve"> 183-191 (2021).</w:t>
      </w:r>
      <w:bookmarkEnd w:id="34"/>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2</w:t>
      </w:r>
      <w:r>
        <w:rPr>
          <w:rFonts w:hint="default" w:ascii="Times New Roman" w:hAnsi="Times New Roman" w:eastAsia="Times New Roman"/>
          <w:color w:val="000000"/>
          <w:sz w:val="20"/>
          <w:szCs w:val="24"/>
          <w:highlight w:val="none"/>
        </w:rPr>
        <w:tab/>
      </w:r>
      <w:bookmarkStart w:id="35" w:name="_nebAE8C5470_0AC5_4739_A5A0_8CF06356D765"/>
      <w:r>
        <w:rPr>
          <w:rFonts w:hint="default" w:ascii="Times New Roman" w:hAnsi="Times New Roman" w:eastAsia="Times New Roman"/>
          <w:color w:val="000000"/>
          <w:sz w:val="20"/>
          <w:szCs w:val="24"/>
          <w:highlight w:val="none"/>
        </w:rPr>
        <w:t>Duan, J.</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Consolidation of agricultural land can contribute to agricultural sustainability in China. </w:t>
      </w:r>
      <w:r>
        <w:rPr>
          <w:rFonts w:hint="default" w:ascii="Times New Roman" w:hAnsi="Times New Roman" w:eastAsia="Times New Roman"/>
          <w:i/>
          <w:color w:val="000000"/>
          <w:sz w:val="20"/>
          <w:szCs w:val="24"/>
          <w:highlight w:val="none"/>
        </w:rPr>
        <w:t>Nature Food</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2</w:t>
      </w:r>
      <w:r>
        <w:rPr>
          <w:rFonts w:hint="default" w:ascii="Times New Roman" w:hAnsi="Times New Roman" w:eastAsia="Times New Roman"/>
          <w:color w:val="000000"/>
          <w:sz w:val="20"/>
          <w:szCs w:val="24"/>
          <w:highlight w:val="none"/>
        </w:rPr>
        <w:t xml:space="preserve"> 1014-1022 (2021).</w:t>
      </w:r>
      <w:bookmarkEnd w:id="35"/>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3</w:t>
      </w:r>
      <w:r>
        <w:rPr>
          <w:rFonts w:hint="default" w:ascii="Times New Roman" w:hAnsi="Times New Roman" w:eastAsia="Times New Roman"/>
          <w:color w:val="000000"/>
          <w:sz w:val="20"/>
          <w:szCs w:val="24"/>
          <w:highlight w:val="none"/>
        </w:rPr>
        <w:tab/>
      </w:r>
      <w:bookmarkStart w:id="36" w:name="_nebD79FE1E4_282B_45FF_8043_646E9D7805C6"/>
      <w:r>
        <w:rPr>
          <w:rFonts w:hint="default" w:ascii="Times New Roman" w:hAnsi="Times New Roman" w:eastAsia="Times New Roman"/>
          <w:color w:val="000000"/>
          <w:sz w:val="20"/>
          <w:szCs w:val="24"/>
          <w:highlight w:val="none"/>
        </w:rPr>
        <w:t>Zhu, Z.</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Integrated livestock sector nitrogen pollution abatement measures could generate net benefits for human and ecosystem health in China. </w:t>
      </w:r>
      <w:r>
        <w:rPr>
          <w:rFonts w:hint="default" w:ascii="Times New Roman" w:hAnsi="Times New Roman" w:eastAsia="Times New Roman"/>
          <w:i/>
          <w:color w:val="000000"/>
          <w:sz w:val="20"/>
          <w:szCs w:val="24"/>
          <w:highlight w:val="none"/>
        </w:rPr>
        <w:t>Nature Food</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3</w:t>
      </w:r>
      <w:r>
        <w:rPr>
          <w:rFonts w:hint="default" w:ascii="Times New Roman" w:hAnsi="Times New Roman" w:eastAsia="Times New Roman"/>
          <w:color w:val="000000"/>
          <w:sz w:val="20"/>
          <w:szCs w:val="24"/>
          <w:highlight w:val="none"/>
        </w:rPr>
        <w:t xml:space="preserve"> 161-168 (2022).</w:t>
      </w:r>
      <w:bookmarkEnd w:id="36"/>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4</w:t>
      </w:r>
      <w:r>
        <w:rPr>
          <w:rFonts w:hint="default" w:ascii="Times New Roman" w:hAnsi="Times New Roman" w:eastAsia="Times New Roman"/>
          <w:color w:val="000000"/>
          <w:sz w:val="20"/>
          <w:szCs w:val="24"/>
          <w:highlight w:val="none"/>
        </w:rPr>
        <w:tab/>
      </w:r>
      <w:bookmarkStart w:id="37" w:name="_nebAB7AF484_0DE7_405A_BDDC_E59B281B73C5"/>
      <w:r>
        <w:rPr>
          <w:rFonts w:hint="default" w:ascii="Times New Roman" w:hAnsi="Times New Roman" w:eastAsia="Times New Roman"/>
          <w:color w:val="000000"/>
          <w:sz w:val="20"/>
          <w:szCs w:val="24"/>
          <w:highlight w:val="none"/>
        </w:rPr>
        <w:t>Technical Guide for Measuring the Land Carrying Capacity of Livestock and Poultry Manure. (Ministry of Agriculture and Rural Affairs, PRC, 2018) http://www.xmsyj.moa.gov.cn/zcjd/201904/t20190429_6287183.htm</w:t>
      </w:r>
      <w:bookmarkEnd w:id="37"/>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5</w:t>
      </w:r>
      <w:r>
        <w:rPr>
          <w:rFonts w:hint="default" w:ascii="Times New Roman" w:hAnsi="Times New Roman" w:eastAsia="Times New Roman"/>
          <w:color w:val="000000"/>
          <w:sz w:val="20"/>
          <w:szCs w:val="24"/>
          <w:highlight w:val="none"/>
        </w:rPr>
        <w:tab/>
      </w:r>
      <w:bookmarkStart w:id="38" w:name="_neb0704AA8F_5348_4F0C_BFDA_3717A86D25E1"/>
      <w:r>
        <w:rPr>
          <w:rFonts w:hint="default" w:ascii="Times New Roman" w:hAnsi="Times New Roman" w:eastAsia="Times New Roman"/>
          <w:color w:val="000000"/>
          <w:sz w:val="20"/>
          <w:szCs w:val="24"/>
          <w:highlight w:val="none"/>
        </w:rPr>
        <w:t xml:space="preserve">Gu, B., Ju, X., Chang, J., Ge, Y. &amp; Vitousek, P. M. Integrated reactive nitrogen budgets and future trends in China. </w:t>
      </w:r>
      <w:r>
        <w:rPr>
          <w:rFonts w:hint="default" w:ascii="Times New Roman" w:hAnsi="Times New Roman" w:eastAsia="Times New Roman"/>
          <w:i/>
          <w:color w:val="000000"/>
          <w:sz w:val="20"/>
          <w:szCs w:val="24"/>
          <w:highlight w:val="none"/>
        </w:rPr>
        <w:t>Proc. Natl. Acad. Sci. U.S.A.</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112</w:t>
      </w:r>
      <w:r>
        <w:rPr>
          <w:rFonts w:hint="default" w:ascii="Times New Roman" w:hAnsi="Times New Roman" w:eastAsia="Times New Roman"/>
          <w:color w:val="000000"/>
          <w:sz w:val="20"/>
          <w:szCs w:val="24"/>
          <w:highlight w:val="none"/>
        </w:rPr>
        <w:t xml:space="preserve"> 8792-8797 (2015).</w:t>
      </w:r>
      <w:bookmarkEnd w:id="38"/>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6</w:t>
      </w:r>
      <w:r>
        <w:rPr>
          <w:rFonts w:hint="default" w:ascii="Times New Roman" w:hAnsi="Times New Roman" w:eastAsia="Times New Roman"/>
          <w:color w:val="000000"/>
          <w:sz w:val="20"/>
          <w:szCs w:val="24"/>
          <w:highlight w:val="none"/>
        </w:rPr>
        <w:tab/>
      </w:r>
      <w:bookmarkStart w:id="39" w:name="_nebF7094E98_0882_421A_95EE_605A2EBA99CF"/>
      <w:r>
        <w:rPr>
          <w:rFonts w:hint="default" w:ascii="Times New Roman" w:hAnsi="Times New Roman" w:eastAsia="Times New Roman"/>
          <w:color w:val="000000"/>
          <w:sz w:val="20"/>
          <w:szCs w:val="24"/>
          <w:highlight w:val="none"/>
        </w:rPr>
        <w:t>Gu, B.</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Toward a Generic Analytical Framework for Sustainable Nitrogen Management: Application for China. </w:t>
      </w:r>
      <w:r>
        <w:rPr>
          <w:rFonts w:hint="default" w:ascii="Times New Roman" w:hAnsi="Times New Roman" w:eastAsia="Times New Roman"/>
          <w:i/>
          <w:color w:val="000000"/>
          <w:sz w:val="20"/>
          <w:szCs w:val="24"/>
          <w:highlight w:val="none"/>
        </w:rPr>
        <w:t>Environ Sci Technol</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53</w:t>
      </w:r>
      <w:r>
        <w:rPr>
          <w:rFonts w:hint="default" w:ascii="Times New Roman" w:hAnsi="Times New Roman" w:eastAsia="Times New Roman"/>
          <w:color w:val="000000"/>
          <w:sz w:val="20"/>
          <w:szCs w:val="24"/>
          <w:highlight w:val="none"/>
        </w:rPr>
        <w:t xml:space="preserve"> 1109-1118 (2019).</w:t>
      </w:r>
      <w:bookmarkEnd w:id="39"/>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7</w:t>
      </w:r>
      <w:r>
        <w:rPr>
          <w:rFonts w:hint="default" w:ascii="Times New Roman" w:hAnsi="Times New Roman" w:eastAsia="Times New Roman"/>
          <w:color w:val="000000"/>
          <w:sz w:val="20"/>
          <w:szCs w:val="24"/>
          <w:highlight w:val="none"/>
        </w:rPr>
        <w:tab/>
      </w:r>
      <w:bookmarkStart w:id="40" w:name="_nebB8A53C0E_1032_4C3C_9B37_A868EC6506EE"/>
      <w:r>
        <w:rPr>
          <w:rFonts w:hint="default" w:ascii="Times New Roman" w:hAnsi="Times New Roman" w:eastAsia="Times New Roman"/>
          <w:color w:val="000000"/>
          <w:sz w:val="20"/>
          <w:szCs w:val="24"/>
          <w:highlight w:val="none"/>
        </w:rPr>
        <w:t>Wang, C.</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An empirical model to estimate ammonia emission from cropland fertilization in China. </w:t>
      </w:r>
      <w:r>
        <w:rPr>
          <w:rFonts w:hint="default" w:ascii="Times New Roman" w:hAnsi="Times New Roman" w:eastAsia="Times New Roman"/>
          <w:i/>
          <w:color w:val="000000"/>
          <w:sz w:val="20"/>
          <w:szCs w:val="24"/>
          <w:highlight w:val="none"/>
        </w:rPr>
        <w:t>Environ Pollut</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288</w:t>
      </w:r>
      <w:r>
        <w:rPr>
          <w:rFonts w:hint="default" w:ascii="Times New Roman" w:hAnsi="Times New Roman" w:eastAsia="Times New Roman"/>
          <w:color w:val="000000"/>
          <w:sz w:val="20"/>
          <w:szCs w:val="24"/>
          <w:highlight w:val="none"/>
        </w:rPr>
        <w:t xml:space="preserve"> 117982 (2021).</w:t>
      </w:r>
      <w:bookmarkEnd w:id="40"/>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8</w:t>
      </w:r>
      <w:r>
        <w:rPr>
          <w:rFonts w:hint="default" w:ascii="Times New Roman" w:hAnsi="Times New Roman" w:eastAsia="Times New Roman"/>
          <w:color w:val="000000"/>
          <w:sz w:val="20"/>
          <w:szCs w:val="24"/>
          <w:highlight w:val="none"/>
        </w:rPr>
        <w:tab/>
      </w:r>
      <w:bookmarkStart w:id="41" w:name="_nebAAAAAE7D_987D_4B06_8B9D_A37FDB36D726"/>
      <w:r>
        <w:rPr>
          <w:rFonts w:hint="default" w:ascii="Times New Roman" w:hAnsi="Times New Roman" w:eastAsia="Times New Roman"/>
          <w:color w:val="000000"/>
          <w:sz w:val="20"/>
          <w:szCs w:val="24"/>
          <w:highlight w:val="none"/>
        </w:rPr>
        <w:t>Wang, C.</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Ammonia Emissions from Croplands Decrease with Farm Size in China. </w:t>
      </w:r>
      <w:r>
        <w:rPr>
          <w:rFonts w:hint="default" w:ascii="Times New Roman" w:hAnsi="Times New Roman" w:eastAsia="Times New Roman"/>
          <w:i/>
          <w:color w:val="000000"/>
          <w:sz w:val="20"/>
          <w:szCs w:val="24"/>
          <w:highlight w:val="none"/>
        </w:rPr>
        <w:t>Environ Sci Technol</w:t>
      </w:r>
      <w:r>
        <w:rPr>
          <w:rFonts w:hint="default" w:ascii="Times New Roman" w:hAnsi="Times New Roman" w:eastAsia="Times New Roman"/>
          <w:color w:val="000000"/>
          <w:sz w:val="20"/>
          <w:szCs w:val="24"/>
          <w:highlight w:val="none"/>
        </w:rPr>
        <w:t xml:space="preserve"> (2022).</w:t>
      </w:r>
      <w:bookmarkEnd w:id="41"/>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 xml:space="preserve"> 9</w:t>
      </w:r>
      <w:r>
        <w:rPr>
          <w:rFonts w:hint="default" w:ascii="Times New Roman" w:hAnsi="Times New Roman" w:eastAsia="Times New Roman"/>
          <w:color w:val="000000"/>
          <w:sz w:val="20"/>
          <w:szCs w:val="24"/>
          <w:highlight w:val="none"/>
        </w:rPr>
        <w:tab/>
      </w:r>
      <w:bookmarkStart w:id="42" w:name="_nebF09E318B_BB50_4895_8C2B_D9F41D8F9214"/>
      <w:r>
        <w:rPr>
          <w:rFonts w:hint="default" w:ascii="Times New Roman" w:hAnsi="Times New Roman" w:eastAsia="Times New Roman"/>
          <w:color w:val="000000"/>
          <w:sz w:val="20"/>
          <w:szCs w:val="24"/>
          <w:highlight w:val="none"/>
        </w:rPr>
        <w:t>Zhou, M.</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Environmental benefits and household costs of clean heating options in northern China. </w:t>
      </w:r>
      <w:r>
        <w:rPr>
          <w:rFonts w:hint="default" w:ascii="Times New Roman" w:hAnsi="Times New Roman" w:eastAsia="Times New Roman"/>
          <w:i/>
          <w:color w:val="000000"/>
          <w:sz w:val="20"/>
          <w:szCs w:val="24"/>
          <w:highlight w:val="none"/>
        </w:rPr>
        <w:t>Nature Sustainability</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5</w:t>
      </w:r>
      <w:r>
        <w:rPr>
          <w:rFonts w:hint="default" w:ascii="Times New Roman" w:hAnsi="Times New Roman" w:eastAsia="Times New Roman"/>
          <w:color w:val="000000"/>
          <w:sz w:val="20"/>
          <w:szCs w:val="24"/>
          <w:highlight w:val="none"/>
        </w:rPr>
        <w:t xml:space="preserve"> 329-338 (2022).</w:t>
      </w:r>
      <w:bookmarkEnd w:id="42"/>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10</w:t>
      </w:r>
      <w:r>
        <w:rPr>
          <w:rFonts w:hint="default" w:ascii="Times New Roman" w:hAnsi="Times New Roman" w:eastAsia="Times New Roman"/>
          <w:color w:val="000000"/>
          <w:sz w:val="20"/>
          <w:szCs w:val="24"/>
          <w:highlight w:val="none"/>
        </w:rPr>
        <w:tab/>
      </w:r>
      <w:bookmarkStart w:id="43" w:name="_neb08534BDA_0ED9_40CE_88FE_878492884774"/>
      <w:r>
        <w:rPr>
          <w:rFonts w:hint="default" w:ascii="Times New Roman" w:hAnsi="Times New Roman" w:eastAsia="Times New Roman"/>
          <w:color w:val="000000"/>
          <w:sz w:val="20"/>
          <w:szCs w:val="24"/>
          <w:highlight w:val="none"/>
        </w:rPr>
        <w:t>Xia, Y.</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A new framework to model the distributed transfer and retention of nutrients by incorporating topology structure of small water bodies. </w:t>
      </w:r>
      <w:r>
        <w:rPr>
          <w:rFonts w:hint="default" w:ascii="Times New Roman" w:hAnsi="Times New Roman" w:eastAsia="Times New Roman"/>
          <w:i/>
          <w:color w:val="000000"/>
          <w:sz w:val="20"/>
          <w:szCs w:val="24"/>
          <w:highlight w:val="none"/>
        </w:rPr>
        <w:t>Water Res</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238</w:t>
      </w:r>
      <w:r>
        <w:rPr>
          <w:rFonts w:hint="default" w:ascii="Times New Roman" w:hAnsi="Times New Roman" w:eastAsia="Times New Roman"/>
          <w:color w:val="000000"/>
          <w:sz w:val="20"/>
          <w:szCs w:val="24"/>
          <w:highlight w:val="none"/>
        </w:rPr>
        <w:t xml:space="preserve"> 119991 (2023).</w:t>
      </w:r>
      <w:bookmarkEnd w:id="43"/>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11</w:t>
      </w:r>
      <w:r>
        <w:rPr>
          <w:rFonts w:hint="default" w:ascii="Times New Roman" w:hAnsi="Times New Roman" w:eastAsia="Times New Roman"/>
          <w:color w:val="000000"/>
          <w:sz w:val="20"/>
          <w:szCs w:val="24"/>
          <w:highlight w:val="none"/>
        </w:rPr>
        <w:tab/>
      </w:r>
      <w:bookmarkStart w:id="44" w:name="_neb7AC38189_EF6C_4615_A0E3_6747CBCCE8C6"/>
      <w:r>
        <w:rPr>
          <w:rFonts w:hint="default" w:ascii="Times New Roman" w:hAnsi="Times New Roman" w:eastAsia="Times New Roman"/>
          <w:color w:val="000000"/>
          <w:sz w:val="20"/>
          <w:szCs w:val="24"/>
          <w:highlight w:val="none"/>
        </w:rPr>
        <w:t xml:space="preserve">Cheng, F. Y. &amp; Basu, N. B. Biogeochemical hotspots: Role of small water bodies in landscape nutrient processing. </w:t>
      </w:r>
      <w:r>
        <w:rPr>
          <w:rFonts w:hint="default" w:ascii="Times New Roman" w:hAnsi="Times New Roman" w:eastAsia="Times New Roman"/>
          <w:i/>
          <w:color w:val="000000"/>
          <w:sz w:val="20"/>
          <w:szCs w:val="24"/>
          <w:highlight w:val="none"/>
        </w:rPr>
        <w:t>Water Resour Res</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53</w:t>
      </w:r>
      <w:r>
        <w:rPr>
          <w:rFonts w:hint="default" w:ascii="Times New Roman" w:hAnsi="Times New Roman" w:eastAsia="Times New Roman"/>
          <w:color w:val="000000"/>
          <w:sz w:val="20"/>
          <w:szCs w:val="24"/>
          <w:highlight w:val="none"/>
        </w:rPr>
        <w:t xml:space="preserve"> 5038-5056 (2017).</w:t>
      </w:r>
      <w:bookmarkEnd w:id="44"/>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12</w:t>
      </w:r>
      <w:r>
        <w:rPr>
          <w:rFonts w:hint="default" w:ascii="Times New Roman" w:hAnsi="Times New Roman" w:eastAsia="Times New Roman"/>
          <w:color w:val="000000"/>
          <w:sz w:val="20"/>
          <w:szCs w:val="24"/>
          <w:highlight w:val="none"/>
        </w:rPr>
        <w:tab/>
      </w:r>
      <w:bookmarkStart w:id="45" w:name="_nebFC60C0DE_8EC2_4DDC_9635_639A41529E8B"/>
      <w:r>
        <w:rPr>
          <w:rFonts w:hint="default" w:ascii="Times New Roman" w:hAnsi="Times New Roman" w:eastAsia="Times New Roman"/>
          <w:color w:val="000000"/>
          <w:sz w:val="20"/>
          <w:szCs w:val="24"/>
          <w:highlight w:val="none"/>
        </w:rPr>
        <w:t xml:space="preserve">Xia, Y. &amp; Yan, X. How Variations in Constructed Wetlands Geography Affect Nutrient Discharge. </w:t>
      </w:r>
      <w:r>
        <w:rPr>
          <w:rFonts w:hint="default" w:ascii="Times New Roman" w:hAnsi="Times New Roman" w:eastAsia="Times New Roman"/>
          <w:i/>
          <w:color w:val="000000"/>
          <w:sz w:val="20"/>
          <w:szCs w:val="24"/>
          <w:highlight w:val="none"/>
        </w:rPr>
        <w:t>Journal of Geophysical Research: Biogeosciences</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125</w:t>
      </w:r>
      <w:r>
        <w:rPr>
          <w:rFonts w:hint="default" w:ascii="Times New Roman" w:hAnsi="Times New Roman" w:eastAsia="Times New Roman"/>
          <w:color w:val="000000"/>
          <w:sz w:val="20"/>
          <w:szCs w:val="24"/>
          <w:highlight w:val="none"/>
        </w:rPr>
        <w:t xml:space="preserve"> (2020).</w:t>
      </w:r>
      <w:bookmarkEnd w:id="45"/>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13</w:t>
      </w:r>
      <w:r>
        <w:rPr>
          <w:rFonts w:hint="default" w:ascii="Times New Roman" w:hAnsi="Times New Roman" w:eastAsia="Times New Roman"/>
          <w:color w:val="000000"/>
          <w:sz w:val="20"/>
          <w:szCs w:val="24"/>
          <w:highlight w:val="none"/>
        </w:rPr>
        <w:tab/>
      </w:r>
      <w:bookmarkStart w:id="46" w:name="_neb9B769EDF_337E_4578_B2B1_63DC037CBC22"/>
      <w:r>
        <w:rPr>
          <w:rFonts w:hint="default" w:ascii="Times New Roman" w:hAnsi="Times New Roman" w:eastAsia="Times New Roman"/>
          <w:color w:val="000000"/>
          <w:sz w:val="20"/>
          <w:szCs w:val="24"/>
          <w:highlight w:val="none"/>
        </w:rPr>
        <w:t xml:space="preserve">Alexander, R. B., Smith, R. A. &amp; Schwarz, G. E. Effect of stream channel size on the delivery of nitrogen to the Gulf of Mexico. </w:t>
      </w:r>
      <w:r>
        <w:rPr>
          <w:rFonts w:hint="default" w:ascii="Times New Roman" w:hAnsi="Times New Roman" w:eastAsia="Times New Roman"/>
          <w:i/>
          <w:color w:val="000000"/>
          <w:sz w:val="20"/>
          <w:szCs w:val="24"/>
          <w:highlight w:val="none"/>
        </w:rPr>
        <w:t>Nature</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403</w:t>
      </w:r>
      <w:r>
        <w:rPr>
          <w:rFonts w:hint="default" w:ascii="Times New Roman" w:hAnsi="Times New Roman" w:eastAsia="Times New Roman"/>
          <w:color w:val="000000"/>
          <w:sz w:val="20"/>
          <w:szCs w:val="24"/>
          <w:highlight w:val="none"/>
        </w:rPr>
        <w:t xml:space="preserve"> 758-761 (2000).</w:t>
      </w:r>
      <w:bookmarkEnd w:id="46"/>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14</w:t>
      </w:r>
      <w:r>
        <w:rPr>
          <w:rFonts w:hint="default" w:ascii="Times New Roman" w:hAnsi="Times New Roman" w:eastAsia="Times New Roman"/>
          <w:color w:val="000000"/>
          <w:sz w:val="20"/>
          <w:szCs w:val="24"/>
          <w:highlight w:val="none"/>
        </w:rPr>
        <w:tab/>
      </w:r>
      <w:bookmarkStart w:id="47" w:name="_neb097368EF_36C0_48DC_9DF3_979F0CA1E972"/>
      <w:r>
        <w:rPr>
          <w:rFonts w:hint="default" w:ascii="Times New Roman" w:hAnsi="Times New Roman" w:eastAsia="Times New Roman"/>
          <w:color w:val="000000"/>
          <w:sz w:val="20"/>
          <w:szCs w:val="24"/>
          <w:highlight w:val="none"/>
        </w:rPr>
        <w:t>Wang, J.</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Spatially Explicit Inventory of Sources of Nitrogen Inputs to the Yellow Sea, East China Sea, and South China Sea for the Period 1970</w:t>
      </w:r>
      <w:r>
        <w:rPr>
          <w:rFonts w:hint="eastAsia" w:ascii="宋体" w:hAnsi="宋体"/>
          <w:color w:val="000000"/>
          <w:sz w:val="20"/>
          <w:szCs w:val="24"/>
          <w:highlight w:val="none"/>
        </w:rPr>
        <w:t>–</w:t>
      </w:r>
      <w:r>
        <w:rPr>
          <w:rFonts w:hint="default" w:ascii="Times New Roman" w:hAnsi="Times New Roman" w:eastAsia="Times New Roman"/>
          <w:color w:val="000000"/>
          <w:sz w:val="20"/>
          <w:szCs w:val="24"/>
          <w:highlight w:val="none"/>
        </w:rPr>
        <w:t xml:space="preserve">2010. </w:t>
      </w:r>
      <w:r>
        <w:rPr>
          <w:rFonts w:hint="default" w:ascii="Times New Roman" w:hAnsi="Times New Roman" w:eastAsia="Times New Roman"/>
          <w:i/>
          <w:color w:val="000000"/>
          <w:sz w:val="20"/>
          <w:szCs w:val="24"/>
          <w:highlight w:val="none"/>
        </w:rPr>
        <w:t>Earth's Future</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8</w:t>
      </w:r>
      <w:r>
        <w:rPr>
          <w:rFonts w:hint="default" w:ascii="Times New Roman" w:hAnsi="Times New Roman" w:eastAsia="Times New Roman"/>
          <w:color w:val="000000"/>
          <w:sz w:val="20"/>
          <w:szCs w:val="24"/>
          <w:highlight w:val="none"/>
        </w:rPr>
        <w:t xml:space="preserve"> (2020).</w:t>
      </w:r>
      <w:bookmarkEnd w:id="47"/>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15</w:t>
      </w:r>
      <w:r>
        <w:rPr>
          <w:rFonts w:hint="default" w:ascii="Times New Roman" w:hAnsi="Times New Roman" w:eastAsia="Times New Roman"/>
          <w:color w:val="000000"/>
          <w:sz w:val="20"/>
          <w:szCs w:val="24"/>
          <w:highlight w:val="none"/>
        </w:rPr>
        <w:tab/>
      </w:r>
      <w:bookmarkStart w:id="48" w:name="_neb880554AA_A174_4467_AC06_9943EECBB95C"/>
      <w:r>
        <w:rPr>
          <w:rFonts w:hint="default" w:ascii="Times New Roman" w:hAnsi="Times New Roman" w:eastAsia="Times New Roman"/>
          <w:color w:val="000000"/>
          <w:sz w:val="20"/>
          <w:szCs w:val="24"/>
          <w:highlight w:val="none"/>
        </w:rPr>
        <w:t>Yu, C.</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Managing nitrogen to restore water quality in China. </w:t>
      </w:r>
      <w:r>
        <w:rPr>
          <w:rFonts w:hint="default" w:ascii="Times New Roman" w:hAnsi="Times New Roman" w:eastAsia="Times New Roman"/>
          <w:i/>
          <w:color w:val="000000"/>
          <w:sz w:val="20"/>
          <w:szCs w:val="24"/>
          <w:highlight w:val="none"/>
        </w:rPr>
        <w:t>Nature</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567</w:t>
      </w:r>
      <w:r>
        <w:rPr>
          <w:rFonts w:hint="default" w:ascii="Times New Roman" w:hAnsi="Times New Roman" w:eastAsia="Times New Roman"/>
          <w:color w:val="000000"/>
          <w:sz w:val="20"/>
          <w:szCs w:val="24"/>
          <w:highlight w:val="none"/>
        </w:rPr>
        <w:t xml:space="preserve"> 516-520 (2019).</w:t>
      </w:r>
      <w:bookmarkEnd w:id="48"/>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16</w:t>
      </w:r>
      <w:r>
        <w:rPr>
          <w:rFonts w:hint="default" w:ascii="Times New Roman" w:hAnsi="Times New Roman" w:eastAsia="Times New Roman"/>
          <w:color w:val="000000"/>
          <w:sz w:val="20"/>
          <w:szCs w:val="24"/>
          <w:highlight w:val="none"/>
        </w:rPr>
        <w:tab/>
      </w:r>
      <w:bookmarkStart w:id="49" w:name="_neb716F46B9_EAB6_48A1_A9D6_F700343248A8"/>
      <w:r>
        <w:rPr>
          <w:rFonts w:hint="default" w:ascii="Times New Roman" w:hAnsi="Times New Roman" w:eastAsia="Times New Roman"/>
          <w:color w:val="000000"/>
          <w:sz w:val="20"/>
          <w:szCs w:val="24"/>
          <w:highlight w:val="none"/>
        </w:rPr>
        <w:t xml:space="preserve">Strokal, M., Kroeze, C., Wang, M., Bai, Z. &amp; Ma, L. The MARINA model (Model to Assess River Inputs of Nutrients to seAs): Model description and results for China. </w:t>
      </w:r>
      <w:r>
        <w:rPr>
          <w:rFonts w:hint="default" w:ascii="Times New Roman" w:hAnsi="Times New Roman" w:eastAsia="Times New Roman"/>
          <w:i/>
          <w:color w:val="000000"/>
          <w:sz w:val="20"/>
          <w:szCs w:val="24"/>
          <w:highlight w:val="none"/>
        </w:rPr>
        <w:t>Sci Total Environ</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562</w:t>
      </w:r>
      <w:r>
        <w:rPr>
          <w:rFonts w:hint="default" w:ascii="Times New Roman" w:hAnsi="Times New Roman" w:eastAsia="Times New Roman"/>
          <w:color w:val="000000"/>
          <w:sz w:val="20"/>
          <w:szCs w:val="24"/>
          <w:highlight w:val="none"/>
        </w:rPr>
        <w:t xml:space="preserve"> 869-888 (2016).</w:t>
      </w:r>
      <w:bookmarkEnd w:id="49"/>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17</w:t>
      </w:r>
      <w:r>
        <w:rPr>
          <w:rFonts w:hint="default" w:ascii="Times New Roman" w:hAnsi="Times New Roman" w:eastAsia="Times New Roman"/>
          <w:color w:val="000000"/>
          <w:sz w:val="20"/>
          <w:szCs w:val="24"/>
          <w:highlight w:val="none"/>
        </w:rPr>
        <w:tab/>
      </w:r>
      <w:bookmarkStart w:id="50" w:name="_neb4E78069C_84A4_45B7_8603_97D81B963EEC"/>
      <w:r>
        <w:rPr>
          <w:rFonts w:hint="default" w:ascii="Times New Roman" w:hAnsi="Times New Roman" w:eastAsia="Times New Roman"/>
          <w:color w:val="000000"/>
          <w:sz w:val="20"/>
          <w:szCs w:val="24"/>
          <w:highlight w:val="none"/>
        </w:rPr>
        <w:t>Bulletion of China marine ecological environment status 2017. (State Oceanic Administration, PRC, 2017) http://gc.mnr.gov.cn/201806/t20180619_1797652.html</w:t>
      </w:r>
      <w:bookmarkEnd w:id="50"/>
    </w:p>
    <w:p>
      <w:pPr>
        <w:spacing w:beforeLines="0" w:afterLines="0"/>
        <w:ind w:left="420" w:hanging="420"/>
        <w:rPr>
          <w:rFonts w:hint="default"/>
          <w:sz w:val="24"/>
          <w:szCs w:val="24"/>
          <w:highlight w:val="none"/>
        </w:rPr>
      </w:pPr>
      <w:r>
        <w:rPr>
          <w:rFonts w:hint="default" w:ascii="Times New Roman" w:hAnsi="Times New Roman" w:eastAsia="Times New Roman"/>
          <w:color w:val="000000"/>
          <w:sz w:val="20"/>
          <w:szCs w:val="24"/>
          <w:highlight w:val="none"/>
          <w:vertAlign w:val="superscript"/>
        </w:rPr>
        <w:t>18</w:t>
      </w:r>
      <w:r>
        <w:rPr>
          <w:rFonts w:hint="default" w:ascii="Times New Roman" w:hAnsi="Times New Roman" w:eastAsia="Times New Roman"/>
          <w:color w:val="000000"/>
          <w:sz w:val="20"/>
          <w:szCs w:val="24"/>
          <w:highlight w:val="none"/>
        </w:rPr>
        <w:tab/>
      </w:r>
      <w:bookmarkStart w:id="51" w:name="_nebC76044F9_3A4C_4404_8F14_D1EB8C2F3C9B"/>
      <w:r>
        <w:rPr>
          <w:rFonts w:hint="default" w:ascii="Times New Roman" w:hAnsi="Times New Roman" w:eastAsia="Times New Roman"/>
          <w:color w:val="000000"/>
          <w:sz w:val="20"/>
          <w:szCs w:val="24"/>
          <w:highlight w:val="none"/>
        </w:rPr>
        <w:t>Zhang, X.</w:t>
      </w:r>
      <w:r>
        <w:rPr>
          <w:rFonts w:hint="default" w:ascii="Times New Roman" w:hAnsi="Times New Roman" w:eastAsia="Times New Roman"/>
          <w:i/>
          <w:color w:val="000000"/>
          <w:sz w:val="20"/>
          <w:szCs w:val="24"/>
          <w:highlight w:val="none"/>
        </w:rPr>
        <w:t xml:space="preserve"> et al.</w:t>
      </w:r>
      <w:r>
        <w:rPr>
          <w:rFonts w:hint="default" w:ascii="Times New Roman" w:hAnsi="Times New Roman" w:eastAsia="Times New Roman"/>
          <w:color w:val="000000"/>
          <w:sz w:val="20"/>
          <w:szCs w:val="24"/>
          <w:highlight w:val="none"/>
        </w:rPr>
        <w:t xml:space="preserve">. Societal benefits of halving agricultural ammonia emissions in China far exceed the abatement costs. </w:t>
      </w:r>
      <w:r>
        <w:rPr>
          <w:rFonts w:hint="default" w:ascii="Times New Roman" w:hAnsi="Times New Roman" w:eastAsia="Times New Roman"/>
          <w:i/>
          <w:color w:val="000000"/>
          <w:sz w:val="20"/>
          <w:szCs w:val="24"/>
          <w:highlight w:val="none"/>
        </w:rPr>
        <w:t>Nat. Commun.</w:t>
      </w:r>
      <w:r>
        <w:rPr>
          <w:rFonts w:hint="default" w:ascii="Times New Roman" w:hAnsi="Times New Roman" w:eastAsia="Times New Roman"/>
          <w:color w:val="000000"/>
          <w:sz w:val="20"/>
          <w:szCs w:val="24"/>
          <w:highlight w:val="none"/>
        </w:rPr>
        <w:t xml:space="preserve"> </w:t>
      </w:r>
      <w:r>
        <w:rPr>
          <w:rFonts w:hint="default" w:ascii="Times New Roman" w:hAnsi="Times New Roman" w:eastAsia="Times New Roman"/>
          <w:b/>
          <w:color w:val="000000"/>
          <w:sz w:val="20"/>
          <w:szCs w:val="24"/>
          <w:highlight w:val="none"/>
        </w:rPr>
        <w:t>11</w:t>
      </w:r>
      <w:r>
        <w:rPr>
          <w:rFonts w:hint="default" w:ascii="Times New Roman" w:hAnsi="Times New Roman" w:eastAsia="Times New Roman"/>
          <w:color w:val="000000"/>
          <w:sz w:val="20"/>
          <w:szCs w:val="24"/>
          <w:highlight w:val="none"/>
        </w:rPr>
        <w:t xml:space="preserve"> (2020).</w:t>
      </w:r>
      <w:bookmarkEnd w:id="51"/>
    </w:p>
    <w:p>
      <w:pPr>
        <w:pStyle w:val="26"/>
        <w:spacing w:line="300" w:lineRule="auto"/>
        <w:ind w:firstLine="0" w:firstLineChars="0"/>
        <w:rPr>
          <w:rFonts w:ascii="Times New Roman" w:hAnsi="Times New Roman"/>
          <w:sz w:val="24"/>
          <w:highlight w:val="none"/>
        </w:rPr>
      </w:pPr>
      <w:r>
        <w:rPr>
          <w:rFonts w:ascii="Times New Roman" w:hAnsi="Times New Roman"/>
          <w:sz w:val="24"/>
          <w:highlight w:val="none"/>
        </w:rPr>
        <w:fldChar w:fldCharType="end"/>
      </w:r>
    </w:p>
    <w:sectPr>
      <w:pgSz w:w="11906" w:h="16838"/>
      <w:pgMar w:top="1440" w:right="1800" w:bottom="1440" w:left="1800" w:header="851" w:footer="992" w:gutter="0"/>
      <w:lnNumType w:countBy="1"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DU2NzUwMzQ0NTYzNTFR0lEKTi0uzszPAykwrAUAF82l2iwAAAA="/>
    <w:docVar w:name="commondata" w:val="eyJoZGlkIjoiMzJhZjNiMjRiMzNkNDUyNDY2NmFlMTIwNmJhMzM2MDUifQ=="/>
    <w:docVar w:name="NE.Ref{01B47B4D-FF72-4EB4-B57A-162F0C665D83}" w:val=" ADDIN NE.Ref.{01B47B4D-FF72-4EB4-B57A-162F0C665D83}&lt;Citation&gt;&lt;Group&gt;&lt;References&gt;&lt;Item&gt;&lt;ID&gt;204&lt;/ID&gt;&lt;UID&gt;{7AC38189-EF6C-4615-A0E3-6747CBCCE8C6}&lt;/UID&gt;&lt;Title&gt;Biogeochemical hotspots: Role of small water bodies in landscape nutrient processing&lt;/Title&gt;&lt;Template&gt;Journal Article&lt;/Template&gt;&lt;Star&gt;0&lt;/Star&gt;&lt;Tag&gt;0&lt;/Tag&gt;&lt;Author&gt;Cheng, Frederick Y; Basu, Nandita B&lt;/Author&gt;&lt;Year&gt;2017&lt;/Year&gt;&lt;Details&gt;&lt;_accessed&gt;64535741&lt;/_accessed&gt;&lt;_collection_scope&gt;SCI;SCIE;EI&lt;/_collection_scope&gt;&lt;_created&gt;64535740&lt;/_created&gt;&lt;_db_updated&gt;CrossRef&lt;/_db_updated&gt;&lt;_doi&gt;10.1002/2016WR020102&lt;/_doi&gt;&lt;_impact_factor&gt;   6.159&lt;/_impact_factor&gt;&lt;_isbn&gt;0043-1397&lt;/_isbn&gt;&lt;_issue&gt;6&lt;/_issue&gt;&lt;_journal&gt;Water Resources Research&lt;/_journal&gt;&lt;_modified&gt;64535741&lt;/_modified&gt;&lt;_pages&gt;5038-5056&lt;/_pages&gt;&lt;_tertiary_title&gt;Water Resour. Res.&lt;/_tertiary_title&gt;&lt;_url&gt;https://onlinelibrary.wiley.com/doi/10.1002/2016WR020102_x000d__x000a_https://onlinelibrary.wiley.com/doi/pdf/10.1002/2016WR020102&lt;/_url&gt;&lt;_volume&gt;53&lt;/_volume&gt;&lt;/Details&gt;&lt;Extra&gt;&lt;DBUID&gt;{0BC9C865-1E7C-4F56-9F19-970BB21F54C9}&lt;/DBUID&gt;&lt;/Extra&gt;&lt;/Item&gt;&lt;/References&gt;&lt;/Group&gt;&lt;/Citation&gt;_x000a_"/>
    <w:docVar w:name="NE.Ref{0851F8A6-1CFA-404C-A2F2-1825FE121CB4}" w:val=" ADDIN NE.Ref.{0851F8A6-1CFA-404C-A2F2-1825FE121CB4}&lt;Citation&gt;&lt;Group&gt;&lt;References&gt;&lt;Item&gt;&lt;ID&gt;12&lt;/ID&gt;&lt;UID&gt;{C9C529F4-5782-4CEB-860A-FC885C197E32}&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ccessed&gt;64467185&lt;/_accessed&gt;&lt;_collection_scope&gt;SCI;SCIE&lt;/_collection_scope&gt;&lt;_created&gt;64467185&lt;/_created&gt;&lt;_db_updated&gt;CrossRef&lt;/_db_updated&gt;&lt;_doi&gt;10.1038/s41467-020-18196-z&lt;/_doi&gt;&lt;_impact_factor&gt;  17.694&lt;/_impact_factor&gt;&lt;_isbn&gt;2041-1723&lt;/_isbn&gt;&lt;_issue&gt;1&lt;/_issue&gt;&lt;_journal&gt;Nature Communications&lt;/_journal&gt;&lt;_modified&gt;64467185&lt;/_modified&gt;&lt;_tertiary_title&gt;Nat Commun&lt;/_tertiary_title&gt;&lt;_url&gt;https://www.nature.com/articles/s41467-020-18196-z_x000d__x000a_https://www.nature.com/articles/s41467-020-18196-z.pdf&lt;/_url&gt;&lt;_volume&gt;11&lt;/_volume&gt;&lt;/Details&gt;&lt;Extra&gt;&lt;DBUID&gt;{69B3C8F9-6712-4024-A614-4D710AE54430}&lt;/DBUID&gt;&lt;/Extra&gt;&lt;/Item&gt;&lt;/References&gt;&lt;/Group&gt;&lt;/Citation&gt;_x000a_"/>
    <w:docVar w:name="NE.Ref{0876A7F4-4C14-48E6-99A2-1ADA84EE6AD2}" w:val=" ADDIN NE.Ref.{0876A7F4-4C14-48E6-99A2-1ADA84EE6AD2}&lt;Citation&gt;&lt;Group&gt;&lt;References&gt;&lt;Item&gt;&lt;ID&gt;6&lt;/ID&gt;&lt;UID&gt;{0432D72D-CE04-4418-ACF8-3FB0E5FDD271}&lt;/UID&gt;&lt;Title&gt;A cost-benefit analysis of landfill mining and material recycling in China&lt;/Title&gt;&lt;Template&gt;Journal Article&lt;/Template&gt;&lt;Star&gt;0&lt;/Star&gt;&lt;Tag&gt;0&lt;/Tag&gt;&lt;Author&gt;Zhou, Chuanbin; Gong, Zhe; Hu, Junsong; Cao, Aixin; Liang, Hanwen&lt;/Author&gt;&lt;Year&gt;2015&lt;/Year&gt;&lt;Details&gt;&lt;_accessed&gt;64491131&lt;/_accessed&gt;&lt;_collection_scope&gt;SCIE;EI&lt;/_collection_scope&gt;&lt;_created&gt;64467116&lt;/_created&gt;&lt;_db_updated&gt;CrossRef&lt;/_db_updated&gt;&lt;_doi&gt;10.1016/j.wasman.2014.09.029&lt;/_doi&gt;&lt;_impact_factor&gt;   8.816&lt;/_impact_factor&gt;&lt;_isbn&gt;0956053X&lt;/_isbn&gt;&lt;_journal&gt;Waste Management&lt;/_journal&gt;&lt;_modified&gt;64491119&lt;/_modified&gt;&lt;_pages&gt;191-198&lt;/_pages&gt;&lt;_tertiary_title&gt;Waste Management&lt;/_tertiary_title&gt;&lt;_translated_author&gt;Zhou, Chuanbin; Gong, Zhe; Hu, Junsong; Cao, Aixin; Liang, Hanwen&lt;/_translated_author&gt;&lt;_translated_title&gt;A cost-benefit analysis of landfill mining and material recycling in China&lt;/_translated_title&gt;&lt;_url&gt;https://linkinghub.elsevier.com/retrieve/pii/S0956053X14004516_x000d__x000a_https://api.elsevier.com/content/article/PII:S0956053X14004516?httpAccept=text/xml&lt;/_url&gt;&lt;_volume&gt;35&lt;/_volume&gt;&lt;/Details&gt;&lt;Extra&gt;&lt;DBUID&gt;{69B3C8F9-6712-4024-A614-4D710AE54430}&lt;/DBUID&gt;&lt;/Extra&gt;&lt;/Item&gt;&lt;/References&gt;&lt;/Group&gt;&lt;Group&gt;&lt;References&gt;&lt;Item&gt;&lt;ID&gt;5&lt;/ID&gt;&lt;UID&gt;{76470F2F-6091-4B1C-9013-2642D381C331}&lt;/UID&gt;&lt;Title&gt;Economic analysis of waste-to-energy industry in China&lt;/Title&gt;&lt;Template&gt;Journal Article&lt;/Template&gt;&lt;Star&gt;0&lt;/Star&gt;&lt;Tag&gt;0&lt;/Tag&gt;&lt;Author&gt;Zhao, Xin-gang; Jiang, Gui-wu; Li, Ang; Wang, Ling&lt;/Author&gt;&lt;Year&gt;2016&lt;/Year&gt;&lt;Details&gt;&lt;_accessed&gt;64491130&lt;/_accessed&gt;&lt;_collection_scope&gt;SCIE;EI&lt;/_collection_scope&gt;&lt;_created&gt;64467115&lt;/_created&gt;&lt;_db_updated&gt;CrossRef&lt;/_db_updated&gt;&lt;_doi&gt;10.1016/j.wasman.2015.10.014&lt;/_doi&gt;&lt;_impact_factor&gt;   8.816&lt;/_impact_factor&gt;&lt;_isbn&gt;0956053X&lt;/_isbn&gt;&lt;_journal&gt;Waste Management&lt;/_journal&gt;&lt;_modified&gt;64491123&lt;/_modified&gt;&lt;_pages&gt;604-618&lt;/_pages&gt;&lt;_tertiary_title&gt;Waste Management&lt;/_tertiary_title&gt;&lt;_translated_author&gt;Zhao, Xin-gang; Jiang, Gui-wu; Li, Ang; Wang, Ling&lt;/_translated_author&gt;&lt;_translated_title&gt;Economic analysis of waste-to-energy industry in China&lt;/_translated_title&gt;&lt;_url&gt;https://linkinghub.elsevier.com/retrieve/pii/S0956053X1530163X_x000d__x000a_https://dul.usage.elsevier.com/doi/&lt;/_url&gt;&lt;_volume&gt;48&lt;/_volume&gt;&lt;/Details&gt;&lt;Extra&gt;&lt;DBUID&gt;{69B3C8F9-6712-4024-A614-4D710AE54430}&lt;/DBUID&gt;&lt;/Extra&gt;&lt;/Item&gt;&lt;/References&gt;&lt;/Group&gt;&lt;Group&gt;&lt;References&gt;&lt;Item&gt;&lt;ID&gt;4&lt;/ID&gt;&lt;UID&gt;{7AD81D50-39A4-47E4-B791-3F188F2CE5E9}&lt;/UID&gt;&lt;Title&gt;基于污水处理厂运营成本的污水处理费制度分析——基于全国227个污水处理厂样本估算&lt;/Title&gt;&lt;Template&gt;Journal Article&lt;/Template&gt;&lt;Star&gt;0&lt;/Star&gt;&lt;Tag&gt;0&lt;/Tag&gt;&lt;Author&gt;谭雪; 石磊; 马中; 张象枢; 陆根法&lt;/Author&gt;&lt;Year&gt;2015&lt;/Year&gt;&lt;Details&gt;&lt;_accessed&gt;64491097&lt;/_accessed&gt;&lt;_author_aff&gt;中国人民大学环境学院;南京大学环境学院污染控制与资源化研究国家重点实验室;&lt;/_author_aff&gt;&lt;_cited_count&gt;81&lt;/_cited_count&gt;&lt;_collection_scope&gt;CSCD;CSSCI-E;PKU;EI&lt;/_collection_scope&gt;&lt;_created&gt;64467113&lt;/_created&gt;&lt;_date&gt;60992640&lt;/_date&gt;&lt;_db_updated&gt;CNKI - Reference&lt;/_db_updated&gt;&lt;_issue&gt;12&lt;/_issue&gt;&lt;_journal&gt;中国环境科学&lt;/_journal&gt;&lt;_keywords&gt;污水处理费;污水处理厂;运营成本;成本收益分析&lt;/_keywords&gt;&lt;_language&gt;Chinese&lt;/_language&gt;&lt;_modified&gt;64491098&lt;/_modified&gt;&lt;_pages&gt;3833-3840&lt;/_pages&gt;&lt;_tertiary_title&gt;China Environmental Science&lt;/_tertiary_title&gt;&lt;_translated_author&gt;TAM, Xue; SHI, Lei; MA, Zhong; Xiang-shu, ZhANG; Gen-fa, Lu&lt;/_translated_author&gt;&lt;_translated_title&gt;Institutional analysis of sewage treatment charge based on operating cost of sewage treatment plant—an empirical _x000d__x000a_research of 227samples in China&lt;/_translated_title&gt;&lt;_url&gt;https://kns.cnki.net/kcms/detail/detail.aspx?FileName=ZGHJ201512044&amp;amp;DbName=CJFQ2015&lt;/_url&gt;&lt;_volume&gt;35&lt;/_volume&gt;&lt;/Details&gt;&lt;Extra&gt;&lt;DBUID&gt;{69B3C8F9-6712-4024-A614-4D710AE54430}&lt;/DBUID&gt;&lt;/Extra&gt;&lt;/Item&gt;&lt;/References&gt;&lt;/Group&gt;&lt;/Citation&gt;_x000a_"/>
    <w:docVar w:name="NE.Ref{15D5C2AD-3972-4DC1-A6BF-68750166848E}" w:val=" ADDIN NE.Ref.{15D5C2AD-3972-4DC1-A6BF-68750166848E}&lt;Citation&gt;&lt;Group&gt;&lt;References&gt;&lt;Item&gt;&lt;ID&gt;383&lt;/ID&gt;&lt;UID&gt;{097368EF-36C0-48DC-9DF3-979F0CA1E972}&lt;/UID&gt;&lt;Title&gt;Spatially Explicit Inventory of Sources of Nitrogen Inputs to the Yellow Sea, East China Sea, and South China Sea for the Period 1970–2010&lt;/Title&gt;&lt;Template&gt;Journal Article&lt;/Template&gt;&lt;Star&gt;0&lt;/Star&gt;&lt;Tag&gt;0&lt;/Tag&gt;&lt;Author&gt;Wang, Junjie; Beusen, Arthur H W; Liu, Xiaochen; Van Dingenen, Rita; Dentener, Frank; Yao, Qingzhen; Xu, Bochao; Ran, Xiangbin; Yu, Zhigang; Bouwman, Alexander F&lt;/Author&gt;&lt;Year&gt;2020&lt;/Year&gt;&lt;Details&gt;&lt;_doi&gt;10.1029/2020EF001516&lt;/_doi&gt;&lt;_created&gt;64874406&lt;/_created&gt;&lt;_modified&gt;64874407&lt;/_modified&gt;&lt;_url&gt;https://onlinelibrary.wiley.com/doi/10.1029/2020EF001516_x000d__x000a_https://onlinelibrary.wiley.com/doi/pdf/10.1029/2020EF001516&lt;/_url&gt;&lt;_journal&gt;Earth&amp;apos;s Future&lt;/_journal&gt;&lt;_volume&gt;8&lt;/_volume&gt;&lt;_issue&gt;10&lt;/_issue&gt;&lt;_tertiary_title&gt;Earth&amp;apos;s Future&lt;/_tertiary_title&gt;&lt;_isbn&gt;2328-4277&lt;/_isbn&gt;&lt;_accessed&gt;64874407&lt;/_accessed&gt;&lt;_db_updated&gt;CrossRef&lt;/_db_updated&gt;&lt;_impact_factor&gt;   8.852&lt;/_impact_factor&gt;&lt;/Details&gt;&lt;Extra&gt;&lt;DBUID&gt;{0BC9C865-1E7C-4F56-9F19-970BB21F54C9}&lt;/DBUID&gt;&lt;/Extra&gt;&lt;/Item&gt;&lt;/References&gt;&lt;/Group&gt;&lt;/Citation&gt;_x000a_"/>
    <w:docVar w:name="NE.Ref{1AC25EAE-7597-4A17-98EA-9DD057CB0812}" w:val=" ADDIN NE.Ref.{1AC25EAE-7597-4A17-98EA-9DD057CB0812}&lt;Citation&gt;&lt;Group&gt;&lt;References&gt;&lt;Item&gt;&lt;ID&gt;13&lt;/ID&gt;&lt;UID&gt;{7C8270B8-A1F8-49B9-973D-2B972CDC58E4}&lt;/UID&gt;&lt;Title&gt;Urbanization can benefit agricultural production with large-scale farming in China&lt;/Title&gt;&lt;Template&gt;Journal Article&lt;/Template&gt;&lt;Star&gt;0&lt;/Star&gt;&lt;Tag&gt;0&lt;/Tag&gt;&lt;Author&gt;Wang, Sitong; Bai, Xuemei; Zhang, Xiaoling; Reis, Stefan; Chen, Deli; Xu, Jianming; Gu, Baojing&lt;/Author&gt;&lt;Year&gt;2021&lt;/Year&gt;&lt;Details&gt;&lt;_accessed&gt;64565177&lt;/_accessed&gt;&lt;_created&gt;64443574&lt;/_created&gt;&lt;_db_updated&gt;CrossRef&lt;/_db_updated&gt;&lt;_doi&gt;10.1038/s43016-021-00228-6&lt;/_doi&gt;&lt;_impact_factor&gt;  20.430&lt;/_impact_factor&gt;&lt;_isbn&gt;2662-1355&lt;/_isbn&gt;&lt;_issue&gt;3&lt;/_issue&gt;&lt;_journal&gt;Nature Food&lt;/_journal&gt;&lt;_modified&gt;64565176&lt;/_modified&gt;&lt;_pages&gt;183-191&lt;/_pages&gt;&lt;_tertiary_title&gt;Nat Food&lt;/_tertiary_title&gt;&lt;_url&gt;http://www.nature.com/articles/s43016-021-00228-6_x000d__x000a_http://www.nature.com/articles/s43016-021-00228-6.pdf&lt;/_url&gt;&lt;_volume&gt;2&lt;/_volume&gt;&lt;/Details&gt;&lt;Extra&gt;&lt;DBUID&gt;{0BC9C865-1E7C-4F56-9F19-970BB21F54C9}&lt;/DBUID&gt;&lt;/Extra&gt;&lt;/Item&gt;&lt;/References&gt;&lt;/Group&gt;&lt;/Citation&gt;_x000a_"/>
    <w:docVar w:name="NE.Ref{1BCFC7E3-7F8F-4B49-83C8-D1430A6F76E0}" w:val=" ADDIN NE.Ref.{1BCFC7E3-7F8F-4B49-83C8-D1430A6F76E0}&lt;Citation&gt;&lt;Group&gt;&lt;References&gt;&lt;Item&gt;&lt;ID&gt;8&lt;/ID&gt;&lt;UID&gt;{104A77B3-18FB-4D35-9B77-FD83ED0B9DF0}&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504045&lt;/_accessed&gt;&lt;_created&gt;64467119&lt;/_created&gt;&lt;_db_updated&gt;CrossRef&lt;/_db_updated&gt;&lt;_doi&gt;10.1038/s43016-022-00462-6&lt;/_doi&gt;&lt;_impact_factor&gt;  20.430&lt;/_impact_factor&gt;&lt;_isbn&gt;2662-1355&lt;/_isbn&gt;&lt;_issue&gt;2&lt;/_issue&gt;&lt;_journal&gt;Nature Food&lt;/_journal&gt;&lt;_modified&gt;64504046&lt;/_modified&gt;&lt;_pages&gt;161-168&lt;/_pages&gt;&lt;_tertiary_title&gt;Nat Food&lt;/_tertiary_title&gt;&lt;_translated_author&gt;Zhu, Zhiping; Zhang, Xiuming; Dong, Hongmin; Wang, Sitong; Reis, Stefan; Li, Yue; Gu, Baojing&lt;/_translated_author&gt;&lt;_translated_title&gt;Integrated livestock sector nitrogen pollution abatement measures could generate net benefits for human and ecosystem health in China&lt;/_translated_title&gt;&lt;_url&gt;https://www.nature.com/articles/s43016-022-00462-6_x000d__x000a_https://www.nature.com/articles/s43016-022-00462-6.pdf&lt;/_url&gt;&lt;_volume&gt;3&lt;/_volume&gt;&lt;/Details&gt;&lt;Extra&gt;&lt;DBUID&gt;{69B3C8F9-6712-4024-A614-4D710AE54430}&lt;/DBUID&gt;&lt;/Extra&gt;&lt;/Item&gt;&lt;/References&gt;&lt;/Group&gt;&lt;/Citation&gt;_x000a_"/>
    <w:docVar w:name="NE.Ref{1D26A962-B452-4085-AB75-7E6D7D7E2EC8}" w:val=" ADDIN NE.Ref.{1D26A962-B452-4085-AB75-7E6D7D7E2EC8}&lt;Citation&gt;&lt;Group&gt;&lt;References&gt;&lt;Item&gt;&lt;ID&gt;8&lt;/ID&gt;&lt;UID&gt;{104A77B3-18FB-4D35-9B77-FD83ED0B9DF0}&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504045&lt;/_accessed&gt;&lt;_created&gt;64467119&lt;/_created&gt;&lt;_db_updated&gt;CrossRef&lt;/_db_updated&gt;&lt;_doi&gt;10.1038/s43016-022-00462-6&lt;/_doi&gt;&lt;_impact_factor&gt;  20.430&lt;/_impact_factor&gt;&lt;_isbn&gt;2662-1355&lt;/_isbn&gt;&lt;_issue&gt;2&lt;/_issue&gt;&lt;_journal&gt;Nature Food&lt;/_journal&gt;&lt;_modified&gt;64504046&lt;/_modified&gt;&lt;_pages&gt;161-168&lt;/_pages&gt;&lt;_tertiary_title&gt;Nat Food&lt;/_tertiary_title&gt;&lt;_url&gt;https://www.nature.com/articles/s43016-022-00462-6_x000d__x000a_https://www.nature.com/articles/s43016-022-00462-6.pdf&lt;/_url&gt;&lt;_volume&gt;3&lt;/_volume&gt;&lt;_translated_author&gt;Zhu, Zhiping; Zhang, Xiuming; Dong, Hongmin; Wang, Sitong; Reis, Stefan; Li, Yue; Gu, Baojing&lt;/_translated_author&gt;&lt;_translated_title&gt;Integrated livestock sector nitrogen pollution abatement measures could generate net benefits for human and ecosystem health in China&lt;/_translated_title&gt;&lt;/Details&gt;&lt;Extra&gt;&lt;DBUID&gt;{69B3C8F9-6712-4024-A614-4D710AE54430}&lt;/DBUID&gt;&lt;/Extra&gt;&lt;/Item&gt;&lt;/References&gt;&lt;/Group&gt;&lt;/Citation&gt;_x000a_"/>
    <w:docVar w:name="NE.Ref{22676BDE-D3BA-407C-9C38-19A4F6B47555}" w:val=" ADDIN NE.Ref.{22676BDE-D3BA-407C-9C38-19A4F6B47555}&lt;Citation&gt;&lt;Group&gt;&lt;References&gt;&lt;Item&gt;&lt;ID&gt;15&lt;/ID&gt;&lt;UID&gt;{03F2797F-8FFA-4C9E-8FB3-54264C314E0A}&lt;/UID&gt;&lt;Title&gt;Integrated livestock&amp;lt;SI&amp;gt;&lt;/Title&gt;&lt;Template&gt;Journal Article&lt;/Template&gt;&lt;Star&gt;0&lt;/Star&gt;&lt;Tag&gt;0&lt;/Tag&gt;&lt;Author&gt;Zhu, Zhiping; Zhang, Xiuming; Dong, Hongmin; Wang, Sitong; Reis, Stefan; Li, Yue; Gu, Baojing&lt;/Author&gt;&lt;Year&gt;2022&lt;/Year&gt;&lt;Details&gt;&lt;_accessed&gt;64761645&lt;/_accessed&gt;&lt;_created&gt;64443574&lt;/_created&gt;&lt;_db_updated&gt;CrossRef&lt;/_db_updated&gt;&lt;_doi&gt;10.1038/s43016-022-00462-6&lt;/_doi&gt;&lt;_impact_factor&gt;  20.430&lt;/_impact_factor&gt;&lt;_isbn&gt;2662-1355&lt;/_isbn&gt;&lt;_issue&gt;2&lt;/_issue&gt;&lt;_journal&gt;Nature Food&lt;/_journal&gt;&lt;_modified&gt;6476164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23B95D14-9B7A-49C0-AA72-F3ED14178304}" w:val=" ADDIN NE.Ref.{23B95D14-9B7A-49C0-AA72-F3ED14178304}&lt;Citation&gt;&lt;Group&gt;&lt;References&gt;&lt;Item&gt;&lt;ID&gt;204&lt;/ID&gt;&lt;UID&gt;{7AC38189-EF6C-4615-A0E3-6747CBCCE8C6}&lt;/UID&gt;&lt;Title&gt;Biogeochemical hotspots: Role of small water bodies in landscape nutrient processing&lt;/Title&gt;&lt;Template&gt;Journal Article&lt;/Template&gt;&lt;Star&gt;0&lt;/Star&gt;&lt;Tag&gt;0&lt;/Tag&gt;&lt;Author&gt;Cheng, Frederick Y; Basu, Nandita B&lt;/Author&gt;&lt;Year&gt;2017&lt;/Year&gt;&lt;Details&gt;&lt;_accessed&gt;64535741&lt;/_accessed&gt;&lt;_collection_scope&gt;SCI;SCIE;EI&lt;/_collection_scope&gt;&lt;_created&gt;64535740&lt;/_created&gt;&lt;_db_updated&gt;CrossRef&lt;/_db_updated&gt;&lt;_doi&gt;10.1002/2016WR020102&lt;/_doi&gt;&lt;_impact_factor&gt;   6.159&lt;/_impact_factor&gt;&lt;_isbn&gt;0043-1397&lt;/_isbn&gt;&lt;_issue&gt;6&lt;/_issue&gt;&lt;_journal&gt;Water Resources Research&lt;/_journal&gt;&lt;_modified&gt;64535741&lt;/_modified&gt;&lt;_pages&gt;5038-5056&lt;/_pages&gt;&lt;_tertiary_title&gt;Water Resour. Res.&lt;/_tertiary_title&gt;&lt;_url&gt;https://onlinelibrary.wiley.com/doi/10.1002/2016WR020102_x000d__x000a_https://onlinelibrary.wiley.com/doi/pdf/10.1002/2016WR020102&lt;/_url&gt;&lt;_volume&gt;53&lt;/_volume&gt;&lt;/Details&gt;&lt;Extra&gt;&lt;DBUID&gt;{0BC9C865-1E7C-4F56-9F19-970BB21F54C9}&lt;/DBUID&gt;&lt;/Extra&gt;&lt;/Item&gt;&lt;/References&gt;&lt;/Group&gt;&lt;/Citation&gt;_x000a_"/>
    <w:docVar w:name="NE.Ref{2814945C-C82F-4575-8F84-9E6F874E7AED}" w:val=" ADDIN NE.Ref.{2814945C-C82F-4575-8F84-9E6F874E7AED}&lt;Citation&gt;&lt;Group&gt;&lt;References&gt;&lt;Item&gt;&lt;ID&gt;32&lt;/ID&gt;&lt;UID&gt;{4A99C52B-9B06-4C35-9123-F7063E39A97D}&lt;/UID&gt;&lt;Title&gt;An empirical model to estimate ammonia emission from cropland fertilization in China&lt;/Title&gt;&lt;Template&gt;Journal Article&lt;/Template&gt;&lt;Star&gt;0&lt;/Star&gt;&lt;Tag&gt;0&lt;/Tag&gt;&lt;Author&gt;Wang, Chen; Cheng, Kun; Ren, Chenchen; Liu, Hongbin; Sun, Jianfei; Reis, Stefan; Yin, Shasha; Xu, Jianming; Gu, Baojing&lt;/Author&gt;&lt;Year&gt;2021&lt;/Year&gt;&lt;Details&gt;&lt;_alternate_title&gt;Environmental Pollution&lt;/_alternate_title&gt;&lt;_date_display&gt;2021&lt;/_date_display&gt;&lt;_date&gt;2021-01-01&lt;/_date&gt;&lt;_doi&gt;https://doi.org/10.1016/j.envpol.2021.117982&lt;/_doi&gt;&lt;_isbn&gt;0269-7491&lt;/_isbn&gt;&lt;_journal&gt;Environmental Pollution&lt;/_journal&gt;&lt;_keywords&gt;Ammonia; Regression model; Spatio-temporal; Management practices; High resolution&lt;/_keywords&gt;&lt;_pages&gt;117982&lt;/_pages&gt;&lt;_url&gt;https://www.sciencedirect.com/science/article/pii/S0269749121015645&lt;/_url&gt;&lt;_volume&gt;288&lt;/_volume&gt;&lt;_created&gt;64524455&lt;/_created&gt;&lt;_modified&gt;64524461&lt;/_modified&gt;&lt;_impact_factor&gt;   9.988&lt;/_impact_factor&gt;&lt;_collection_scope&gt;SCI;SCIE;EI&lt;/_collection_scope&gt;&lt;_accessed&gt;64524460&lt;/_accessed&gt;&lt;_translated_author&gt;Wang, Chen; Cheng, Kun; Ren, Chenchen; Liu, Hongbin; Sun, Jianfei; Reis, Stefan; Yin, Shasha; Xu, Jianming; Gu, Baojing&lt;/_translated_author&gt;&lt;_translated_title&gt;An empirical model to estimate ammonia emission from cropland fertilization in China&lt;/_translated_title&gt;&lt;_tertiary_title&gt;Environmental Pollution&lt;/_tertiary_title&gt;&lt;/Details&gt;&lt;Extra&gt;&lt;DBUID&gt;{69B3C8F9-6712-4024-A614-4D710AE54430}&lt;/DBUID&gt;&lt;/Extra&gt;&lt;/Item&gt;&lt;/References&gt;&lt;/Group&gt;&lt;/Citation&gt;_x000a_"/>
    <w:docVar w:name="NE.Ref{3104DC4A-DCD2-4226-8290-600274981855}" w:val=" ADDIN NE.Ref.{3104DC4A-DCD2-4226-8290-600274981855}&lt;Citation&gt;&lt;Group&gt;&lt;References&gt;&lt;Item&gt;&lt;ID&gt;15&lt;/ID&gt;&lt;UID&gt;{03F2797F-8FFA-4C9E-8FB3-54264C314E0A}&lt;/UID&gt;&lt;Title&gt;Integrated livestock&amp;lt;SI&amp;gt;&lt;/Title&gt;&lt;Template&gt;Journal Article&lt;/Template&gt;&lt;Star&gt;0&lt;/Star&gt;&lt;Tag&gt;0&lt;/Tag&gt;&lt;Author&gt;Zhu, Zhiping; Zhang, Xiuming; Dong, Hongmin; Wang, Sitong; Reis, Stefan; Li, Yue; Gu, Baojing&lt;/Author&gt;&lt;Year&gt;2022&lt;/Year&gt;&lt;Details&gt;&lt;_accessed&gt;64761645&lt;/_accessed&gt;&lt;_created&gt;64443574&lt;/_created&gt;&lt;_db_updated&gt;CrossRef&lt;/_db_updated&gt;&lt;_doi&gt;10.1038/s43016-022-00462-6&lt;/_doi&gt;&lt;_impact_factor&gt;  20.430&lt;/_impact_factor&gt;&lt;_isbn&gt;2662-1355&lt;/_isbn&gt;&lt;_issue&gt;2&lt;/_issue&gt;&lt;_journal&gt;Nature Food&lt;/_journal&gt;&lt;_modified&gt;6476164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3313A8FA-65BA-4F1F-A535-72BE188A4D51}" w:val=" ADDIN NE.Ref.{3313A8FA-65BA-4F1F-A535-72BE188A4D51}&lt;Citation&gt;&lt;Group&gt;&lt;References&gt;&lt;Item&gt;&lt;ID&gt;15&lt;/ID&gt;&lt;UID&gt;{03F2797F-8FFA-4C9E-8FB3-54264C314E0A}&lt;/UID&gt;&lt;Title&gt;Integrated livestock&amp;lt;SI&amp;gt;&lt;/Title&gt;&lt;Template&gt;Journal Article&lt;/Template&gt;&lt;Star&gt;0&lt;/Star&gt;&lt;Tag&gt;0&lt;/Tag&gt;&lt;Author&gt;Zhu, Zhiping; Zhang, Xiuming; Dong, Hongmin; Wang, Sitong; Reis, Stefan; Li, Yue; Gu, Baojing&lt;/Author&gt;&lt;Year&gt;2022&lt;/Year&gt;&lt;Details&gt;&lt;_accessed&gt;64761645&lt;/_accessed&gt;&lt;_created&gt;64443574&lt;/_created&gt;&lt;_db_updated&gt;CrossRef&lt;/_db_updated&gt;&lt;_doi&gt;10.1038/s43016-022-00462-6&lt;/_doi&gt;&lt;_impact_factor&gt;  20.430&lt;/_impact_factor&gt;&lt;_isbn&gt;2662-1355&lt;/_isbn&gt;&lt;_issue&gt;2&lt;/_issue&gt;&lt;_journal&gt;Nature Food&lt;/_journal&gt;&lt;_modified&gt;6476164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33735425-2525-482D-B2EF-275BFA4B7587}" w:val=" ADDIN NE.Ref.{33735425-2525-482D-B2EF-275BFA4B7587}&lt;Citation&gt;&lt;Group&gt;&lt;References&gt;&lt;Item&gt;&lt;ID&gt;2&lt;/ID&gt;&lt;UID&gt;{0704AA8F-5348-4F0C-BFDA-3717A86D25E1}&lt;/UID&gt;&lt;Title&gt;Integrated reactive nitrogen budgets and future trends in China&lt;/Title&gt;&lt;Template&gt;Journal Article&lt;/Template&gt;&lt;Star&gt;0&lt;/Star&gt;&lt;Tag&gt;0&lt;/Tag&gt;&lt;Author&gt;Gu, Baojing; Ju, Xiaotang; Chang, Jie; Ge, Ying; Vitousek, Peter M&lt;/Author&gt;&lt;Year&gt;2015&lt;/Year&gt;&lt;Details&gt;&lt;_accessed&gt;64576457&lt;/_accessed&gt;&lt;_created&gt;64443574&lt;/_created&gt;&lt;_date&gt;60763680&lt;/_date&gt;&lt;_db_updated&gt;CrossRef&lt;/_db_updated&gt;&lt;_doi&gt;10.1073/pnas.1510211112&lt;/_doi&gt;&lt;_impact_factor&gt;  12.779&lt;/_impact_factor&gt;&lt;_isbn&gt;0027-8424&lt;/_isbn&gt;&lt;_issue&gt;28&lt;/_issue&gt;&lt;_journal&gt;Proc. Natl. Acad. Sci. U.S.A.&lt;/_journal&gt;&lt;_modified&gt;64576457&lt;/_modified&gt;&lt;_pages&gt;8792-8797&lt;/_pages&gt;&lt;_tertiary_title&gt;Proc. Natl. Acad. Sci. U.S.A.&lt;/_tertiary_title&gt;&lt;_url&gt;https://pnas.org/doi/full/10.1073/pnas.1510211112_x000d__x000a_https://pnas.org/doi/pdf/10.1073/pnas.1510211112&lt;/_url&gt;&lt;_volume&gt;112&lt;/_volume&gt;&lt;/Details&gt;&lt;Extra&gt;&lt;DBUID&gt;{0BC9C865-1E7C-4F56-9F19-970BB21F54C9}&lt;/DBUID&gt;&lt;/Extra&gt;&lt;/Item&gt;&lt;/References&gt;&lt;/Group&gt;&lt;Group&gt;&lt;References&gt;&lt;Item&gt;&lt;ID&gt;234&lt;/ID&gt;&lt;UID&gt;{F7094E98-0882-421A-95EE-605A2EBA99CF}&lt;/UID&gt;&lt;Title&gt;Toward a Generic Analytical Framework for Sustainable Nitrogen Management: Application for China&lt;/Title&gt;&lt;Template&gt;Journal Article&lt;/Template&gt;&lt;Star&gt;0&lt;/Star&gt;&lt;Tag&gt;0&lt;/Tag&gt;&lt;Author&gt;Gu, Baojing; Lam, Shu Kee; Reis, Stefan; van Grinsven, Hans; Ju, Xiaotang; Yan, Xiaoyuan; Zhou, Feng; Liu, Hongbin; Cai, Zucong; Galloway, James N; Howard, Clare; Sutton, Mark A; Chen, Deli&lt;/Author&gt;&lt;Year&gt;2019&lt;/Year&gt;&lt;Details&gt;&lt;_accessed&gt;64576460&lt;/_accessed&gt;&lt;_collection_scope&gt;SCI;SCIE;EI&lt;/_collection_scope&gt;&lt;_created&gt;64576460&lt;/_created&gt;&lt;_date&gt;62588160&lt;/_date&gt;&lt;_date_display&gt;2019&lt;/_date_display&gt;&lt;_db_updated&gt;PKU Search&lt;/_db_updated&gt;&lt;_doi&gt;10.1021/acs.est.8b06370&lt;/_doi&gt;&lt;_impact_factor&gt;  11.357&lt;/_impact_factor&gt;&lt;_isbn&gt;0013-936X&lt;/_isbn&gt;&lt;_issue&gt;3&lt;/_issue&gt;&lt;_journal&gt;Environmental science &amp;amp; technology&lt;/_journal&gt;&lt;_keywords&gt;Agricultural land; Animals; China; Conservation of Natural Resources; Cost benefit analysis; Diet; Environmental protection; Excretion; Federal budgets; Fluxes; Food; Food production; Food waste; Humans; Livestock; Management; Nitrogen; Regional development; Sustainable development; Sustainable use&lt;/_keywords&gt;&lt;_modified&gt;64576460&lt;/_modified&gt;&lt;_number&gt;1&lt;/_number&gt;&lt;_ori_publication&gt;American Chemical Society&lt;/_ori_publication&gt;&lt;_pages&gt;1109-1118&lt;/_pages&gt;&lt;_place_published&gt;United States&lt;/_place_published&gt;&lt;_url&gt;https://go.exlibris.link/SWTWL8BC&lt;/_url&gt;&lt;_volume&gt;53&lt;/_volume&gt;&lt;/Details&gt;&lt;Extra&gt;&lt;DBUID&gt;{0BC9C865-1E7C-4F56-9F19-970BB21F54C9}&lt;/DBUID&gt;&lt;/Extra&gt;&lt;/Item&gt;&lt;/References&gt;&lt;/Group&gt;&lt;/Citation&gt;_x000a_"/>
    <w:docVar w:name="NE.Ref{3623DFF0-C36E-489A-B2C3-DEF0E6946434}" w:val=" ADDIN NE.Ref.{3623DFF0-C36E-489A-B2C3-DEF0E6946434}&lt;Citation&gt;&lt;Group&gt;&lt;References&gt;&lt;Item&gt;&lt;ID&gt;3&lt;/ID&gt;&lt;UID&gt;{9DB8D248-5E93-4BC5-A3C9-2B5D88925D20}&lt;/UID&gt;&lt;Title&gt;1979～2016年中国城市生活垃圾产生和处理时空特征&lt;/Title&gt;&lt;Template&gt;Journal Article&lt;/Template&gt;&lt;Star&gt;0&lt;/Star&gt;&lt;Tag&gt;0&lt;/Tag&gt;&lt;Author&gt;魏潇潇; 王小铭; 李蕾; 刘璁; Nemanja, Stanisavljevic; 彭绪亚&lt;/Author&gt;&lt;Year&gt;2018&lt;/Year&gt;&lt;Details&gt;&lt;_accessed&gt;64491077&lt;/_accessed&gt;&lt;_author_aff&gt;重庆大学三峡库区生态环境教育部重点实验室;重庆市勘测院;诺维萨德大学技术科学学院环境工程系;&lt;/_author_aff&gt;&lt;_cited_count&gt;92&lt;/_cited_count&gt;&lt;_collection_scope&gt;CSCD;CSSCI-E;PKU;EI&lt;/_collection_scope&gt;&lt;_created&gt;64467110&lt;/_created&gt;&lt;_date&gt;62483040&lt;/_date&gt;&lt;_db_updated&gt;CNKI - Reference&lt;/_db_updated&gt;&lt;_issue&gt;10&lt;/_issue&gt;&lt;_journal&gt;中国环境科学 &lt;/_journal&gt;&lt;_keywords&gt;城市生活垃圾;产生量;清运量;物理组分;数据清单;时空特征&lt;/_keywords&gt;&lt;_language&gt;Chinese&lt;/_language&gt;&lt;_modified&gt;64491046&lt;/_modified&gt;&lt;_pages&gt;3833-3843&lt;/_pages&gt;&lt;_tertiary_title&gt;China Environmental Science&lt;/_tertiary_title&gt;&lt;_translated_author&gt;Wei, Xiao-xiao; Wang, Xiao-ming; Li, Lei; Liu, Cong; Nemanja, STANISAVLJEVIC; Xu-ya, PENG&lt;/_translated_author&gt;&lt;_translated_title&gt;Temporal and spatial characteristics of municipal solid waste generation and treatment in China from 1979 to 2016&lt;/_translated_title&gt;&lt;_url&gt;https://kns.cnki.net/kcms/detail/detail.aspx?FileName=ZGHJ201810035&amp;amp;DbName=CJFQ2018&lt;/_url&gt;&lt;_volume&gt;38&lt;/_volume&gt;&lt;/Details&gt;&lt;Extra&gt;&lt;DBUID&gt;{69B3C8F9-6712-4024-A614-4D710AE54430}&lt;/DBUID&gt;&lt;/Extra&gt;&lt;/Item&gt;&lt;/References&gt;&lt;/Group&gt;&lt;Group&gt;&lt;References&gt;&lt;Item&gt;&lt;ID&gt;26&lt;/ID&gt;&lt;UID&gt;{3197D125-BF4A-4E95-A601-03FAA08920CA}&lt;/UID&gt;&lt;Title&gt; Handbook of accounting methods and coefficients for the statistical investigation of emission sources&lt;/Title&gt;&lt;Template&gt;Web Page&lt;/Template&gt;&lt;Star&gt;0&lt;/Star&gt;&lt;Tag&gt;0&lt;/Tag&gt;&lt;Author&gt;Ministry of Ecology and Environment of China&lt;/Author&gt;&lt;Year&gt;2021&lt;/Year&gt;&lt;Details&gt;&lt;_accessed&gt;64512874&lt;/_accessed&gt;&lt;_created&gt;64491235&lt;/_created&gt;&lt;_modified&gt;64491236&lt;/_modified&gt;&lt;_url&gt;https://www.mee.gov.cn/xxgk2018/xxgk/xxgk01/202106/t20210618_839512.html&lt;/_url&gt;&lt;/Details&gt;&lt;Extra&gt;&lt;DBUID&gt;{69B3C8F9-6712-4024-A614-4D710AE54430}&lt;/DBUID&gt;&lt;/Extra&gt;&lt;/Item&gt;&lt;/References&gt;&lt;/Group&gt;&lt;/Citation&gt;_x000a_"/>
    <w:docVar w:name="NE.Ref{366B7B7D-AC0A-435F-A61F-058EFAF33A76}" w:val=" ADDIN NE.Ref.{366B7B7D-AC0A-435F-A61F-058EFAF33A76}&lt;Citation&gt;&lt;Group&gt;&lt;References&gt;&lt;Item&gt;&lt;ID&gt;3&lt;/ID&gt;&lt;UID&gt;{9DB8D248-5E93-4BC5-A3C9-2B5D88925D20}&lt;/UID&gt;&lt;Title&gt;1979～2016年中国城市生活垃圾产生和处理时空特征&lt;/Title&gt;&lt;Template&gt;Journal Article&lt;/Template&gt;&lt;Star&gt;0&lt;/Star&gt;&lt;Tag&gt;0&lt;/Tag&gt;&lt;Author&gt;魏潇潇; 王小铭; 李蕾; 刘璁; Nemanja, Stanisavljevic; 彭绪亚&lt;/Author&gt;&lt;Year&gt;2018&lt;/Year&gt;&lt;Details&gt;&lt;_accessed&gt;64491023&lt;/_accessed&gt;&lt;_author_aff&gt;重庆大学三峡库区生态环境教育部重点实验室;重庆市勘测院;诺维萨德大学技术科学学院环境工程系;&lt;/_author_aff&gt;&lt;_cited_count&gt;92&lt;/_cited_count&gt;&lt;_collection_scope&gt;CSCD;CSSCI-E;PKU;EI&lt;/_collection_scope&gt;&lt;_created&gt;64467110&lt;/_created&gt;&lt;_date&gt;62483040&lt;/_date&gt;&lt;_db_updated&gt;CNKI - Reference&lt;/_db_updated&gt;&lt;_issue&gt;10&lt;/_issue&gt;&lt;_journal&gt;中国环境科学 &lt;/_journal&gt;&lt;_keywords&gt;城市生活垃圾;产生量;清运量;物理组分;数据清单;时空特征&lt;/_keywords&gt;&lt;_language&gt;Chinese&lt;/_language&gt;&lt;_modified&gt;64467238&lt;/_modified&gt;&lt;_pages&gt;3833-3843&lt;/_pages&gt;&lt;_tertiary_title&gt;China Environmental Science&lt;/_tertiary_title&gt;&lt;_translated_author&gt;Xiao-xiao, WEI; Xiao-ming, WANG; Lei, LI; Cong, LIU; Nemanja, STANISAVLJEVIC; Xu-ya, PENG&lt;/_translated_author&gt;&lt;_translated_title&gt;Temporal and spatial characteristics of municipal solid waste generation and treatment in China from 1979 to 2016&lt;/_translated_title&gt;&lt;_url&gt;https://kns.cnki.net/kcms/detail/detail.aspx?FileName=ZGHJ201810035&amp;amp;DbName=CJFQ2018&lt;/_url&gt;&lt;_volume&gt;38&lt;/_volume&gt;&lt;/Details&gt;&lt;Extra&gt;&lt;DBUID&gt;{69B3C8F9-6712-4024-A614-4D710AE54430}&lt;/DBUID&gt;&lt;/Extra&gt;&lt;/Item&gt;&lt;/References&gt;&lt;/Group&gt;&lt;Group&gt;&lt;References&gt;&lt;Item&gt;&lt;ID&gt;6&lt;/ID&gt;&lt;UID&gt;{0432D72D-CE04-4418-ACF8-3FB0E5FDD271}&lt;/UID&gt;&lt;Title&gt;A cost-benefit analysis of landfill mining and material recycling in China&lt;/Title&gt;&lt;Template&gt;Journal Article&lt;/Template&gt;&lt;Star&gt;0&lt;/Star&gt;&lt;Tag&gt;0&lt;/Tag&gt;&lt;Author&gt;Zhou, Chuanbin; Gong, Zhe; Hu, Junsong; Cao, Aixin; Liang, Hanwen&lt;/Author&gt;&lt;Year&gt;2015&lt;/Year&gt;&lt;Details&gt;&lt;_accessed&gt;64467116&lt;/_accessed&gt;&lt;_collection_scope&gt;SCIE;EI&lt;/_collection_scope&gt;&lt;_created&gt;64467116&lt;/_created&gt;&lt;_db_updated&gt;CrossRef&lt;/_db_updated&gt;&lt;_doi&gt;10.1016/j.wasman.2014.09.029&lt;/_doi&gt;&lt;_impact_factor&gt;   8.816&lt;/_impact_factor&gt;&lt;_isbn&gt;0956053X&lt;/_isbn&gt;&lt;_journal&gt;Waste Management&lt;/_journal&gt;&lt;_modified&gt;64467116&lt;/_modified&gt;&lt;_pages&gt;191-198&lt;/_pages&gt;&lt;_tertiary_title&gt;Waste Management&lt;/_tertiary_title&gt;&lt;_url&gt;https://linkinghub.elsevier.com/retrieve/pii/S0956053X14004516_x000d__x000a_https://api.elsevier.com/content/article/PII:S0956053X14004516?httpAccept=text/xml&lt;/_url&gt;&lt;_volume&gt;35&lt;/_volume&gt;&lt;/Details&gt;&lt;Extra&gt;&lt;DBUID&gt;{69B3C8F9-6712-4024-A614-4D710AE54430}&lt;/DBUID&gt;&lt;/Extra&gt;&lt;/Item&gt;&lt;/References&gt;&lt;/Group&gt;&lt;/Citation&gt;_x000a_"/>
    <w:docVar w:name="NE.Ref{3B857C44-31A0-4AB3-ABE1-F0F26E55CEDF}" w:val=" ADDIN NE.Ref.{3B857C44-31A0-4AB3-ABE1-F0F26E55CEDF}&lt;Citation&gt;&lt;Group&gt;&lt;References&gt;&lt;Item&gt;&lt;ID&gt;205&lt;/ID&gt;&lt;UID&gt;{FC60C0DE-8EC2-4DDC-9635-639A41529E8B}&lt;/UID&gt;&lt;Title&gt;How Variations in Constructed Wetlands Geography Affect Nutrient Discharge&lt;/Title&gt;&lt;Template&gt;Journal Article&lt;/Template&gt;&lt;Star&gt;0&lt;/Star&gt;&lt;Tag&gt;0&lt;/Tag&gt;&lt;Author&gt;Xia, Yongqiu; Yan, Xiaoyuan&lt;/Author&gt;&lt;Year&gt;2020&lt;/Year&gt;&lt;Details&gt;&lt;_accessed&gt;64535743&lt;/_accessed&gt;&lt;_created&gt;64535743&lt;/_created&gt;&lt;_db_updated&gt;CrossRef&lt;/_db_updated&gt;&lt;_doi&gt;10.1029/2019JG005610&lt;/_doi&gt;&lt;_impact_factor&gt;   4.432&lt;/_impact_factor&gt;&lt;_isbn&gt;2169-8953&lt;/_isbn&gt;&lt;_issue&gt;2&lt;/_issue&gt;&lt;_journal&gt;Journal of Geophysical Research: Biogeosciences&lt;/_journal&gt;&lt;_modified&gt;64535743&lt;/_modified&gt;&lt;_tertiary_title&gt;J. Geophys. Res. Biogeosci.&lt;/_tertiary_title&gt;&lt;_url&gt;https://onlinelibrary.wiley.com/doi/abs/10.1029/2019JG005610_x000d__x000a_https://onlinelibrary.wiley.com/doi/pdf/10.1029/2019JG005610&lt;/_url&gt;&lt;_volume&gt;125&lt;/_volume&gt;&lt;/Details&gt;&lt;Extra&gt;&lt;DBUID&gt;{0BC9C865-1E7C-4F56-9F19-970BB21F54C9}&lt;/DBUID&gt;&lt;/Extra&gt;&lt;/Item&gt;&lt;/References&gt;&lt;/Group&gt;&lt;/Citation&gt;_x000a_"/>
    <w:docVar w:name="NE.Ref{4166A05C-B0DC-4FD5-8071-E63F945EB0E0}" w:val=" ADDIN NE.Ref.{4166A05C-B0DC-4FD5-8071-E63F945EB0E0}&lt;Citation&gt;&lt;Group&gt;&lt;References&gt;&lt;Item&gt;&lt;ID&gt;25&lt;/ID&gt;&lt;UID&gt;{6C324FBD-89E7-4A06-918A-7C8DA0F067DD}&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ccessed&gt;64491225&lt;/_accessed&gt;&lt;_alternate_title&gt;Nature Communications&lt;/_alternate_title&gt;&lt;_collection_scope&gt;SCI;SCIE&lt;/_collection_scope&gt;&lt;_created&gt;64491223&lt;/_created&gt;&lt;_date&gt;2020-01-01&lt;/_date&gt;&lt;_date_display&gt;2020&lt;/_date_display&gt;&lt;_doi&gt;10.1038/s41467-020-18196-z&lt;/_doi&gt;&lt;_impact_factor&gt;  17.694&lt;/_impact_factor&gt;&lt;_isbn&gt;2041-1723&lt;/_isbn&gt;&lt;_issue&gt;1&lt;/_issue&gt;&lt;_journal&gt;Nature Communications&lt;/_journal&gt;&lt;_modified&gt;64491225&lt;/_modified&gt;&lt;_number&gt;Zhang2020&lt;/_number&gt;&lt;_pages&gt;4357&lt;/_pages&gt;&lt;_tertiary_title&gt;Nature Communications&lt;/_tertiary_title&gt;&lt;_translated_author&gt;Zhang, Xiuming; Gu, Baojing; van Grinsven, Hans; Lam, Shu Kee; Liang, Xia; Bai, Mei; Chen, Deli&lt;/_translated_author&gt;&lt;_translated_title&gt;Societal benefits of halving agricultural ammonia emissions in China far exceed the abatement costs&lt;/_translated_title&gt;&lt;_url&gt;https://doi.org/10.1038/s41467-020-18196-z&lt;/_url&gt;&lt;_volume&gt;11&lt;/_volume&gt;&lt;/Details&gt;&lt;Extra&gt;&lt;DBUID&gt;{69B3C8F9-6712-4024-A614-4D710AE54430}&lt;/DBUID&gt;&lt;/Extra&gt;&lt;/Item&gt;&lt;/References&gt;&lt;/Group&gt;&lt;/Citation&gt;_x000a_"/>
    <w:docVar w:name="NE.Ref{53277639-97A6-4B73-8869-EC7EF7BF9991}" w:val=" ADDIN NE.Ref.{53277639-97A6-4B73-8869-EC7EF7BF9991}&lt;Citation&gt;&lt;Group&gt;&lt;References&gt;&lt;Item&gt;&lt;ID&gt;32&lt;/ID&gt;&lt;UID&gt;{4A99C52B-9B06-4C35-9123-F7063E39A97D}&lt;/UID&gt;&lt;Title&gt;An empirical model to estimate ammonia emission from cropland fertilization in China&lt;/Title&gt;&lt;Template&gt;Journal Article&lt;/Template&gt;&lt;Star&gt;0&lt;/Star&gt;&lt;Tag&gt;0&lt;/Tag&gt;&lt;Author&gt;Wang, Chen; Cheng, Kun; Ren, Chenchen; Liu, Hongbin; Sun, Jianfei; Reis, Stefan; Yin, Shasha; Xu, Jianming; Gu, Baojing&lt;/Author&gt;&lt;Year&gt;2021&lt;/Year&gt;&lt;Details&gt;&lt;_alternate_title&gt;Environmental Pollution&lt;/_alternate_title&gt;&lt;_date_display&gt;2021&lt;/_date_display&gt;&lt;_date&gt;2021-01-01&lt;/_date&gt;&lt;_doi&gt;https://doi.org/10.1016/j.envpol.2021.117982&lt;/_doi&gt;&lt;_isbn&gt;0269-7491&lt;/_isbn&gt;&lt;_journal&gt;Environmental Pollution&lt;/_journal&gt;&lt;_keywords&gt;Ammonia; Regression model; Spatio-temporal; Management practices; High resolution&lt;/_keywords&gt;&lt;_pages&gt;117982&lt;/_pages&gt;&lt;_url&gt;https://www.sciencedirect.com/science/article/pii/S0269749121015645&lt;/_url&gt;&lt;_volume&gt;288&lt;/_volume&gt;&lt;_created&gt;64524455&lt;/_created&gt;&lt;_modified&gt;64524461&lt;/_modified&gt;&lt;_impact_factor&gt;   9.988&lt;/_impact_factor&gt;&lt;_collection_scope&gt;SCI;SCIE;EI&lt;/_collection_scope&gt;&lt;_accessed&gt;64524460&lt;/_accessed&gt;&lt;_translated_author&gt;Wang, Chen; Cheng, Kun; Ren, Chenchen; Liu, Hongbin; Sun, Jianfei; Reis, Stefan; Yin, Shasha; Xu, Jianming; Gu, Baojing&lt;/_translated_author&gt;&lt;_translated_title&gt;An empirical model to estimate ammonia emission from cropland fertilization in China&lt;/_translated_title&gt;&lt;_tertiary_title&gt;Environmental Pollution&lt;/_tertiary_title&gt;&lt;/Details&gt;&lt;Extra&gt;&lt;DBUID&gt;{69B3C8F9-6712-4024-A614-4D710AE54430}&lt;/DBUID&gt;&lt;/Extra&gt;&lt;/Item&gt;&lt;/References&gt;&lt;/Group&gt;&lt;/Citation&gt;_x000a_"/>
    <w:docVar w:name="NE.Ref{53C3CE30-D713-4F0F-93E6-CBD508809171}" w:val=" ADDIN NE.Ref.{53C3CE30-D713-4F0F-93E6-CBD508809171}&lt;Citation&gt;&lt;Group&gt;&lt;References&gt;&lt;Item&gt;&lt;ID&gt;32&lt;/ID&gt;&lt;UID&gt;{4A99C52B-9B06-4C35-9123-F7063E39A97D}&lt;/UID&gt;&lt;Title&gt;An empirical model to estimate ammonia emission from cropland fertilization in China&lt;/Title&gt;&lt;Template&gt;Journal Article&lt;/Template&gt;&lt;Star&gt;0&lt;/Star&gt;&lt;Tag&gt;0&lt;/Tag&gt;&lt;Author&gt;Wang, Chen; Cheng, Kun; Ren, Chenchen; Liu, Hongbin; Sun, Jianfei; Reis, Stefan; Yin, Shasha; Xu, Jianming; Gu, Baojing&lt;/Author&gt;&lt;Year&gt;2021&lt;/Year&gt;&lt;Details&gt;&lt;_alternate_title&gt;Environmental Pollution&lt;/_alternate_title&gt;&lt;_date_display&gt;2021&lt;/_date_display&gt;&lt;_date&gt;2021-01-01&lt;/_date&gt;&lt;_doi&gt;https://doi.org/10.1016/j.envpol.2021.117982&lt;/_doi&gt;&lt;_isbn&gt;0269-7491&lt;/_isbn&gt;&lt;_journal&gt;Environmental Pollution&lt;/_journal&gt;&lt;_keywords&gt;Ammonia; Regression model; Spatio-temporal; Management practices; High resolution&lt;/_keywords&gt;&lt;_pages&gt;117982&lt;/_pages&gt;&lt;_url&gt;https://www.sciencedirect.com/science/article/pii/S0269749121015645&lt;/_url&gt;&lt;_volume&gt;288&lt;/_volume&gt;&lt;_created&gt;64524455&lt;/_created&gt;&lt;_modified&gt;64524455&lt;/_modified&gt;&lt;_impact_factor&gt;   9.988&lt;/_impact_factor&gt;&lt;_collection_scope&gt;SCI;SCIE;EI&lt;/_collection_scope&gt;&lt;/Details&gt;&lt;Extra&gt;&lt;DBUID&gt;{69B3C8F9-6712-4024-A614-4D710AE54430}&lt;/DBUID&gt;&lt;/Extra&gt;&lt;/Item&gt;&lt;/References&gt;&lt;/Group&gt;&lt;/Citation&gt;_x000a_"/>
    <w:docVar w:name="NE.Ref{60C3F87B-8A3A-418F-93DD-A3CE42314CE1}" w:val=" ADDIN NE.Ref.{60C3F87B-8A3A-418F-93DD-A3CE42314CE1}&lt;Citation&gt;&lt;Group&gt;&lt;References&gt;&lt;Item&gt;&lt;ID&gt;32&lt;/ID&gt;&lt;UID&gt;{4A99C52B-9B06-4C35-9123-F7063E39A97D}&lt;/UID&gt;&lt;Title&gt;An empirical model to estimate ammonia emission from cropland fertilization in China&lt;/Title&gt;&lt;Template&gt;Journal Article&lt;/Template&gt;&lt;Star&gt;0&lt;/Star&gt;&lt;Tag&gt;0&lt;/Tag&gt;&lt;Author&gt;Wang, Chen; Cheng, Kun; Ren, Chenchen; Liu, Hongbin; Sun, Jianfei; Reis, Stefan; Yin, Shasha; Xu, Jianming; Gu, Baojing&lt;/Author&gt;&lt;Year&gt;2021&lt;/Year&gt;&lt;Details&gt;&lt;_alternate_title&gt;Environmental Pollution&lt;/_alternate_title&gt;&lt;_date_display&gt;2021&lt;/_date_display&gt;&lt;_date&gt;2021-01-01&lt;/_date&gt;&lt;_doi&gt;https://doi.org/10.1016/j.envpol.2021.117982&lt;/_doi&gt;&lt;_isbn&gt;0269-7491&lt;/_isbn&gt;&lt;_journal&gt;Environmental Pollution&lt;/_journal&gt;&lt;_keywords&gt;Ammonia; Regression model; Spatio-temporal; Management practices; High resolution&lt;/_keywords&gt;&lt;_pages&gt;117982&lt;/_pages&gt;&lt;_url&gt;https://www.sciencedirect.com/science/article/pii/S0269749121015645&lt;/_url&gt;&lt;_volume&gt;288&lt;/_volume&gt;&lt;_created&gt;64524455&lt;/_created&gt;&lt;_modified&gt;64524461&lt;/_modified&gt;&lt;_impact_factor&gt;   9.988&lt;/_impact_factor&gt;&lt;_collection_scope&gt;SCI;SCIE;EI&lt;/_collection_scope&gt;&lt;_accessed&gt;64524460&lt;/_accessed&gt;&lt;_translated_author&gt;Wang, Chen; Cheng, Kun; Ren, Chenchen; Liu, Hongbin; Sun, Jianfei; Reis, Stefan; Yin, Shasha; Xu, Jianming; Gu, Baojing&lt;/_translated_author&gt;&lt;_translated_title&gt;An empirical model to estimate ammonia emission from cropland fertilization in China&lt;/_translated_title&gt;&lt;_tertiary_title&gt;Environmental Pollution&lt;/_tertiary_title&gt;&lt;/Details&gt;&lt;Extra&gt;&lt;DBUID&gt;{69B3C8F9-6712-4024-A614-4D710AE54430}&lt;/DBUID&gt;&lt;/Extra&gt;&lt;/Item&gt;&lt;/References&gt;&lt;/Group&gt;&lt;/Citation&gt;_x000a_"/>
    <w:docVar w:name="NE.Ref{6393DA40-55E3-4E22-B125-CED4DFAD74F4}" w:val=" ADDIN NE.Ref.{6393DA40-55E3-4E22-B125-CED4DFAD74F4}&lt;Citation&gt;&lt;Group&gt;&lt;References&gt;&lt;Item&gt;&lt;ID&gt;15&lt;/ID&gt;&lt;UID&gt;{03F2797F-8FFA-4C9E-8FB3-54264C314E0A}&lt;/UID&gt;&lt;Title&gt;Integrated livestock&amp;lt;SI&amp;gt;&lt;/Title&gt;&lt;Template&gt;Journal Article&lt;/Template&gt;&lt;Star&gt;0&lt;/Star&gt;&lt;Tag&gt;0&lt;/Tag&gt;&lt;Author&gt;Zhu, Zhiping; Zhang, Xiuming; Dong, Hongmin; Wang, Sitong; Reis, Stefan; Li, Yue; Gu, Baojing&lt;/Author&gt;&lt;Year&gt;2022&lt;/Year&gt;&lt;Details&gt;&lt;_accessed&gt;64761645&lt;/_accessed&gt;&lt;_created&gt;64443574&lt;/_created&gt;&lt;_db_updated&gt;CrossRef&lt;/_db_updated&gt;&lt;_doi&gt;10.1038/s43016-022-00462-6&lt;/_doi&gt;&lt;_impact_factor&gt;  20.430&lt;/_impact_factor&gt;&lt;_isbn&gt;2662-1355&lt;/_isbn&gt;&lt;_issue&gt;2&lt;/_issue&gt;&lt;_journal&gt;Nature Food&lt;/_journal&gt;&lt;_modified&gt;6476164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66578471-7418-4B7F-90B2-93F350BDD0E3}" w:val=" ADDIN NE.Ref.{66578471-7418-4B7F-90B2-93F350BDD0E3}&lt;Citation&gt;&lt;Group&gt;&lt;References&gt;&lt;Item&gt;&lt;ID&gt;204&lt;/ID&gt;&lt;UID&gt;{7AC38189-EF6C-4615-A0E3-6747CBCCE8C6}&lt;/UID&gt;&lt;Title&gt;Biogeochemical hotspots: Role of small water bodies in landscape nutrient processing&lt;/Title&gt;&lt;Template&gt;Journal Article&lt;/Template&gt;&lt;Star&gt;0&lt;/Star&gt;&lt;Tag&gt;0&lt;/Tag&gt;&lt;Author&gt;Cheng, Frederick Y; Basu, Nandita B&lt;/Author&gt;&lt;Year&gt;2017&lt;/Year&gt;&lt;Details&gt;&lt;_accessed&gt;64535741&lt;/_accessed&gt;&lt;_collection_scope&gt;SCI;SCIE;EI&lt;/_collection_scope&gt;&lt;_created&gt;64535740&lt;/_created&gt;&lt;_db_updated&gt;CrossRef&lt;/_db_updated&gt;&lt;_doi&gt;10.1002/2016WR020102&lt;/_doi&gt;&lt;_impact_factor&gt;   6.159&lt;/_impact_factor&gt;&lt;_isbn&gt;0043-1397&lt;/_isbn&gt;&lt;_issue&gt;6&lt;/_issue&gt;&lt;_journal&gt;Water Resources Research&lt;/_journal&gt;&lt;_modified&gt;64535741&lt;/_modified&gt;&lt;_pages&gt;5038-5056&lt;/_pages&gt;&lt;_tertiary_title&gt;Water Resour. Res.&lt;/_tertiary_title&gt;&lt;_url&gt;https://onlinelibrary.wiley.com/doi/10.1002/2016WR020102_x000d__x000a_https://onlinelibrary.wiley.com/doi/pdf/10.1002/2016WR020102&lt;/_url&gt;&lt;_volume&gt;53&lt;/_volume&gt;&lt;/Details&gt;&lt;Extra&gt;&lt;DBUID&gt;{0BC9C865-1E7C-4F56-9F19-970BB21F54C9}&lt;/DBUID&gt;&lt;/Extra&gt;&lt;/Item&gt;&lt;/References&gt;&lt;/Group&gt;&lt;/Citation&gt;_x000a_"/>
    <w:docVar w:name="NE.Ref{6B2C80CD-6C40-41E4-8B95-0A1D2140C0E7}" w:val=" ADDIN NE.Ref.{6B2C80CD-6C40-41E4-8B95-0A1D2140C0E7}&lt;Citation&gt;&lt;Group&gt;&lt;References&gt;&lt;Item&gt;&lt;ID&gt;3&lt;/ID&gt;&lt;UID&gt;{9DB8D248-5E93-4BC5-A3C9-2B5D88925D20}&lt;/UID&gt;&lt;Title&gt;1979～2016年中国城市生活垃圾产生和处理时空特征&lt;/Title&gt;&lt;Template&gt;Journal Article&lt;/Template&gt;&lt;Star&gt;0&lt;/Star&gt;&lt;Tag&gt;0&lt;/Tag&gt;&lt;Author&gt;魏潇潇; 王小铭; 李蕾; 刘璁; Nemanja, Stanisavljevic; 彭绪亚&lt;/Author&gt;&lt;Year&gt;2018&lt;/Year&gt;&lt;Details&gt;&lt;_accessed&gt;64491023&lt;/_accessed&gt;&lt;_author_aff&gt;重庆大学三峡库区生态环境教育部重点实验室;重庆市勘测院;诺维萨德大学技术科学学院环境工程系;&lt;/_author_aff&gt;&lt;_cited_count&gt;92&lt;/_cited_count&gt;&lt;_collection_scope&gt;CSCD;CSSCI-E;PKU;EI&lt;/_collection_scope&gt;&lt;_created&gt;64467110&lt;/_created&gt;&lt;_date&gt;62483040&lt;/_date&gt;&lt;_db_updated&gt;CNKI - Reference&lt;/_db_updated&gt;&lt;_issue&gt;10&lt;/_issue&gt;&lt;_journal&gt;中国环境科学 &lt;/_journal&gt;&lt;_keywords&gt;城市生活垃圾;产生量;清运量;物理组分;数据清单;时空特征&lt;/_keywords&gt;&lt;_language&gt;Chinese&lt;/_language&gt;&lt;_modified&gt;64467238&lt;/_modified&gt;&lt;_pages&gt;3833-3843&lt;/_pages&gt;&lt;_tertiary_title&gt;China Environmental Science&lt;/_tertiary_title&gt;&lt;_translated_author&gt;Xiao-xiao, WEI; Xiao-ming, WANG; Lei, LI; Cong, LIU; Nemanja, STANISAVLJEVIC; Xu-ya, PENG&lt;/_translated_author&gt;&lt;_translated_title&gt;Temporal and spatial characteristics of municipal solid waste generation and treatment in China from 1979 to 2016&lt;/_translated_title&gt;&lt;_url&gt;https://kns.cnki.net/kcms/detail/detail.aspx?FileName=ZGHJ201810035&amp;amp;DbName=CJFQ2018&lt;/_url&gt;&lt;_volume&gt;38&lt;/_volume&gt;&lt;/Details&gt;&lt;Extra&gt;&lt;DBUID&gt;{69B3C8F9-6712-4024-A614-4D710AE54430}&lt;/DBUID&gt;&lt;/Extra&gt;&lt;/Item&gt;&lt;/References&gt;&lt;/Group&gt;&lt;Group&gt;&lt;References&gt;&lt;Item&gt;&lt;ID&gt;2&lt;/ID&gt;&lt;UID&gt;{74C832E6-901A-481B-A80F-2E9C0C3F8417}&lt;/UID&gt;&lt;Title&gt;排放源统计调查产排污核算方法和系数手册&lt;/Title&gt;&lt;Template&gt;Book&lt;/Template&gt;&lt;Star&gt;0&lt;/Star&gt;&lt;Tag&gt;0&lt;/Tag&gt;&lt;Author&gt;中华人民共和国生态环境部&lt;/Author&gt;&lt;Year&gt;2021&lt;/Year&gt;&lt;Details&gt;&lt;_accessed&gt;64490944&lt;/_accessed&gt;&lt;_created&gt;64467104&lt;/_created&gt;&lt;_language&gt;Chinese&lt;/_language&gt;&lt;_modified&gt;64467245&lt;/_modified&gt;&lt;_place_published&gt;北京&lt;/_place_published&gt;&lt;_translated_author&gt;China, Ministry Of Ecology And&lt;/_translated_author&gt;&lt;_translated_place_published&gt;Beijing&lt;/_translated_place_published&gt;&lt;_translated_title&gt;Handbook of accounting methods and coefficients for emissions from statistical investigations of emission sources&lt;/_translated_title&gt;&lt;_url&gt;https://www.mee.gov.cn/xxgk2018/xxgk/xxgk01/202106/t20210618_839512.html&lt;/_url&gt;&lt;/Details&gt;&lt;Extra&gt;&lt;DBUID&gt;{69B3C8F9-6712-4024-A614-4D710AE54430}&lt;/DBUID&gt;&lt;/Extra&gt;&lt;/Item&gt;&lt;/References&gt;&lt;/Group&gt;&lt;/Citation&gt;_x000a_"/>
    <w:docVar w:name="NE.Ref{6D935651-E514-4247-A0B5-4CC77CD2034E}" w:val=" ADDIN NE.Ref.{6D935651-E514-4247-A0B5-4CC77CD2034E}&lt;Citation&gt;&lt;Group&gt;&lt;References&gt;&lt;Item&gt;&lt;ID&gt;6&lt;/ID&gt;&lt;UID&gt;{0432D72D-CE04-4418-ACF8-3FB0E5FDD271}&lt;/UID&gt;&lt;Title&gt;A cost-benefit analysis of landfill mining and material recycling in China&lt;/Title&gt;&lt;Template&gt;Journal Article&lt;/Template&gt;&lt;Star&gt;0&lt;/Star&gt;&lt;Tag&gt;0&lt;/Tag&gt;&lt;Author&gt;Zhou, Chuanbin; Gong, Zhe; Hu, Junsong; Cao, Aixin; Liang, Hanwen&lt;/Author&gt;&lt;Year&gt;2015&lt;/Year&gt;&lt;Details&gt;&lt;_accessed&gt;64491102&lt;/_accessed&gt;&lt;_collection_scope&gt;SCIE;EI&lt;/_collection_scope&gt;&lt;_created&gt;64467116&lt;/_created&gt;&lt;_db_updated&gt;CrossRef&lt;/_db_updated&gt;&lt;_doi&gt;10.1016/j.wasman.2014.09.029&lt;/_doi&gt;&lt;_impact_factor&gt;   8.816&lt;/_impact_factor&gt;&lt;_isbn&gt;0956053X&lt;/_isbn&gt;&lt;_journal&gt;Waste Management&lt;/_journal&gt;&lt;_modified&gt;64467116&lt;/_modified&gt;&lt;_pages&gt;191-198&lt;/_pages&gt;&lt;_tertiary_title&gt;Waste Management&lt;/_tertiary_title&gt;&lt;_url&gt;https://linkinghub.elsevier.com/retrieve/pii/S0956053X14004516_x000d__x000a_https://api.elsevier.com/content/article/PII:S0956053X14004516?httpAccept=text/xml&lt;/_url&gt;&lt;_volume&gt;35&lt;/_volume&gt;&lt;/Details&gt;&lt;Extra&gt;&lt;DBUID&gt;{69B3C8F9-6712-4024-A614-4D710AE54430}&lt;/DBUID&gt;&lt;/Extra&gt;&lt;/Item&gt;&lt;/References&gt;&lt;/Group&gt;&lt;Group&gt;&lt;References&gt;&lt;Item&gt;&lt;ID&gt;5&lt;/ID&gt;&lt;UID&gt;{76470F2F-6091-4B1C-9013-2642D381C331}&lt;/UID&gt;&lt;Title&gt;Economic analysis of waste-to-energy industry in China&lt;/Title&gt;&lt;Template&gt;Journal Article&lt;/Template&gt;&lt;Star&gt;0&lt;/Star&gt;&lt;Tag&gt;0&lt;/Tag&gt;&lt;Author&gt;Zhao, Xin-gang; Jiang, Gui-wu; Li, Ang; Wang, Ling&lt;/Author&gt;&lt;Year&gt;2016&lt;/Year&gt;&lt;Details&gt;&lt;_accessed&gt;64467239&lt;/_accessed&gt;&lt;_collection_scope&gt;SCIE;EI&lt;/_collection_scope&gt;&lt;_created&gt;64467115&lt;/_created&gt;&lt;_db_updated&gt;CrossRef&lt;/_db_updated&gt;&lt;_doi&gt;10.1016/j.wasman.2015.10.014&lt;/_doi&gt;&lt;_impact_factor&gt;   8.816&lt;/_impact_factor&gt;&lt;_isbn&gt;0956053X&lt;/_isbn&gt;&lt;_journal&gt;Waste Management&lt;/_journal&gt;&lt;_modified&gt;64467115&lt;/_modified&gt;&lt;_pages&gt;604-618&lt;/_pages&gt;&lt;_tertiary_title&gt;Waste Management&lt;/_tertiary_title&gt;&lt;_url&gt;https://linkinghub.elsevier.com/retrieve/pii/S0956053X1530163X_x000d__x000a_https://dul.usage.elsevier.com/doi/&lt;/_url&gt;&lt;_volume&gt;48&lt;/_volume&gt;&lt;/Details&gt;&lt;Extra&gt;&lt;DBUID&gt;{69B3C8F9-6712-4024-A614-4D710AE54430}&lt;/DBUID&gt;&lt;/Extra&gt;&lt;/Item&gt;&lt;/References&gt;&lt;/Group&gt;&lt;Group&gt;&lt;References&gt;&lt;Item&gt;&lt;ID&gt;4&lt;/ID&gt;&lt;UID&gt;{7AD81D50-39A4-47E4-B791-3F188F2CE5E9}&lt;/UID&gt;&lt;Title&gt;基于污水处理厂运营成本的污水处理费制度分析——基于全国227个污水处理厂样本估算&lt;/Title&gt;&lt;Template&gt;Journal Article&lt;/Template&gt;&lt;Star&gt;0&lt;/Star&gt;&lt;Tag&gt;0&lt;/Tag&gt;&lt;Author&gt;谭雪; 石磊; 马中; 张象枢; 陆根法&lt;/Author&gt;&lt;Year&gt;2015&lt;/Year&gt;&lt;Details&gt;&lt;_accessed&gt;64491097&lt;/_accessed&gt;&lt;_author_aff&gt;中国人民大学环境学院;南京大学环境学院污染控制与资源化研究国家重点实验室;&lt;/_author_aff&gt;&lt;_cited_count&gt;81&lt;/_cited_count&gt;&lt;_collection_scope&gt;CSCD;CSSCI-E;PKU;EI&lt;/_collection_scope&gt;&lt;_created&gt;64467113&lt;/_created&gt;&lt;_date&gt;60992640&lt;/_date&gt;&lt;_db_updated&gt;CNKI - Reference&lt;/_db_updated&gt;&lt;_issue&gt;12&lt;/_issue&gt;&lt;_journal&gt;中国环境科学&lt;/_journal&gt;&lt;_keywords&gt;污水处理费;污水处理厂;运营成本;成本收益分析&lt;/_keywords&gt;&lt;_language&gt;Chinese&lt;/_language&gt;&lt;_modified&gt;64491098&lt;/_modified&gt;&lt;_pages&gt;3833-3840&lt;/_pages&gt;&lt;_tertiary_title&gt;China Environmental Science&lt;/_tertiary_title&gt;&lt;_translated_author&gt;TAM, Xue; SHI, Lei; MA, Zhong; Xiang-shu, ZhANG; Gen-fa, Lu&lt;/_translated_author&gt;&lt;_translated_title&gt;Institutional analysis of sewage treatment charge based on operating cost of sewage treatment plant—an empirical _x000d__x000a_research of 227samples in China&lt;/_translated_title&gt;&lt;_url&gt;https://kns.cnki.net/kcms/detail/detail.aspx?FileName=ZGHJ201512044&amp;amp;DbName=CJFQ2015&lt;/_url&gt;&lt;_volume&gt;35&lt;/_volume&gt;&lt;/Details&gt;&lt;Extra&gt;&lt;DBUID&gt;{69B3C8F9-6712-4024-A614-4D710AE54430}&lt;/DBUID&gt;&lt;/Extra&gt;&lt;/Item&gt;&lt;/References&gt;&lt;/Group&gt;&lt;/Citation&gt;_x000a_"/>
    <w:docVar w:name="NE.Ref{733D1B3E-1276-42B0-81EA-2EBE4E4730D3}" w:val=" ADDIN NE.Ref.{733D1B3E-1276-42B0-81EA-2EBE4E4730D3}&lt;Citation&gt;&lt;Group&gt;&lt;References&gt;&lt;Item&gt;&lt;ID&gt;215&lt;/ID&gt;&lt;UID&gt;{B8A53C0E-1032-4C3C-9B37-A868EC6506EE}&lt;/UID&gt;&lt;Title&gt;An empirical model to estimate ammonia emission from cropland fertilization in China&lt;/Title&gt;&lt;Template&gt;Journal Article&lt;/Template&gt;&lt;Star&gt;0&lt;/Star&gt;&lt;Tag&gt;0&lt;/Tag&gt;&lt;Author&gt;Wang, Chen; Cheng, Kun; Ren, Chenchen; Liu, Hongbin; Sun, Jianfei; Reis, Stefan; Yin, Shasha; Xu, Jianming; Gu, Baojing&lt;/Author&gt;&lt;Year&gt;2021&lt;/Year&gt;&lt;Details&gt;&lt;_alternate_title&gt;Environmental Pollution&lt;/_alternate_title&gt;&lt;_collection_scope&gt;SCI;SCIE;EI&lt;/_collection_scope&gt;&lt;_created&gt;64566555&lt;/_created&gt;&lt;_date&gt;2021-01-01&lt;/_date&gt;&lt;_date_display&gt;2021&lt;/_date_display&gt;&lt;_doi&gt;https://doi.org/10.1016/j.envpol.2021.117982&lt;/_doi&gt;&lt;_impact_factor&gt;   9.988&lt;/_impact_factor&gt;&lt;_isbn&gt;0269-7491&lt;/_isbn&gt;&lt;_journal&gt;Environmental Pollution&lt;/_journal&gt;&lt;_keywords&gt;Ammonia; Regression model; Spatio-temporal; Management practices; High resolution&lt;/_keywords&gt;&lt;_modified&gt;64566555&lt;/_modified&gt;&lt;_pages&gt;117982&lt;/_pages&gt;&lt;_url&gt;https://www.sciencedirect.com/science/article/pii/S0269749121015645&lt;/_url&gt;&lt;_volume&gt;288&lt;/_volume&gt;&lt;/Details&gt;&lt;Extra&gt;&lt;DBUID&gt;{0BC9C865-1E7C-4F56-9F19-970BB21F54C9}&lt;/DBUID&gt;&lt;/Extra&gt;&lt;/Item&gt;&lt;/References&gt;&lt;/Group&gt;&lt;Group&gt;&lt;References&gt;&lt;Item&gt;&lt;ID&gt;70&lt;/ID&gt;&lt;UID&gt;{AAAAAE7D-987D-4B06-8B9D-A37FDB36D726}&lt;/UID&gt;&lt;Title&gt;Ammonia Emissions from Croplands Decrease with Farm Size in China&lt;/Title&gt;&lt;Template&gt;Journal Article&lt;/Template&gt;&lt;Star&gt;0&lt;/Star&gt;&lt;Tag&gt;0&lt;/Tag&gt;&lt;Author&gt;Wang, Chen; Duan, Jiakun; Ren, Chenchen; Liu, Hongbin; Reis, Stefan; Xu, Jianming; Gu, Baojing&lt;/Author&gt;&lt;Year&gt;2022&lt;/Year&gt;&lt;Details&gt;&lt;_accessed&gt;64576459&lt;/_accessed&gt;&lt;_collection_scope&gt;SCI;SCIE;EI&lt;/_collection_scope&gt;&lt;_created&gt;64443575&lt;/_created&gt;&lt;_date&gt;64376640&lt;/_date&gt;&lt;_db_updated&gt;CrossRef&lt;/_db_updated&gt;&lt;_doi&gt;10.1021/acs.est.2c01061&lt;/_doi&gt;&lt;_impact_factor&gt;  11.357&lt;/_impact_factor&gt;&lt;_isbn&gt;0013-936X&lt;/_isbn&gt;&lt;_journal&gt;Environmental Science &amp;amp; Technology&lt;/_journal&gt;&lt;_modified&gt;64576459&lt;/_modified&gt;&lt;_tertiary_title&gt;Environ. Sci. Technol.&lt;/_tertiary_title&gt;&lt;_url&gt;https://pubs.acs.org/doi/10.1021/acs.est.2c01061_x000d__x000a_https://pubs.acs.org/doi/pdf/10.1021/acs.est.2c01061&lt;/_url&gt;&lt;/Details&gt;&lt;Extra&gt;&lt;DBUID&gt;{0BC9C865-1E7C-4F56-9F19-970BB21F54C9}&lt;/DBUID&gt;&lt;/Extra&gt;&lt;/Item&gt;&lt;/References&gt;&lt;/Group&gt;&lt;/Citation&gt;_x000a_"/>
    <w:docVar w:name="NE.Ref{895A666D-21A1-4429-9D58-140FD27C0483}" w:val=" ADDIN NE.Ref.{895A666D-21A1-4429-9D58-140FD27C0483}&lt;Citation&gt;&lt;Group&gt;&lt;References&gt;&lt;Item&gt;&lt;ID&gt;25&lt;/ID&gt;&lt;UID&gt;{6C324FBD-89E7-4A06-918A-7C8DA0F067DD}&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lternate_title&gt;Nature Communications&lt;/_alternate_title&gt;&lt;_date_display&gt;2020&lt;/_date_display&gt;&lt;_date&gt;2020-01-01&lt;/_date&gt;&lt;_doi&gt;10.1038/s41467-020-18196-z&lt;/_doi&gt;&lt;_isbn&gt;2041-1723&lt;/_isbn&gt;&lt;_issue&gt;1&lt;/_issue&gt;&lt;_journal&gt;Nature Communications&lt;/_journal&gt;&lt;_number&gt;Zhang2020&lt;/_number&gt;&lt;_pages&gt;4357&lt;/_pages&gt;&lt;_url&gt;https://doi.org/10.1038/s41467-020-18196-z&lt;/_url&gt;&lt;_volume&gt;11&lt;/_volume&gt;&lt;_created&gt;64491223&lt;/_created&gt;&lt;_modified&gt;64491223&lt;/_modified&gt;&lt;_impact_factor&gt;  17.694&lt;/_impact_factor&gt;&lt;_collection_scope&gt;SCI;SCIE&lt;/_collection_scope&gt;&lt;_accessed&gt;64491223&lt;/_accessed&gt;&lt;/Details&gt;&lt;Extra&gt;&lt;DBUID&gt;{69B3C8F9-6712-4024-A614-4D710AE54430}&lt;/DBUID&gt;&lt;/Extra&gt;&lt;/Item&gt;&lt;/References&gt;&lt;/Group&gt;&lt;/Citation&gt;_x000a_"/>
    <w:docVar w:name="NE.Ref{8C6AC91B-FB26-4751-9DE3-FBA1A4A5FE5B}" w:val=" ADDIN NE.Ref.{8C6AC91B-FB26-4751-9DE3-FBA1A4A5FE5B}&lt;Citation&gt;&lt;Group&gt;&lt;References&gt;&lt;Item&gt;&lt;ID&gt;14&lt;/ID&gt;&lt;UID&gt;{D79FE1E4-282B-45FF-8043-646E9D7805C6}&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786545&lt;/_accessed&gt;&lt;_created&gt;64443574&lt;/_created&gt;&lt;_db_updated&gt;CrossRef&lt;/_db_updated&gt;&lt;_doi&gt;10.1038/s43016-022-00462-6&lt;/_doi&gt;&lt;_impact_factor&gt;  20.430&lt;/_impact_factor&gt;&lt;_isbn&gt;2662-1355&lt;/_isbn&gt;&lt;_issue&gt;2&lt;/_issue&gt;&lt;_journal&gt;Nature Food&lt;/_journal&gt;&lt;_modified&gt;64786569&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8F06B732-EBFD-489E-BFFB-FC2558BA8E37}" w:val=" ADDIN NE.Ref.{8F06B732-EBFD-489E-BFFB-FC2558BA8E37}&lt;Citation&gt;&lt;Group&gt;&lt;References&gt;&lt;Item&gt;&lt;ID&gt;14&lt;/ID&gt;&lt;UID&gt;{D79FE1E4-282B-45FF-8043-646E9D7805C6}&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786545&lt;/_accessed&gt;&lt;_created&gt;64443574&lt;/_created&gt;&lt;_db_updated&gt;CrossRef&lt;/_db_updated&gt;&lt;_doi&gt;10.1038/s43016-022-00462-6&lt;/_doi&gt;&lt;_impact_factor&gt;  20.430&lt;/_impact_factor&gt;&lt;_isbn&gt;2662-1355&lt;/_isbn&gt;&lt;_issue&gt;2&lt;/_issue&gt;&lt;_journal&gt;Nature Food&lt;/_journal&gt;&lt;_modified&gt;64786569&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917663C7-583D-4556-A360-6DC70CE2BCF0}" w:val=" ADDIN NE.Ref.{917663C7-583D-4556-A360-6DC70CE2BCF0}&lt;Citation&gt;&lt;Group&gt;&lt;References&gt;&lt;Item&gt;&lt;ID&gt;14&lt;/ID&gt;&lt;UID&gt;{D79FE1E4-282B-45FF-8043-646E9D7805C6}&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786545&lt;/_accessed&gt;&lt;_created&gt;64443574&lt;/_created&gt;&lt;_db_updated&gt;CrossRef&lt;/_db_updated&gt;&lt;_doi&gt;10.1038/s43016-022-00462-6&lt;/_doi&gt;&lt;_impact_factor&gt;  20.430&lt;/_impact_factor&gt;&lt;_isbn&gt;2662-1355&lt;/_isbn&gt;&lt;_issue&gt;2&lt;/_issue&gt;&lt;_journal&gt;Nature Food&lt;/_journal&gt;&lt;_modified&gt;64786569&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91EA2760-2A6A-45FB-B729-122316537034}" w:val=" ADDIN NE.Ref.{91EA2760-2A6A-45FB-B729-122316537034}&lt;Citation&gt;&lt;Group&gt;&lt;References&gt;&lt;Item&gt;&lt;ID&gt;15&lt;/ID&gt;&lt;UID&gt;{03F2797F-8FFA-4C9E-8FB3-54264C314E0A}&lt;/UID&gt;&lt;Title&gt;Integrated livestock&amp;lt;SI&amp;gt;&lt;/Title&gt;&lt;Template&gt;Journal Article&lt;/Template&gt;&lt;Star&gt;0&lt;/Star&gt;&lt;Tag&gt;0&lt;/Tag&gt;&lt;Author&gt;Zhu, Zhiping; Zhang, Xiuming; Dong, Hongmin; Wang, Sitong; Reis, Stefan; Li, Yue; Gu, Baojing&lt;/Author&gt;&lt;Year&gt;2022&lt;/Year&gt;&lt;Details&gt;&lt;_accessed&gt;64761645&lt;/_accessed&gt;&lt;_created&gt;64443574&lt;/_created&gt;&lt;_db_updated&gt;CrossRef&lt;/_db_updated&gt;&lt;_doi&gt;10.1038/s43016-022-00462-6&lt;/_doi&gt;&lt;_impact_factor&gt;  20.430&lt;/_impact_factor&gt;&lt;_isbn&gt;2662-1355&lt;/_isbn&gt;&lt;_issue&gt;2&lt;/_issue&gt;&lt;_journal&gt;Nature Food&lt;/_journal&gt;&lt;_modified&gt;6476164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93E8FC97-451C-4563-B26C-B5AAEE834BC4}" w:val=" ADDIN NE.Ref.{93E8FC97-451C-4563-B26C-B5AAEE834BC4}&lt;Citation&gt;&lt;Group&gt;&lt;References&gt;&lt;Item&gt;&lt;ID&gt;31&lt;/ID&gt;&lt;UID&gt;{F09E318B-BB50-4895-8C2B-D9F41D8F9214}&lt;/UID&gt;&lt;Title&gt;Environmental benefits and household costs of clean heating options in northern China&lt;/Title&gt;&lt;Template&gt;Journal Article&lt;/Template&gt;&lt;Star&gt;0&lt;/Star&gt;&lt;Tag&gt;0&lt;/Tag&gt;&lt;Author&gt;Zhou, Mi; Liu, Hongxun; Peng, Liqun; Qin, Yue; Chen, Dan; Zhang, Lin; Mauzerall, Denise L&lt;/Author&gt;&lt;Year&gt;2022&lt;/Year&gt;&lt;Details&gt;&lt;_accessed&gt;64527012&lt;/_accessed&gt;&lt;_alternate_title&gt;Nature Sustainability&lt;/_alternate_title&gt;&lt;_created&gt;64524453&lt;/_created&gt;&lt;_date&gt;2022-01-01&lt;/_date&gt;&lt;_date_display&gt;2022&lt;/_date_display&gt;&lt;_doi&gt;10.1038/s41893-021-00837-w&lt;/_doi&gt;&lt;_impact_factor&gt;  27.157&lt;/_impact_factor&gt;&lt;_isbn&gt;2398-9629&lt;/_isbn&gt;&lt;_issue&gt;4&lt;/_issue&gt;&lt;_journal&gt;Nature Sustainability&lt;/_journal&gt;&lt;_modified&gt;64527012&lt;/_modified&gt;&lt;_number&gt;Zhou2022&lt;/_number&gt;&lt;_pages&gt;329-338&lt;/_pages&gt;&lt;_url&gt;https://doi.org/10.1038/s41893-021-00837-w&lt;/_url&gt;&lt;_volume&gt;5&lt;/_volume&gt;&lt;_translated_author&gt;Zhou, Mi; Liu, Hongxun; Peng, Liqun; Qin, Yue; Chen, Dan; Zhang, Lin; Mauzerall, Denise L&lt;/_translated_author&gt;&lt;_translated_title&gt;Environmental benefits and household costs of clean heating options in northern China&lt;/_translated_title&gt;&lt;_tertiary_title&gt;Nature Sustainability&lt;/_tertiary_title&gt;&lt;/Details&gt;&lt;Extra&gt;&lt;DBUID&gt;{69B3C8F9-6712-4024-A614-4D710AE54430}&lt;/DBUID&gt;&lt;/Extra&gt;&lt;/Item&gt;&lt;/References&gt;&lt;/Group&gt;&lt;/Citation&gt;_x000a_"/>
    <w:docVar w:name="NE.Ref{9FCB7B5A-947A-469F-9D5D-A1FA81214E73}" w:val=" ADDIN NE.Ref.{9FCB7B5A-947A-469F-9D5D-A1FA81214E73}&lt;Citation&gt;&lt;Group&gt;&lt;References&gt;&lt;Item&gt;&lt;ID&gt;70&lt;/ID&gt;&lt;UID&gt;{AAAAAE7D-987D-4B06-8B9D-A37FDB36D726}&lt;/UID&gt;&lt;Title&gt;Ammonia Emissions from Croplands Decrease with Farm Size in China&lt;/Title&gt;&lt;Template&gt;Journal Article&lt;/Template&gt;&lt;Star&gt;0&lt;/Star&gt;&lt;Tag&gt;0&lt;/Tag&gt;&lt;Author&gt;Wang, Chen; Duan, Jiakun; Ren, Chenchen; Liu, Hongbin; Reis, Stefan; Xu, Jianming; Gu, Baojing&lt;/Author&gt;&lt;Year&gt;2022&lt;/Year&gt;&lt;Details&gt;&lt;_accessed&gt;64445135&lt;/_accessed&gt;&lt;_collection_scope&gt;SCI;SCIE;EI&lt;/_collection_scope&gt;&lt;_created&gt;64443575&lt;/_created&gt;&lt;_date&gt;64376640&lt;/_date&gt;&lt;_db_updated&gt;CrossRef&lt;/_db_updated&gt;&lt;_doi&gt;10.1021/acs.est.2c01061&lt;/_doi&gt;&lt;_impact_factor&gt;  11.357&lt;/_impact_factor&gt;&lt;_isbn&gt;0013-936X&lt;/_isbn&gt;&lt;_journal&gt;Environmental Science &amp;amp; Technology&lt;/_journal&gt;&lt;_modified&gt;64445135&lt;/_modified&gt;&lt;_tertiary_title&gt;Environ. Sci. Technol.&lt;/_tertiary_title&gt;&lt;_url&gt;https://pubs.acs.org/doi/10.1021/acs.est.2c01061_x000d__x000a_https://pubs.acs.org/doi/pdf/10.1021/acs.est.2c01061&lt;/_url&gt;&lt;/Details&gt;&lt;Extra&gt;&lt;DBUID&gt;{0BC9C865-1E7C-4F56-9F19-970BB21F54C9}&lt;/DBUID&gt;&lt;/Extra&gt;&lt;/Item&gt;&lt;/References&gt;&lt;/Group&gt;&lt;/Citation&gt;_x000a_"/>
    <w:docVar w:name="NE.Ref{A1699973-0C76-4C25-A9B4-2E78FFDEA0C4}" w:val=" ADDIN NE.Ref.{A1699973-0C76-4C25-A9B4-2E78FFDEA0C4}&lt;Citation&gt;&lt;Group&gt;&lt;References&gt;&lt;Item&gt;&lt;ID&gt;204&lt;/ID&gt;&lt;UID&gt;{7AC38189-EF6C-4615-A0E3-6747CBCCE8C6}&lt;/UID&gt;&lt;Title&gt;Biogeochemical hotspots: Role of small water bodies in landscape nutrient processing&lt;/Title&gt;&lt;Template&gt;Journal Article&lt;/Template&gt;&lt;Star&gt;0&lt;/Star&gt;&lt;Tag&gt;0&lt;/Tag&gt;&lt;Author&gt;Cheng, Frederick Y; Basu, Nandita B&lt;/Author&gt;&lt;Year&gt;2017&lt;/Year&gt;&lt;Details&gt;&lt;_accessed&gt;64535741&lt;/_accessed&gt;&lt;_collection_scope&gt;SCI;SCIE;EI&lt;/_collection_scope&gt;&lt;_created&gt;64535740&lt;/_created&gt;&lt;_db_updated&gt;CrossRef&lt;/_db_updated&gt;&lt;_doi&gt;10.1002/2016WR020102&lt;/_doi&gt;&lt;_impact_factor&gt;   6.159&lt;/_impact_factor&gt;&lt;_isbn&gt;0043-1397&lt;/_isbn&gt;&lt;_issue&gt;6&lt;/_issue&gt;&lt;_journal&gt;Water Resources Research&lt;/_journal&gt;&lt;_modified&gt;64535741&lt;/_modified&gt;&lt;_pages&gt;5038-5056&lt;/_pages&gt;&lt;_tertiary_title&gt;Water Resour. Res.&lt;/_tertiary_title&gt;&lt;_url&gt;https://onlinelibrary.wiley.com/doi/10.1002/2016WR020102_x000d__x000a_https://onlinelibrary.wiley.com/doi/pdf/10.1002/2016WR020102&lt;/_url&gt;&lt;_volume&gt;53&lt;/_volume&gt;&lt;/Details&gt;&lt;Extra&gt;&lt;DBUID&gt;{0BC9C865-1E7C-4F56-9F19-970BB21F54C9}&lt;/DBUID&gt;&lt;/Extra&gt;&lt;/Item&gt;&lt;/References&gt;&lt;/Group&gt;&lt;/Citation&gt;_x000a_"/>
    <w:docVar w:name="NE.Ref{A6F4DF6F-7051-4FDE-A208-64CE337836E1}" w:val=" ADDIN NE.Ref.{A6F4DF6F-7051-4FDE-A208-64CE337836E1}&lt;Citation&gt;&lt;Group&gt;&lt;References&gt;&lt;Item&gt;&lt;ID&gt;2&lt;/ID&gt;&lt;UID&gt;{0704AA8F-5348-4F0C-BFDA-3717A86D25E1}&lt;/UID&gt;&lt;Title&gt;Integrated reactive nitrogen budgets and future trends in China&lt;/Title&gt;&lt;Template&gt;Journal Article&lt;/Template&gt;&lt;Star&gt;0&lt;/Star&gt;&lt;Tag&gt;0&lt;/Tag&gt;&lt;Author&gt;Gu, Baojing; Ju, Xiaotang; Chang, Jie; Ge, Ying; Vitousek, Peter M&lt;/Author&gt;&lt;Year&gt;2015&lt;/Year&gt;&lt;Details&gt;&lt;_accessed&gt;64576457&lt;/_accessed&gt;&lt;_created&gt;64443574&lt;/_created&gt;&lt;_date&gt;60763680&lt;/_date&gt;&lt;_db_updated&gt;CrossRef&lt;/_db_updated&gt;&lt;_doi&gt;10.1073/pnas.1510211112&lt;/_doi&gt;&lt;_impact_factor&gt;  12.779&lt;/_impact_factor&gt;&lt;_isbn&gt;0027-8424&lt;/_isbn&gt;&lt;_issue&gt;28&lt;/_issue&gt;&lt;_journal&gt;Proc. Natl. Acad. Sci. U.S.A.&lt;/_journal&gt;&lt;_modified&gt;64576457&lt;/_modified&gt;&lt;_pages&gt;8792-8797&lt;/_pages&gt;&lt;_tertiary_title&gt;Proc. Natl. Acad. Sci. U.S.A.&lt;/_tertiary_title&gt;&lt;_url&gt;https://pnas.org/doi/full/10.1073/pnas.1510211112_x000d__x000a_https://pnas.org/doi/pdf/10.1073/pnas.1510211112&lt;/_url&gt;&lt;_volume&gt;112&lt;/_volume&gt;&lt;/Details&gt;&lt;Extra&gt;&lt;DBUID&gt;{0BC9C865-1E7C-4F56-9F19-970BB21F54C9}&lt;/DBUID&gt;&lt;/Extra&gt;&lt;/Item&gt;&lt;/References&gt;&lt;/Group&gt;&lt;Group&gt;&lt;References&gt;&lt;Item&gt;&lt;ID&gt;234&lt;/ID&gt;&lt;UID&gt;{F7094E98-0882-421A-95EE-605A2EBA99CF}&lt;/UID&gt;&lt;Title&gt;Toward a Generic Analytical Framework for Sustainable Nitrogen Management: Application for China&lt;/Title&gt;&lt;Template&gt;Journal Article&lt;/Template&gt;&lt;Star&gt;0&lt;/Star&gt;&lt;Tag&gt;0&lt;/Tag&gt;&lt;Author&gt;Gu, Baojing; Lam, Shu Kee; Reis, Stefan; van Grinsven, Hans; Ju, Xiaotang; Yan, Xiaoyuan; Zhou, Feng; Liu, Hongbin; Cai, Zucong; Galloway, James N; Howard, Clare; Sutton, Mark A; Chen, Deli&lt;/Author&gt;&lt;Year&gt;2019&lt;/Year&gt;&lt;Details&gt;&lt;_accessed&gt;64809585&lt;/_accessed&gt;&lt;_collection_scope&gt;SCI;SCIE;EI&lt;/_collection_scope&gt;&lt;_created&gt;64576460&lt;/_created&gt;&lt;_date&gt;62588160&lt;/_date&gt;&lt;_date_display&gt;2019&lt;/_date_display&gt;&lt;_db_updated&gt;PKU Search&lt;/_db_updated&gt;&lt;_doi&gt;10.1021/acs.est.8b06370&lt;/_doi&gt;&lt;_impact_factor&gt;  11.357&lt;/_impact_factor&gt;&lt;_isbn&gt;0013-936X&lt;/_isbn&gt;&lt;_issue&gt;3&lt;/_issue&gt;&lt;_journal&gt;Environmental science &amp;amp; technology&lt;/_journal&gt;&lt;_keywords&gt;Agricultural land; Animals; China; Conservation of Natural Resources; Cost benefit analysis; Diet; Environmental protection; Excretion; Federal budgets; Fluxes; Food; Food production; Food waste; Humans; Livestock; Management; Nitrogen; Regional development; Sustainable development; Sustainable use&lt;/_keywords&gt;&lt;_modified&gt;64809585&lt;/_modified&gt;&lt;_number&gt;1&lt;/_number&gt;&lt;_ori_publication&gt;American Chemical Society&lt;/_ori_publication&gt;&lt;_pages&gt;1109-1118&lt;/_pages&gt;&lt;_place_published&gt;United States&lt;/_place_published&gt;&lt;_url&gt;https://go.exlibris.link/SWTWL8BC&lt;/_url&gt;&lt;_volume&gt;53&lt;/_volume&gt;&lt;/Details&gt;&lt;Extra&gt;&lt;DBUID&gt;{0BC9C865-1E7C-4F56-9F19-970BB21F54C9}&lt;/DBUID&gt;&lt;/Extra&gt;&lt;/Item&gt;&lt;/References&gt;&lt;/Group&gt;&lt;/Citation&gt;_x000a_"/>
    <w:docVar w:name="NE.Ref{A75B97B2-9921-424C-860C-6E8E78501541}" w:val=" ADDIN NE.Ref.{A75B97B2-9921-424C-860C-6E8E78501541}&lt;Citation&gt;&lt;Group&gt;&lt;References&gt;&lt;Item&gt;&lt;ID&gt;388&lt;/ID&gt;&lt;UID&gt;{08534BDA-0ED9-40CE-88FE-878492884774}&lt;/UID&gt;&lt;Title&gt;A new framework to model the distributed transfer and retention of nutrients by incorporating topology structure of small water bodies&lt;/Title&gt;&lt;Template&gt;Journal Article&lt;/Template&gt;&lt;Star&gt;0&lt;/Star&gt;&lt;Tag&gt;0&lt;/Tag&gt;&lt;Author&gt;Xia, Yongqiu; Zhao, Di; Yan, Xing; Hu, Wei; Qiu, Jie; Yan, Xiaoyuan&lt;/Author&gt;&lt;Year&gt;2023&lt;/Year&gt;&lt;Details&gt;&lt;_alternate_title&gt;Water Research&lt;/_alternate_title&gt;&lt;_date_display&gt;2023&lt;/_date_display&gt;&lt;_date&gt;2023-01-01&lt;/_date&gt;&lt;_doi&gt;https://doi.org/10.1016/j.watres.2023.119991&lt;/_doi&gt;&lt;_isbn&gt;0043-1354&lt;/_isbn&gt;&lt;_journal&gt;Water Research&lt;/_journal&gt;&lt;_keywords&gt;Small water bodies; Topology structure; Nutrient loading and retention; Model framework; Multi-water continuum system&lt;/_keywords&gt;&lt;_pages&gt;119991&lt;/_pages&gt;&lt;_url&gt;https://www.sciencedirect.com/science/article/pii/S004313542300427X&lt;/_url&gt;&lt;_volume&gt;238&lt;/_volume&gt;&lt;_created&gt;64874408&lt;/_created&gt;&lt;_modified&gt;64874408&lt;/_modified&gt;&lt;_impact_factor&gt;  13.400&lt;/_impact_factor&gt;&lt;_collection_scope&gt;SCI;SCIE;EI&lt;/_collection_scope&gt;&lt;/Details&gt;&lt;Extra&gt;&lt;DBUID&gt;{0BC9C865-1E7C-4F56-9F19-970BB21F54C9}&lt;/DBUID&gt;&lt;/Extra&gt;&lt;/Item&gt;&lt;/References&gt;&lt;/Group&gt;&lt;/Citation&gt;_x000a_"/>
    <w:docVar w:name="NE.Ref{A8454C7C-7E69-45FF-A199-ED2111AD73A7}" w:val=" ADDIN NE.Ref.{A8454C7C-7E69-45FF-A199-ED2111AD73A7}&lt;Citation&gt;&lt;Group&gt;&lt;References&gt;&lt;Item&gt;&lt;ID&gt;10&lt;/ID&gt;&lt;UID&gt;{A62A03B5-AB03-456E-82AB-38D706DF2BCD}&lt;/UID&gt;&lt;Title&gt;改良山区农村老式传统猪舍实现环境保护和综合生产效益双提升&lt;/Title&gt;&lt;Template&gt;Journal Article&lt;/Template&gt;&lt;Star&gt;1&lt;/Star&gt;&lt;Tag&gt;0&lt;/Tag&gt;&lt;Author&gt;周德强&lt;/Author&gt;&lt;Year&gt;2019&lt;/Year&gt;&lt;Details&gt;&lt;_accessed&gt;64491251&lt;/_accessed&gt;&lt;_author_aff&gt;贵州省绥阳县扶贫开发办公室;&lt;/_author_aff&gt;&lt;_created&gt;64467140&lt;/_created&gt;&lt;_date&gt;62840160&lt;/_date&gt;&lt;_db_updated&gt;CNKI - Reference&lt;/_db_updated&gt;&lt;_issue&gt;06&lt;/_issue&gt;&lt;_journal&gt;畜牧兽医科技信息&lt;/_journal&gt;&lt;_keywords&gt;猪舍;老式;新式;环保;效益&lt;/_keywords&gt;&lt;_language&gt;Chinese&lt;/_language&gt;&lt;_modified&gt;64491136&lt;/_modified&gt;&lt;_pages&gt;73-74&lt;/_pages&gt;&lt;_tertiary_title&gt;Chinese Journal of Animal Husbandry and Veterinary Medicine&lt;/_tertiary_title&gt;&lt;_translated_author&gt;ZHOU, De-qiang&lt;/_translated_author&gt;&lt;_translated_title&gt;Improving the old-fashioned traditional pig houses in mountainous rural areas to achieve both environmental protection and comprehensive production benefits&lt;/_translated_title&gt;&lt;_url&gt;https://kns.cnki.net/kcms/detail/detail.aspx?FileName=XMKX201906065&amp;amp;DbName=CJFQ2019&lt;/_url&gt;&lt;/Details&gt;&lt;Extra&gt;&lt;DBUID&gt;{69B3C8F9-6712-4024-A614-4D710AE54430}&lt;/DBUID&gt;&lt;/Extra&gt;&lt;/Item&gt;&lt;/References&gt;&lt;/Group&gt;&lt;/Citation&gt;_x000a_"/>
    <w:docVar w:name="NE.Ref{A862DA5E-9429-44C3-B838-EC296B31A81B}" w:val=" ADDIN NE.Ref.{A862DA5E-9429-44C3-B838-EC296B31A81B}&lt;Citation&gt;&lt;Group&gt;&lt;References&gt;&lt;Item&gt;&lt;ID&gt;390&lt;/ID&gt;&lt;UID&gt;{4E78069C-84A4-45B7-8603-97D81B963EEC}&lt;/UID&gt;&lt;Title&gt;Bulletion of China marine ecological environment status 2017&lt;/Title&gt;&lt;Template&gt;Web Page&lt;/Template&gt;&lt;Star&gt;0&lt;/Star&gt;&lt;Tag&gt;0&lt;/Tag&gt;&lt;Author&gt;SOA&lt;/Author&gt;&lt;Year&gt;2017&lt;/Year&gt;&lt;Details&gt;&lt;_url&gt;http://gc.mnr.gov.cn/201806/t20180619_1797652.html&lt;/_url&gt;&lt;_accessed&gt;64874442&lt;/_accessed&gt;&lt;_created&gt;64874440&lt;/_created&gt;&lt;_modified&gt;64874442&lt;/_modified&gt;&lt;_volume&gt;2017&lt;/_volume&gt;&lt;_publisher&gt;State Oceanic Administration, PRC_x000d__x000a_&lt;/_publisher&gt;&lt;/Details&gt;&lt;Extra&gt;&lt;DBUID&gt;{0BC9C865-1E7C-4F56-9F19-970BB21F54C9}&lt;/DBUID&gt;&lt;/Extra&gt;&lt;/Item&gt;&lt;/References&gt;&lt;/Group&gt;&lt;/Citation&gt;_x000a_"/>
    <w:docVar w:name="NE.Ref{A88F1961-15A5-401C-90F8-3AF4F4B614D8}" w:val=" ADDIN NE.Ref.{A88F1961-15A5-401C-90F8-3AF4F4B614D8}&lt;Citation&gt;&lt;Group&gt;&lt;References&gt;&lt;Item&gt;&lt;ID&gt;23&lt;/ID&gt;&lt;UID&gt;{937CED1C-8388-45ED-AB00-EA83AEBD1926}&lt;/UID&gt;&lt;Title&gt;中国农产品成本收益年鉴 (2000–2018)&lt;/Title&gt;&lt;Template&gt;Book&lt;/Template&gt;&lt;Star&gt;0&lt;/Star&gt;&lt;Tag&gt;0&lt;/Tag&gt;&lt;Author&gt;国家发改委&lt;/Author&gt;&lt;Year&gt;2019&lt;/Year&gt;&lt;Details&gt;&lt;_accessed&gt;64504281&lt;/_accessed&gt;&lt;_created&gt;64491145&lt;/_created&gt;&lt;_date&gt;62592480&lt;/_date&gt;&lt;_modified&gt;64491151&lt;/_modified&gt;&lt;_publisher&gt;国家统计出版社&lt;/_publisher&gt;&lt;_translated_author&gt;NDRC&lt;/_translated_author&gt;&lt;_translated_publisher&gt;China Statistics Press&lt;/_translated_publisher&gt;&lt;_translated_title&gt; China Agricultural Products Cost-Benefit Yearbook (2000–2018)&lt;/_translated_title&gt;&lt;/Details&gt;&lt;Extra&gt;&lt;DBUID&gt;{69B3C8F9-6712-4024-A614-4D710AE54430}&lt;/DBUID&gt;&lt;/Extra&gt;&lt;/Item&gt;&lt;/References&gt;&lt;/Group&gt;&lt;/Citation&gt;_x000a_"/>
    <w:docVar w:name="NE.Ref{AB9E0A04-2D30-482D-86EB-32D3E18FBDA7}" w:val=" ADDIN NE.Ref.{AB9E0A04-2D30-482D-86EB-32D3E18FBDA7}&lt;Citation&gt;&lt;Group&gt;&lt;References&gt;&lt;Item&gt;&lt;ID&gt;41&lt;/ID&gt;&lt;UID&gt;{880554AA-A174-4467-AC06-9943EECBB95C}&lt;/UID&gt;&lt;Title&gt;Managing nitrogen to restore water quality in China&lt;/Title&gt;&lt;Template&gt;Journal Article&lt;/Template&gt;&lt;Star&gt;0&lt;/Star&gt;&lt;Tag&gt;0&lt;/Tag&gt;&lt;Author&gt;Yu, ChaoQing; Huang, Xiao; Chen, Han; Godfray, H Charles J; Wright, Jonathon S; Hall, Jim W; Gong, Peng; Ni, ShaoQiang; Qiao, ShengChao; Huang, GuoRui; Xiao, YuChen; Zhang, Jie; Feng, Zhao; Ju, XiaoTang; Ciais, Philippe; Stenseth, Nils Chr.; Hessen, Dag O; Sun, ZhanLi; Yu, Le; Cai, WenJia; Fu, HaoHuan; Huang, XiaoMeng; Zhang, Chi; Liu, HongBin; Taylor, James&lt;/Author&gt;&lt;Year&gt;2019&lt;/Year&gt;&lt;Details&gt;&lt;_accessed&gt;64523050&lt;/_accessed&gt;&lt;_collection_scope&gt;SCI;SCIE&lt;/_collection_scope&gt;&lt;_created&gt;64443575&lt;/_created&gt;&lt;_db_updated&gt;CrossRef&lt;/_db_updated&gt;&lt;_doi&gt;10.1038/s41586-019-1001-1&lt;/_doi&gt;&lt;_impact_factor&gt;  69.504&lt;/_impact_factor&gt;&lt;_isbn&gt;0028-0836&lt;/_isbn&gt;&lt;_issue&gt;7749&lt;/_issue&gt;&lt;_journal&gt;Nature&lt;/_journal&gt;&lt;_modified&gt;64523050&lt;/_modified&gt;&lt;_pages&gt;516-520&lt;/_pages&gt;&lt;_tertiary_title&gt;Nature&lt;/_tertiary_title&gt;&lt;_url&gt;http://www.nature.com/articles/s41586-019-1001-1_x000d__x000a_http://www.nature.com/articles/s41586-019-1001-1.pdf&lt;/_url&gt;&lt;_volume&gt;567&lt;/_volume&gt;&lt;/Details&gt;&lt;Extra&gt;&lt;DBUID&gt;{0BC9C865-1E7C-4F56-9F19-970BB21F54C9}&lt;/DBUID&gt;&lt;/Extra&gt;&lt;/Item&gt;&lt;/References&gt;&lt;/Group&gt;&lt;/Citation&gt;_x000a_"/>
    <w:docVar w:name="NE.Ref{AD56AF4A-0F0B-460C-B729-43601EF1446B}" w:val=" ADDIN NE.Ref.{AD56AF4A-0F0B-460C-B729-43601EF1446B}&lt;Citation&gt;&lt;Group&gt;&lt;References&gt;&lt;Item&gt;&lt;ID&gt;149&lt;/ID&gt;&lt;UID&gt;{AE8C5470-0AC5-4739-A5A0-8CF06356D765}&lt;/UID&gt;&lt;Title&gt;Consolidation of agricultural land can contribute to agricultural sustainability in China&lt;/Title&gt;&lt;Template&gt;Journal Article&lt;/Template&gt;&lt;Star&gt;0&lt;/Star&gt;&lt;Tag&gt;0&lt;/Tag&gt;&lt;Author&gt;Duan, Jiakun; Ren, Chenchen; Wang, Sitong; Zhang, Xiuming; Reis, Stefan; Xu, Jianming; Gu, Baojing&lt;/Author&gt;&lt;Year&gt;2021&lt;/Year&gt;&lt;Details&gt;&lt;_accessed&gt;64452104&lt;/_accessed&gt;&lt;_created&gt;64452104&lt;/_created&gt;&lt;_db_updated&gt;CrossRef&lt;/_db_updated&gt;&lt;_doi&gt;10.1038/s43016-021-00415-5&lt;/_doi&gt;&lt;_impact_factor&gt;  20.430&lt;/_impact_factor&gt;&lt;_isbn&gt;2662-1355&lt;/_isbn&gt;&lt;_issue&gt;12&lt;/_issue&gt;&lt;_journal&gt;Nature Food&lt;/_journal&gt;&lt;_modified&gt;64452104&lt;/_modified&gt;&lt;_pages&gt;1014-1022&lt;/_pages&gt;&lt;_tertiary_title&gt;Nat Food&lt;/_tertiary_title&gt;&lt;_url&gt;https://www.nature.com/articles/s43016-021-00415-5_x000d__x000a_https://www.nature.com/articles/s43016-021-00415-5.pdf&lt;/_url&gt;&lt;_volume&gt;2&lt;/_volume&gt;&lt;/Details&gt;&lt;Extra&gt;&lt;DBUID&gt;{0BC9C865-1E7C-4F56-9F19-970BB21F54C9}&lt;/DBUID&gt;&lt;/Extra&gt;&lt;/Item&gt;&lt;/References&gt;&lt;/Group&gt;&lt;/Citation&gt;_x000a_"/>
    <w:docVar w:name="NE.Ref{B51EEDFC-8043-4E76-A080-D864E774020E}" w:val=" ADDIN NE.Ref.{B51EEDFC-8043-4E76-A080-D864E774020E}&lt;Citation&gt;&lt;Group&gt;&lt;References&gt;&lt;Item&gt;&lt;ID&gt;12&lt;/ID&gt;&lt;UID&gt;{C9C529F4-5782-4CEB-860A-FC885C197E32}&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ccessed&gt;64491220&lt;/_accessed&gt;&lt;_collection_scope&gt;SCI;SCIE&lt;/_collection_scope&gt;&lt;_created&gt;64467185&lt;/_created&gt;&lt;_db_updated&gt;CrossRef&lt;/_db_updated&gt;&lt;_doi&gt;10.1038/s41467-020-18196-z&lt;/_doi&gt;&lt;_impact_factor&gt;  17.694&lt;/_impact_factor&gt;&lt;_isbn&gt;2041-1723&lt;/_isbn&gt;&lt;_issue&gt;1&lt;/_issue&gt;&lt;_journal&gt;Nature Communications&lt;/_journal&gt;&lt;_modified&gt;64491220&lt;/_modified&gt;&lt;_tertiary_title&gt;Nat Commun&lt;/_tertiary_title&gt;&lt;_url&gt;https://www.nature.com/articles/s41467-020-18196-z_x000d__x000a_https://www.nature.com/articles/s41467-020-18196-z.pdf&lt;/_url&gt;&lt;_volume&gt;11&lt;/_volume&gt;&lt;_translated_author&gt;Zhang, Xiuming; Gu, Baojing; van Grinsven, Hans; Lam, Shu Kee; Liang, Xia; Bai, Mei; Chen, Deli&lt;/_translated_author&gt;&lt;_translated_title&gt;Societal benefits of halving agricultural ammonia emissions in China far exceed the abatement costs&lt;/_translated_title&gt;&lt;/Details&gt;&lt;Extra&gt;&lt;DBUID&gt;{69B3C8F9-6712-4024-A614-4D710AE54430}&lt;/DBUID&gt;&lt;/Extra&gt;&lt;/Item&gt;&lt;/References&gt;&lt;/Group&gt;&lt;/Citation&gt;_x000a_"/>
    <w:docVar w:name="NE.Ref{B84809F4-26B6-41EA-A454-256D52FC2DFF}" w:val=" ADDIN NE.Ref.{B84809F4-26B6-41EA-A454-256D52FC2DFF}&lt;Citation&gt;&lt;Group&gt;&lt;References&gt;&lt;Item&gt;&lt;ID&gt;21&lt;/ID&gt;&lt;UID&gt;{29030558-E7BD-4222-BD8D-CD65B26796BA}&lt;/UID&gt;&lt;Title&gt;Consolidation of agricultural land can contribute to agricultural sustainability in China&lt;/Title&gt;&lt;Template&gt;Journal Article&lt;/Template&gt;&lt;Star&gt;0&lt;/Star&gt;&lt;Tag&gt;0&lt;/Tag&gt;&lt;Author&gt;Duan, Jiakun; Ren, Chenchen; Wang, Sitong; Zhang, Xiuming; Reis, Stefan; Xu, Jianming; Gu, Baojing&lt;/Author&gt;&lt;Year&gt;2021&lt;/Year&gt;&lt;Details&gt;&lt;_accessed&gt;64490040&lt;/_accessed&gt;&lt;_alternate_title&gt;Nature Food&lt;/_alternate_title&gt;&lt;_created&gt;64490035&lt;/_created&gt;&lt;_date&gt;2021-01-01&lt;/_date&gt;&lt;_date_display&gt;2021&lt;/_date_display&gt;&lt;_doi&gt;10.1038/s43016-021-00415-5&lt;/_doi&gt;&lt;_impact_factor&gt;  20.430&lt;/_impact_factor&gt;&lt;_isbn&gt;2662-1355&lt;/_isbn&gt;&lt;_issue&gt;12&lt;/_issue&gt;&lt;_journal&gt;Nature Food&lt;/_journal&gt;&lt;_modified&gt;64490035&lt;/_modified&gt;&lt;_number&gt;Duan2021&lt;/_number&gt;&lt;_pages&gt;1014-1022&lt;/_pages&gt;&lt;_url&gt;https://doi.org/10.1038/s43016-021-00415-5&lt;/_url&gt;&lt;_volume&gt;2&lt;/_volume&gt;&lt;/Details&gt;&lt;Extra&gt;&lt;DBUID&gt;{69B3C8F9-6712-4024-A614-4D710AE54430}&lt;/DBUID&gt;&lt;/Extra&gt;&lt;/Item&gt;&lt;/References&gt;&lt;/Group&gt;&lt;/Citation&gt;_x000a_"/>
    <w:docVar w:name="NE.Ref{B948389A-0184-4314-9F77-FCD67D2588C4}" w:val=" ADDIN NE.Ref.{B948389A-0184-4314-9F77-FCD67D2588C4}&lt;Citation&gt;&lt;Group&gt;&lt;References&gt;&lt;Item&gt;&lt;ID&gt;6&lt;/ID&gt;&lt;UID&gt;{C76044F9-3A4C-4404-8F14-D1EB8C2F3C9B}&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ccessed&gt;64567539&lt;/_accessed&gt;&lt;_collection_scope&gt;SCI;SCIE&lt;/_collection_scope&gt;&lt;_created&gt;64443574&lt;/_created&gt;&lt;_db_updated&gt;CrossRef&lt;/_db_updated&gt;&lt;_doi&gt;10.1038/s41467-020-18196-z&lt;/_doi&gt;&lt;_impact_factor&gt;  17.694&lt;/_impact_factor&gt;&lt;_isbn&gt;2041-1723&lt;/_isbn&gt;&lt;_issue&gt;1&lt;/_issue&gt;&lt;_journal&gt;Nature Communications&lt;/_journal&gt;&lt;_modified&gt;64567539&lt;/_modified&gt;&lt;_tertiary_title&gt;Nat Commun&lt;/_tertiary_title&gt;&lt;_url&gt;https://www.nature.com/articles/s41467-020-18196-z_x000d__x000a_https://www.nature.com/articles/s41467-020-18196-z.pdf&lt;/_url&gt;&lt;_volume&gt;11&lt;/_volume&gt;&lt;/Details&gt;&lt;Extra&gt;&lt;DBUID&gt;{0BC9C865-1E7C-4F56-9F19-970BB21F54C9}&lt;/DBUID&gt;&lt;/Extra&gt;&lt;/Item&gt;&lt;/References&gt;&lt;/Group&gt;&lt;/Citation&gt;_x000a_"/>
    <w:docVar w:name="NE.Ref{BA0E9A04-7FB1-45A9-9454-C0A871978344}" w:val=" ADDIN NE.Ref.{BA0E9A04-7FB1-45A9-9454-C0A871978344}&lt;Citation&gt;&lt;Group&gt;&lt;References&gt;&lt;Item&gt;&lt;ID&gt;28&lt;/ID&gt;&lt;UID&gt;{38AC9F4B-DAFD-4258-87F6-6D5ACDC6647D}&lt;/UID&gt;&lt;Title&gt;Costs of Ammonia Abatement and the Climate Co-Benefits&lt;/Title&gt;&lt;Template&gt;Book&lt;/Template&gt;&lt;Star&gt;0&lt;/Star&gt;&lt;Tag&gt;0&lt;/Tag&gt;&lt;Author&gt;Stefan Reis, Clare Howard, Mark A. Sutton&lt;/Author&gt;&lt;Year&gt;2015&lt;/Year&gt;&lt;Details&gt;&lt;_accessed&gt;64504035&lt;/_accessed&gt;&lt;_created&gt;64504023&lt;/_created&gt;&lt;_modified&gt;64504036&lt;/_modified&gt;&lt;_place_published&gt;Dordrecht&lt;/_place_published&gt;&lt;_publisher&gt;Springer Verlag&lt;/_publisher&gt;&lt;_translated_author&gt;Stefan Reis, Clare Howard, Mark A. Sutton&lt;/_translated_author&gt;&lt;_translated_place_published&gt;Dordrecht&lt;/_translated_place_published&gt;&lt;_translated_publisher&gt;Springer Verlag&lt;/_translated_publisher&gt;&lt;_translated_title&gt;Costs of Ammonia Abatement and the Climate Co-Benefits&lt;/_translated_title&gt;&lt;/Details&gt;&lt;Extra&gt;&lt;DBUID&gt;{69B3C8F9-6712-4024-A614-4D710AE54430}&lt;/DBUID&gt;&lt;/Extra&gt;&lt;/Item&gt;&lt;/References&gt;&lt;/Group&gt;&lt;Group&gt;&lt;References&gt;&lt;Item&gt;&lt;ID&gt;27&lt;/ID&gt;&lt;UID&gt;{E79126DF-4F81-4019-91B9-F3D9D96A24E2}&lt;/UID&gt;&lt;Title&gt;Impacts of human alteration of the nitrogen cycle in the US on radiative forcing&lt;/Title&gt;&lt;Template&gt;Journal Article&lt;/Template&gt;&lt;Star&gt;0&lt;/Star&gt;&lt;Tag&gt;0&lt;/Tag&gt;&lt;Author&gt;Pinder, Robert W; Bettez, Neil D; Bonan, Gordon B; Greaver, Tara L; Wieder, William R; Schlesinger, William H; Davidson, Eric A&lt;/Author&gt;&lt;Year&gt;2013&lt;/Year&gt;&lt;Details&gt;&lt;_accessed&gt;64504023&lt;/_accessed&gt;&lt;_collection_scope&gt;SCI;SCIE&lt;/_collection_scope&gt;&lt;_created&gt;64504013&lt;/_created&gt;&lt;_db_updated&gt;CrossRef&lt;/_db_updated&gt;&lt;_doi&gt;10.1007/s10533-012-9787-z&lt;/_doi&gt;&lt;_impact_factor&gt;   4.812&lt;/_impact_factor&gt;&lt;_isbn&gt;0168-2563&lt;/_isbn&gt;&lt;_issue&gt;1-3&lt;/_issue&gt;&lt;_journal&gt;Biogeochemistry&lt;/_journal&gt;&lt;_modified&gt;64504014&lt;/_modified&gt;&lt;_pages&gt;25-40&lt;/_pages&gt;&lt;_tertiary_title&gt;Biogeochemistry&lt;/_tertiary_title&gt;&lt;_translated_author&gt;Pinder, Robert W; Bettez, Neil D; Bonan, Gordon B; Greaver, Tara L; Wieder, William R; Schlesinger, William H; Davidson, Eric A&lt;/_translated_author&gt;&lt;_translated_title&gt;Impacts of human alteration of the nitrogen cycle in the US on radiative forcing&lt;/_translated_title&gt;&lt;_url&gt;http://link.springer.com/10.1007/s10533-012-9787-z_x000d__x000a_http://link.springer.com/content/pdf/10.1007/s10533-012-9787-z&lt;/_url&gt;&lt;_volume&gt;114&lt;/_volume&gt;&lt;/Details&gt;&lt;Extra&gt;&lt;DBUID&gt;{69B3C8F9-6712-4024-A614-4D710AE54430}&lt;/DBUID&gt;&lt;/Extra&gt;&lt;/Item&gt;&lt;/References&gt;&lt;/Group&gt;&lt;Group&gt;&lt;References&gt;&lt;Item&gt;&lt;ID&gt;29&lt;/ID&gt;&lt;UID&gt;{EC271FC6-9F88-4A8F-A851-112046089BD7}&lt;/UID&gt;&lt;Title&gt;Costs and Benefits of Nitrogen for Europe and Implications for Mitigation&lt;/Title&gt;&lt;Template&gt;Journal Article&lt;/Template&gt;&lt;Star&gt;0&lt;/Star&gt;&lt;Tag&gt;0&lt;/Tag&gt;&lt;Author&gt;Van Grinsven, Hans J M; Holland, Mike; Jacobsen, Brian H; Klimont, Zbigniew; Sutton, Mark A; Jaap Willems, W&lt;/Author&gt;&lt;Year&gt;2013&lt;/Year&gt;&lt;Details&gt;&lt;_accessed&gt;64504044&lt;/_accessed&gt;&lt;_collection_scope&gt;SCI;SCIE;EI&lt;/_collection_scope&gt;&lt;_created&gt;64504037&lt;/_created&gt;&lt;_date&gt;59584320&lt;/_date&gt;&lt;_db_updated&gt;CrossRef&lt;/_db_updated&gt;&lt;_doi&gt;10.1021/es303804g&lt;/_doi&gt;&lt;_impact_factor&gt;  11.357&lt;/_impact_factor&gt;&lt;_isbn&gt;0013-936X&lt;/_isbn&gt;&lt;_issue&gt;8&lt;/_issue&gt;&lt;_journal&gt;Environmental Science &amp;amp; Technology&lt;/_journal&gt;&lt;_modified&gt;64504038&lt;/_modified&gt;&lt;_pages&gt;3571-3579&lt;/_pages&gt;&lt;_tertiary_title&gt;Environ. Sci. Technol.&lt;/_tertiary_title&gt;&lt;_translated_author&gt;Van Grinsven, Hans J M; Holland, Mike; Jacobsen, Brian H; Klimont, Zbigniew; Sutton, Mark A; Jaap Willems, W&lt;/_translated_author&gt;&lt;_translated_title&gt;Costs and Benefits of Nitrogen for Europe and Implications for Mitigation&lt;/_translated_title&gt;&lt;_url&gt;https://pubs.acs.org/doi/10.1021/es303804g_x000d__x000a_https://pubs.acs.org/doi/pdf/10.1021/es303804g&lt;/_url&gt;&lt;_volume&gt;47&lt;/_volume&gt;&lt;/Details&gt;&lt;Extra&gt;&lt;DBUID&gt;{69B3C8F9-6712-4024-A614-4D710AE54430}&lt;/DBUID&gt;&lt;/Extra&gt;&lt;/Item&gt;&lt;/References&gt;&lt;/Group&gt;&lt;/Citation&gt;_x000a_"/>
    <w:docVar w:name="NE.Ref{BEC503C9-AF87-47FE-BA36-4BBCA9F655A0}" w:val=" ADDIN NE.Ref.{BEC503C9-AF87-47FE-BA36-4BBCA9F655A0}&lt;Citation&gt;&lt;Group&gt;&lt;References&gt;&lt;Item&gt;&lt;ID&gt;14&lt;/ID&gt;&lt;UID&gt;{D79FE1E4-282B-45FF-8043-646E9D7805C6}&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786545&lt;/_accessed&gt;&lt;_created&gt;64443574&lt;/_created&gt;&lt;_db_updated&gt;CrossRef&lt;/_db_updated&gt;&lt;_doi&gt;10.1038/s43016-022-00462-6&lt;/_doi&gt;&lt;_impact_factor&gt;  20.430&lt;/_impact_factor&gt;&lt;_isbn&gt;2662-1355&lt;/_isbn&gt;&lt;_issue&gt;2&lt;/_issue&gt;&lt;_journal&gt;Nature Food&lt;/_journal&gt;&lt;_modified&gt;64786569&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CD5281A4-3116-4B96-8942-973989CF6317}" w:val=" ADDIN NE.Ref.{CD5281A4-3116-4B96-8942-973989CF6317}&lt;Citation&gt;&lt;Group&gt;&lt;References&gt;&lt;Item&gt;&lt;ID&gt;14&lt;/ID&gt;&lt;UID&gt;{D79FE1E4-282B-45FF-8043-646E9D7805C6}&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786545&lt;/_accessed&gt;&lt;_created&gt;64443574&lt;/_created&gt;&lt;_db_updated&gt;CrossRef&lt;/_db_updated&gt;&lt;_doi&gt;10.1038/s43016-022-00462-6&lt;/_doi&gt;&lt;_impact_factor&gt;  20.430&lt;/_impact_factor&gt;&lt;_isbn&gt;2662-1355&lt;/_isbn&gt;&lt;_issue&gt;2&lt;/_issue&gt;&lt;_journal&gt;Nature Food&lt;/_journal&gt;&lt;_modified&gt;64786569&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CE71866E-302F-441C-97F4-7AD7358EBCE0}" w:val=" ADDIN NE.Ref.{CE71866E-302F-441C-97F4-7AD7358EBCE0}&lt;Citation&gt;&lt;Group&gt;&lt;References&gt;&lt;Item&gt;&lt;ID&gt;206&lt;/ID&gt;&lt;UID&gt;{9B769EDF-337E-4578-B2B1-63DC037CBC22}&lt;/UID&gt;&lt;Title&gt;Effect of stream channel size on the delivery of nitrogen to the Gulf of Mexico&lt;/Title&gt;&lt;Template&gt;Journal Article&lt;/Template&gt;&lt;Star&gt;0&lt;/Star&gt;&lt;Tag&gt;0&lt;/Tag&gt;&lt;Author&gt;Alexander, Richard B; Smith, Richard A; Schwarz, Gregory E&lt;/Author&gt;&lt;Year&gt;2000&lt;/Year&gt;&lt;Details&gt;&lt;_alternate_title&gt;Nature&lt;/_alternate_title&gt;&lt;_collection_scope&gt;SCI;SCIE&lt;/_collection_scope&gt;&lt;_created&gt;64535748&lt;/_created&gt;&lt;_date&gt;2000-01-01&lt;/_date&gt;&lt;_date_display&gt;2000&lt;/_date_display&gt;&lt;_doi&gt;10.1038/35001562&lt;/_doi&gt;&lt;_impact_factor&gt;  69.504&lt;/_impact_factor&gt;&lt;_isbn&gt;1476-4687&lt;/_isbn&gt;&lt;_issue&gt;6771&lt;/_issue&gt;&lt;_journal&gt;Nature&lt;/_journal&gt;&lt;_modified&gt;64535748&lt;/_modified&gt;&lt;_number&gt;Alexander2000&lt;/_number&gt;&lt;_pages&gt;758-761&lt;/_pages&gt;&lt;_url&gt;https://doi.org/10.1038/35001562&lt;/_url&gt;&lt;_volume&gt;403&lt;/_volume&gt;&lt;/Details&gt;&lt;Extra&gt;&lt;DBUID&gt;{0BC9C865-1E7C-4F56-9F19-970BB21F54C9}&lt;/DBUID&gt;&lt;/Extra&gt;&lt;/Item&gt;&lt;/References&gt;&lt;/Group&gt;&lt;/Citation&gt;_x000a_"/>
    <w:docVar w:name="NE.Ref{D36F0D40-1409-41F3-A1FD-80BAC18C6066}" w:val=" ADDIN NE.Ref.{D36F0D40-1409-41F3-A1FD-80BAC18C6066}&lt;Citation&gt;&lt;Group&gt;&lt;References&gt;&lt;Item&gt;&lt;ID&gt;8&lt;/ID&gt;&lt;UID&gt;{104A77B3-18FB-4D35-9B77-FD83ED0B9DF0}&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504045&lt;/_accessed&gt;&lt;_created&gt;64467119&lt;/_created&gt;&lt;_db_updated&gt;CrossRef&lt;/_db_updated&gt;&lt;_doi&gt;10.1038/s43016-022-00462-6&lt;/_doi&gt;&lt;_impact_factor&gt;  20.430&lt;/_impact_factor&gt;&lt;_isbn&gt;2662-1355&lt;/_isbn&gt;&lt;_issue&gt;2&lt;/_issue&gt;&lt;_journal&gt;Nature Food&lt;/_journal&gt;&lt;_modified&gt;64504046&lt;/_modified&gt;&lt;_pages&gt;161-168&lt;/_pages&gt;&lt;_tertiary_title&gt;Nat Food&lt;/_tertiary_title&gt;&lt;_translated_author&gt;Zhu, Zhiping; Zhang, Xiuming; Dong, Hongmin; Wang, Sitong; Reis, Stefan; Li, Yue; Gu, Baojing&lt;/_translated_author&gt;&lt;_translated_title&gt;Integrated livestock sector nitrogen pollution abatement measures could generate net benefits for human and ecosystem health in China&lt;/_translated_title&gt;&lt;_url&gt;https://www.nature.com/articles/s43016-022-00462-6_x000d__x000a_https://www.nature.com/articles/s43016-022-00462-6.pdf&lt;/_url&gt;&lt;_volume&gt;3&lt;/_volume&gt;&lt;/Details&gt;&lt;Extra&gt;&lt;DBUID&gt;{69B3C8F9-6712-4024-A614-4D710AE54430}&lt;/DBUID&gt;&lt;/Extra&gt;&lt;/Item&gt;&lt;/References&gt;&lt;/Group&gt;&lt;/Citation&gt;_x000a_"/>
    <w:docVar w:name="NE.Ref{D39621EB-FD89-44F7-8221-795FD50DB3BD}" w:val=" ADDIN NE.Ref.{D39621EB-FD89-44F7-8221-795FD50DB3BD}&lt;Citation&gt;&lt;Group&gt;&lt;References&gt;&lt;Item&gt;&lt;ID&gt;388&lt;/ID&gt;&lt;UID&gt;{08534BDA-0ED9-40CE-88FE-878492884774}&lt;/UID&gt;&lt;Title&gt;A new framework to model the distributed transfer and retention of nutrients by incorporating topology structure of small water bodies&lt;/Title&gt;&lt;Template&gt;Journal Article&lt;/Template&gt;&lt;Star&gt;0&lt;/Star&gt;&lt;Tag&gt;0&lt;/Tag&gt;&lt;Author&gt;Xia, Yongqiu; Zhao, Di; Yan, Xing; Hu, Wei; Qiu, Jie; Yan, Xiaoyuan&lt;/Author&gt;&lt;Year&gt;2023&lt;/Year&gt;&lt;Details&gt;&lt;_alternate_title&gt;Water Research&lt;/_alternate_title&gt;&lt;_date_display&gt;2023&lt;/_date_display&gt;&lt;_date&gt;2023-01-01&lt;/_date&gt;&lt;_doi&gt;https://doi.org/10.1016/j.watres.2023.119991&lt;/_doi&gt;&lt;_isbn&gt;0043-1354&lt;/_isbn&gt;&lt;_journal&gt;Water Research&lt;/_journal&gt;&lt;_keywords&gt;Small water bodies; Topology structure; Nutrient loading and retention; Model framework; Multi-water continuum system&lt;/_keywords&gt;&lt;_pages&gt;119991&lt;/_pages&gt;&lt;_url&gt;https://www.sciencedirect.com/science/article/pii/S004313542300427X&lt;/_url&gt;&lt;_volume&gt;238&lt;/_volume&gt;&lt;_created&gt;64874408&lt;/_created&gt;&lt;_modified&gt;64874408&lt;/_modified&gt;&lt;_impact_factor&gt;  13.400&lt;/_impact_factor&gt;&lt;_collection_scope&gt;SCI;SCIE;EI&lt;/_collection_scope&gt;&lt;/Details&gt;&lt;Extra&gt;&lt;DBUID&gt;{0BC9C865-1E7C-4F56-9F19-970BB21F54C9}&lt;/DBUID&gt;&lt;/Extra&gt;&lt;/Item&gt;&lt;/References&gt;&lt;/Group&gt;&lt;/Citation&gt;_x000a_"/>
    <w:docVar w:name="NE.Ref{D3AED364-0DA1-40AE-9180-02F2F00689D6}" w:val=" ADDIN NE.Ref.{D3AED364-0DA1-40AE-9180-02F2F00689D6}&lt;Citation&gt;&lt;Group&gt;&lt;References&gt;&lt;Item&gt;&lt;ID&gt;209&lt;/ID&gt;&lt;UID&gt;{AB7AF484-0DE7-405A-BDDC-E59B281B73C5}&lt;/UID&gt;&lt;Title&gt;Technical Guide for Measuring the Land Carrying Capacity of Livestock and Poultry Manure&lt;/Title&gt;&lt;Template&gt;Web Page&lt;/Template&gt;&lt;Star&gt;0&lt;/Star&gt;&lt;Tag&gt;0&lt;/Tag&gt;&lt;Author&gt;MARA&lt;/Author&gt;&lt;Year&gt;2018&lt;/Year&gt;&lt;Details&gt;&lt;_accessed&gt;64610461&lt;/_accessed&gt;&lt;_created&gt;64554705&lt;/_created&gt;&lt;_date_display&gt;2018&lt;/_date_display&gt;&lt;_modified&gt;64610461&lt;/_modified&gt;&lt;_pages&gt;5&lt;/_pages&gt;&lt;_publisher&gt;Ministry of Agriculture and Rural Affairs, PRC_x000d__x000a_&lt;/_publisher&gt;&lt;_url&gt;http://www.xmsyj.moa.gov.cn/zcjd/201904/t20190429_6287183.htm&lt;/_url&gt;&lt;/Details&gt;&lt;Extra&gt;&lt;DBUID&gt;{0BC9C865-1E7C-4F56-9F19-970BB21F54C9}&lt;/DBUID&gt;&lt;/Extra&gt;&lt;/Item&gt;&lt;/References&gt;&lt;/Group&gt;&lt;/Citation&gt;_x000a_"/>
    <w:docVar w:name="NE.Ref{D64E0044-96F8-4292-8338-4FEBD9950097}" w:val=" ADDIN NE.Ref.{D64E0044-96F8-4292-8338-4FEBD9950097}&lt;Citation&gt;&lt;Group&gt;&lt;References&gt;&lt;Item&gt;&lt;ID&gt;24&lt;/ID&gt;&lt;UID&gt;{AA1D90C9-54E3-42D3-8289-EA41C01C58DE}&lt;/UID&gt;&lt;Title&gt;Integrated Ammonia Abatement – Modelling of Emission Control Potentials and Costs in GAINS&lt;/Title&gt;&lt;Template&gt;Web Page&lt;/Template&gt;&lt;Star&gt;0&lt;/Star&gt;&lt;Tag&gt;0&lt;/Tag&gt;&lt;Author&gt;Klimont, Z; Winiwarter, W&lt;/Author&gt;&lt;Year&gt;2011&lt;/Year&gt;&lt;Details&gt;&lt;_accessed&gt;64491217&lt;/_accessed&gt;&lt;_created&gt;64491214&lt;/_created&gt;&lt;_modified&gt;64491216&lt;/_modified&gt;&lt;_url&gt;http://pure.iiasa.ac.at/id/eprint/9809/&lt;/_url&gt;&lt;/Details&gt;&lt;Extra&gt;&lt;DBUID&gt;{69B3C8F9-6712-4024-A614-4D710AE54430}&lt;/DBUID&gt;&lt;/Extra&gt;&lt;/Item&gt;&lt;/References&gt;&lt;/Group&gt;&lt;/Citation&gt;_x000a_"/>
    <w:docVar w:name="NE.Ref{D6D181DA-26BB-47B1-B1F8-8E31C0225FDF}" w:val=" ADDIN NE.Ref.{D6D181DA-26BB-47B1-B1F8-8E31C0225FDF}&lt;Citation&gt;&lt;Group&gt;&lt;References&gt;&lt;Item&gt;&lt;ID&gt;15&lt;/ID&gt;&lt;UID&gt;{03F2797F-8FFA-4C9E-8FB3-54264C314E0A}&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457975&lt;/_accessed&gt;&lt;_created&gt;64443574&lt;/_created&gt;&lt;_db_updated&gt;CrossRef&lt;/_db_updated&gt;&lt;_doi&gt;10.1038/s43016-022-00462-6&lt;/_doi&gt;&lt;_impact_factor&gt;  20.430&lt;/_impact_factor&gt;&lt;_isbn&gt;2662-1355&lt;/_isbn&gt;&lt;_issue&gt;2&lt;/_issue&gt;&lt;_journal&gt;Nature Food&lt;/_journal&gt;&lt;_modified&gt;6445797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D8CA3862-F96A-4805-99E5-0F993D465138}" w:val=" ADDIN NE.Ref.{D8CA3862-F96A-4805-99E5-0F993D465138}&lt;Citation&gt;&lt;Group&gt;&lt;References&gt;&lt;Item&gt;&lt;ID&gt;204&lt;/ID&gt;&lt;UID&gt;{7AC38189-EF6C-4615-A0E3-6747CBCCE8C6}&lt;/UID&gt;&lt;Title&gt;Biogeochemical hotspots: Role of small water bodies in landscape nutrient processing&lt;/Title&gt;&lt;Template&gt;Journal Article&lt;/Template&gt;&lt;Star&gt;0&lt;/Star&gt;&lt;Tag&gt;0&lt;/Tag&gt;&lt;Author&gt;Cheng, Frederick Y; Basu, Nandita B&lt;/Author&gt;&lt;Year&gt;2017&lt;/Year&gt;&lt;Details&gt;&lt;_accessed&gt;64535741&lt;/_accessed&gt;&lt;_collection_scope&gt;SCI;SCIE;EI&lt;/_collection_scope&gt;&lt;_created&gt;64535740&lt;/_created&gt;&lt;_db_updated&gt;CrossRef&lt;/_db_updated&gt;&lt;_doi&gt;10.1002/2016WR020102&lt;/_doi&gt;&lt;_impact_factor&gt;   6.159&lt;/_impact_factor&gt;&lt;_isbn&gt;0043-1397&lt;/_isbn&gt;&lt;_issue&gt;6&lt;/_issue&gt;&lt;_journal&gt;Water Resources Research&lt;/_journal&gt;&lt;_modified&gt;64535741&lt;/_modified&gt;&lt;_pages&gt;5038-5056&lt;/_pages&gt;&lt;_tertiary_title&gt;Water Resour. Res.&lt;/_tertiary_title&gt;&lt;_url&gt;https://onlinelibrary.wiley.com/doi/10.1002/2016WR020102_x000d__x000a_https://onlinelibrary.wiley.com/doi/pdf/10.1002/2016WR020102&lt;/_url&gt;&lt;_volume&gt;53&lt;/_volume&gt;&lt;/Details&gt;&lt;Extra&gt;&lt;DBUID&gt;{0BC9C865-1E7C-4F56-9F19-970BB21F54C9}&lt;/DBUID&gt;&lt;/Extra&gt;&lt;/Item&gt;&lt;/References&gt;&lt;/Group&gt;&lt;/Citation&gt;_x000a_"/>
    <w:docVar w:name="NE.Ref{DC92763D-BB91-4A93-8E09-8C9BC358F9D8}" w:val=" ADDIN NE.Ref.{DC92763D-BB91-4A93-8E09-8C9BC358F9D8}&lt;Citation&gt;&lt;Group&gt;&lt;References&gt;&lt;Item&gt;&lt;ID&gt;358&lt;/ID&gt;&lt;UID&gt;{716F46B9-EAB6-48A1-A9D6-F700343248A8}&lt;/UID&gt;&lt;Title&gt;The MARINA model (Model to Assess River Inputs of Nutrients to seAs): Model description and results for China&lt;/Title&gt;&lt;Template&gt;Journal Article&lt;/Template&gt;&lt;Star&gt;0&lt;/Star&gt;&lt;Tag&gt;0&lt;/Tag&gt;&lt;Author&gt;Strokal, Maryna; Kroeze, Carolien; Wang, Mengru; Bai, Zhaohai; Ma, Lin&lt;/Author&gt;&lt;Year&gt;2016&lt;/Year&gt;&lt;Details&gt;&lt;_accessed&gt;64778963&lt;/_accessed&gt;&lt;_collection_scope&gt;SCI;SCIE;EI&lt;/_collection_scope&gt;&lt;_created&gt;64778963&lt;/_created&gt;&lt;_db_updated&gt;CrossRef&lt;/_db_updated&gt;&lt;_doi&gt;10.1016/j.scitotenv.2016.04.071&lt;/_doi&gt;&lt;_impact_factor&gt;  10.753&lt;/_impact_factor&gt;&lt;_isbn&gt;00489697&lt;/_isbn&gt;&lt;_journal&gt;Science of The Total Environment&lt;/_journal&gt;&lt;_modified&gt;64778963&lt;/_modified&gt;&lt;_pages&gt;869-888&lt;/_pages&gt;&lt;_tertiary_title&gt;Science of The Total Environment&lt;/_tertiary_title&gt;&lt;_url&gt;https://linkinghub.elsevier.com/retrieve/pii/S0048969716307549_x000d__x000a_https://api.elsevier.com/content/article/PII:S0048969716307549?httpAccept=text/xml&lt;/_url&gt;&lt;_volume&gt;562&lt;/_volume&gt;&lt;/Details&gt;&lt;Extra&gt;&lt;DBUID&gt;{0BC9C865-1E7C-4F56-9F19-970BB21F54C9}&lt;/DBUID&gt;&lt;/Extra&gt;&lt;/Item&gt;&lt;/References&gt;&lt;/Group&gt;&lt;/Citation&gt;_x000a_"/>
    <w:docVar w:name="NE.Ref{DF0AF568-B716-468F-A543-BFCE94512131}" w:val=" ADDIN NE.Ref.{DF0AF568-B716-468F-A543-BFCE94512131}&lt;Citation&gt;&lt;Group&gt;&lt;References&gt;&lt;Item&gt;&lt;ID&gt;8&lt;/ID&gt;&lt;UID&gt;{104A77B3-18FB-4D35-9B77-FD83ED0B9DF0}&lt;/UID&gt;&lt;Title&gt;Integrated livestock sector nitrogen pollution abatement measures could generate net benefits for human and ecosystem health in China&lt;/Title&gt;&lt;Template&gt;Journal Article&lt;/Template&gt;&lt;Star&gt;0&lt;/Star&gt;&lt;Tag&gt;0&lt;/Tag&gt;&lt;Author&gt;Zhu, Zhiping; Zhang, Xiuming; Dong, Hongmin; Wang, Sitong; Reis, Stefan; Li, Yue; Gu, Baojing&lt;/Author&gt;&lt;Year&gt;2022&lt;/Year&gt;&lt;Details&gt;&lt;_accessed&gt;64504045&lt;/_accessed&gt;&lt;_created&gt;64467119&lt;/_created&gt;&lt;_db_updated&gt;CrossRef&lt;/_db_updated&gt;&lt;_doi&gt;10.1038/s43016-022-00462-6&lt;/_doi&gt;&lt;_impact_factor&gt;  20.430&lt;/_impact_factor&gt;&lt;_isbn&gt;2662-1355&lt;/_isbn&gt;&lt;_issue&gt;2&lt;/_issue&gt;&lt;_journal&gt;Nature Food&lt;/_journal&gt;&lt;_modified&gt;64504046&lt;/_modified&gt;&lt;_pages&gt;161-168&lt;/_pages&gt;&lt;_tertiary_title&gt;Nat Food&lt;/_tertiary_title&gt;&lt;_translated_author&gt;Zhu, Zhiping; Zhang, Xiuming; Dong, Hongmin; Wang, Sitong; Reis, Stefan; Li, Yue; Gu, Baojing&lt;/_translated_author&gt;&lt;_translated_title&gt;Integrated livestock sector nitrogen pollution abatement measures could generate net benefits for human and ecosystem health in China&lt;/_translated_title&gt;&lt;_url&gt;https://www.nature.com/articles/s43016-022-00462-6_x000d__x000a_https://www.nature.com/articles/s43016-022-00462-6.pdf&lt;/_url&gt;&lt;_volume&gt;3&lt;/_volume&gt;&lt;/Details&gt;&lt;Extra&gt;&lt;DBUID&gt;{69B3C8F9-6712-4024-A614-4D710AE54430}&lt;/DBUID&gt;&lt;/Extra&gt;&lt;/Item&gt;&lt;/References&gt;&lt;/Group&gt;&lt;/Citation&gt;_x000a_"/>
    <w:docVar w:name="NE.Ref{E3A36908-B81A-4340-8F4E-F9146108091E}" w:val=" ADDIN NE.Ref.{E3A36908-B81A-4340-8F4E-F9146108091E}&lt;Citation&gt;&lt;Group&gt;&lt;References&gt;&lt;Item&gt;&lt;ID&gt;383&lt;/ID&gt;&lt;UID&gt;{097368EF-36C0-48DC-9DF3-979F0CA1E972}&lt;/UID&gt;&lt;Title&gt;Spatially Explicit Inventory of Sources of Nitrogen Inputs to the Yellow Sea, East China Sea, and South China Sea for the Period 1970–2010&lt;/Title&gt;&lt;Template&gt;Journal Article&lt;/Template&gt;&lt;Star&gt;0&lt;/Star&gt;&lt;Tag&gt;0&lt;/Tag&gt;&lt;Author&gt;Wang, Junjie; Beusen, Arthur H W; Liu, Xiaochen; Van Dingenen, Rita; Dentener, Frank; Yao, Qingzhen; Xu, Bochao; Ran, Xiangbin; Yu, Zhigang; Bouwman, Alexander F&lt;/Author&gt;&lt;Year&gt;2020&lt;/Year&gt;&lt;Details&gt;&lt;_doi&gt;10.1029/2020EF001516&lt;/_doi&gt;&lt;_created&gt;64874406&lt;/_created&gt;&lt;_modified&gt;64874407&lt;/_modified&gt;&lt;_url&gt;https://onlinelibrary.wiley.com/doi/10.1029/2020EF001516_x000d__x000a_https://onlinelibrary.wiley.com/doi/pdf/10.1029/2020EF001516&lt;/_url&gt;&lt;_journal&gt;Earth&amp;apos;s Future&lt;/_journal&gt;&lt;_volume&gt;8&lt;/_volume&gt;&lt;_issue&gt;10&lt;/_issue&gt;&lt;_tertiary_title&gt;Earth&amp;apos;s Future&lt;/_tertiary_title&gt;&lt;_isbn&gt;2328-4277&lt;/_isbn&gt;&lt;_accessed&gt;64874407&lt;/_accessed&gt;&lt;_db_updated&gt;CrossRef&lt;/_db_updated&gt;&lt;_impact_factor&gt;   8.852&lt;/_impact_factor&gt;&lt;/Details&gt;&lt;Extra&gt;&lt;DBUID&gt;{0BC9C865-1E7C-4F56-9F19-970BB21F54C9}&lt;/DBUID&gt;&lt;/Extra&gt;&lt;/Item&gt;&lt;/References&gt;&lt;/Group&gt;&lt;/Citation&gt;_x000a_"/>
    <w:docVar w:name="NE.Ref{E3F75543-ABB5-4844-A916-D1421B1BB1A2}" w:val=" ADDIN NE.Ref.{E3F75543-ABB5-4844-A916-D1421B1BB1A2}&lt;Citation&gt;&lt;Group&gt;&lt;References&gt;&lt;Item&gt;&lt;ID&gt;15&lt;/ID&gt;&lt;UID&gt;{03F2797F-8FFA-4C9E-8FB3-54264C314E0A}&lt;/UID&gt;&lt;Title&gt;Integrated livestock&amp;lt;SI&amp;gt;&lt;/Title&gt;&lt;Template&gt;Journal Article&lt;/Template&gt;&lt;Star&gt;0&lt;/Star&gt;&lt;Tag&gt;0&lt;/Tag&gt;&lt;Author&gt;Zhu, Zhiping; Zhang, Xiuming; Dong, Hongmin; Wang, Sitong; Reis, Stefan; Li, Yue; Gu, Baojing&lt;/Author&gt;&lt;Year&gt;2022&lt;/Year&gt;&lt;Details&gt;&lt;_accessed&gt;64761645&lt;/_accessed&gt;&lt;_created&gt;64443574&lt;/_created&gt;&lt;_db_updated&gt;CrossRef&lt;/_db_updated&gt;&lt;_doi&gt;10.1038/s43016-022-00462-6&lt;/_doi&gt;&lt;_impact_factor&gt;  20.430&lt;/_impact_factor&gt;&lt;_isbn&gt;2662-1355&lt;/_isbn&gt;&lt;_issue&gt;2&lt;/_issue&gt;&lt;_journal&gt;Nature Food&lt;/_journal&gt;&lt;_modified&gt;64761645&lt;/_modified&gt;&lt;_pages&gt;161-168&lt;/_pages&gt;&lt;_tertiary_title&gt;Nat Food&lt;/_tertiary_title&gt;&lt;_url&gt;https://www.nature.com/articles/s43016-022-00462-6_x000d__x000a_https://www.nature.com/articles/s43016-022-00462-6.pdf&lt;/_url&gt;&lt;_volume&gt;3&lt;/_volume&gt;&lt;/Details&gt;&lt;Extra&gt;&lt;DBUID&gt;{0BC9C865-1E7C-4F56-9F19-970BB21F54C9}&lt;/DBUID&gt;&lt;/Extra&gt;&lt;/Item&gt;&lt;/References&gt;&lt;/Group&gt;&lt;/Citation&gt;_x000a_"/>
    <w:docVar w:name="NE.Ref{EC2C8A5A-164D-4807-82AA-7D858B362647}" w:val=" ADDIN NE.Ref.{EC2C8A5A-164D-4807-82AA-7D858B362647}&lt;Citation&gt;&lt;Group&gt;&lt;References&gt;&lt;Item&gt;&lt;ID&gt;70&lt;/ID&gt;&lt;UID&gt;{AAAAAE7D-987D-4B06-8B9D-A37FDB36D726}&lt;/UID&gt;&lt;Title&gt;Ammonia Emissions from Croplands Decrease with Farm Size in China&lt;/Title&gt;&lt;Template&gt;Journal Article&lt;/Template&gt;&lt;Star&gt;0&lt;/Star&gt;&lt;Tag&gt;0&lt;/Tag&gt;&lt;Author&gt;Wang, Chen; Duan, Jiakun; Ren, Chenchen; Liu, Hongbin; Reis, Stefan; Xu, Jianming; Gu, Baojing&lt;/Author&gt;&lt;Year&gt;2022&lt;/Year&gt;&lt;Details&gt;&lt;_accessed&gt;64445135&lt;/_accessed&gt;&lt;_collection_scope&gt;SCI;SCIE;EI&lt;/_collection_scope&gt;&lt;_created&gt;64443575&lt;/_created&gt;&lt;_date&gt;64376640&lt;/_date&gt;&lt;_db_updated&gt;CrossRef&lt;/_db_updated&gt;&lt;_doi&gt;10.1021/acs.est.2c01061&lt;/_doi&gt;&lt;_impact_factor&gt;  11.357&lt;/_impact_factor&gt;&lt;_isbn&gt;0013-936X&lt;/_isbn&gt;&lt;_journal&gt;Environmental Science &amp;amp; Technology&lt;/_journal&gt;&lt;_modified&gt;64445135&lt;/_modified&gt;&lt;_tertiary_title&gt;Environ. Sci. Technol.&lt;/_tertiary_title&gt;&lt;_url&gt;https://pubs.acs.org/doi/10.1021/acs.est.2c01061_x000d__x000a_https://pubs.acs.org/doi/pdf/10.1021/acs.est.2c01061&lt;/_url&gt;&lt;/Details&gt;&lt;Extra&gt;&lt;DBUID&gt;{0BC9C865-1E7C-4F56-9F19-970BB21F54C9}&lt;/DBUID&gt;&lt;/Extra&gt;&lt;/Item&gt;&lt;/References&gt;&lt;/Group&gt;&lt;/Citation&gt;_x000a_"/>
    <w:docVar w:name="NE.Ref{F0394B2D-5279-4655-BF18-DF295A600644}" w:val=" ADDIN NE.Ref.{F0394B2D-5279-4655-BF18-DF295A600644}&lt;Citation&gt;&lt;Group&gt;&lt;References&gt;&lt;Item&gt;&lt;ID&gt;25&lt;/ID&gt;&lt;UID&gt;{6C324FBD-89E7-4A06-918A-7C8DA0F067DD}&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lternate_title&gt;Nature Communications&lt;/_alternate_title&gt;&lt;_date_display&gt;2020&lt;/_date_display&gt;&lt;_date&gt;2020-01-01&lt;/_date&gt;&lt;_doi&gt;10.1038/s41467-020-18196-z&lt;/_doi&gt;&lt;_isbn&gt;2041-1723&lt;/_isbn&gt;&lt;_issue&gt;1&lt;/_issue&gt;&lt;_journal&gt;Nature Communications&lt;/_journal&gt;&lt;_number&gt;Zhang2020&lt;/_number&gt;&lt;_pages&gt;4357&lt;/_pages&gt;&lt;_url&gt;https://doi.org/10.1038/s41467-020-18196-z&lt;/_url&gt;&lt;_volume&gt;11&lt;/_volume&gt;&lt;_created&gt;64491223&lt;/_created&gt;&lt;_modified&gt;64491224&lt;/_modified&gt;&lt;_impact_factor&gt;  17.694&lt;/_impact_factor&gt;&lt;_collection_scope&gt;SCI;SCIE&lt;/_collection_scope&gt;&lt;_accessed&gt;64491224&lt;/_accessed&gt;&lt;_translated_author&gt;Zhang, Xiuming; Gu, Baojing; van Grinsven, Hans; Lam, Shu Kee; Liang, Xia; Bai, Mei; Chen, Deli&lt;/_translated_author&gt;&lt;_translated_title&gt;Societal benefits of halving agricultural ammonia emissions in China far exceed the abatement costs&lt;/_translated_title&gt;&lt;/Details&gt;&lt;Extra&gt;&lt;DBUID&gt;{69B3C8F9-6712-4024-A614-4D710AE54430}&lt;/DBUID&gt;&lt;/Extra&gt;&lt;/Item&gt;&lt;/References&gt;&lt;/Group&gt;&lt;/Citation&gt;_x000a_"/>
    <w:docVar w:name="NE.Ref{F742E52A-6760-4C11-AC04-18F30E965441}" w:val=" ADDIN NE.Ref.{F742E52A-6760-4C11-AC04-18F30E965441}&lt;Citation&gt;&lt;Group&gt;&lt;References&gt;&lt;Item&gt;&lt;ID&gt;215&lt;/ID&gt;&lt;UID&gt;{B8A53C0E-1032-4C3C-9B37-A868EC6506EE}&lt;/UID&gt;&lt;Title&gt;An empirical model to estimate ammonia emission from cropland fertilization in China&lt;/Title&gt;&lt;Template&gt;Journal Article&lt;/Template&gt;&lt;Star&gt;0&lt;/Star&gt;&lt;Tag&gt;0&lt;/Tag&gt;&lt;Author&gt;Wang, Chen; Cheng, Kun; Ren, Chenchen; Liu, Hongbin; Sun, Jianfei; Reis, Stefan; Yin, Shasha; Xu, Jianming; Gu, Baojing&lt;/Author&gt;&lt;Year&gt;2021&lt;/Year&gt;&lt;Details&gt;&lt;_alternate_title&gt;Environmental Pollution&lt;/_alternate_title&gt;&lt;_collection_scope&gt;SCI;SCIE;EI&lt;/_collection_scope&gt;&lt;_created&gt;64566555&lt;/_created&gt;&lt;_date&gt;2021-01-01&lt;/_date&gt;&lt;_date_display&gt;2021&lt;/_date_display&gt;&lt;_doi&gt;https://doi.org/10.1016/j.envpol.2021.117982&lt;/_doi&gt;&lt;_impact_factor&gt;   9.988&lt;/_impact_factor&gt;&lt;_isbn&gt;0269-7491&lt;/_isbn&gt;&lt;_journal&gt;Environmental Pollution&lt;/_journal&gt;&lt;_keywords&gt;Ammonia; Regression model; Spatio-temporal; Management practices; High resolution&lt;/_keywords&gt;&lt;_modified&gt;64566555&lt;/_modified&gt;&lt;_pages&gt;117982&lt;/_pages&gt;&lt;_url&gt;https://www.sciencedirect.com/science/article/pii/S0269749121015645&lt;/_url&gt;&lt;_volume&gt;288&lt;/_volume&gt;&lt;/Details&gt;&lt;Extra&gt;&lt;DBUID&gt;{0BC9C865-1E7C-4F56-9F19-970BB21F54C9}&lt;/DBUID&gt;&lt;/Extra&gt;&lt;/Item&gt;&lt;/References&gt;&lt;/Group&gt;&lt;Group&gt;&lt;References&gt;&lt;Item&gt;&lt;ID&gt;70&lt;/ID&gt;&lt;UID&gt;{AAAAAE7D-987D-4B06-8B9D-A37FDB36D726}&lt;/UID&gt;&lt;Title&gt;Ammonia Emissions from Croplands Decrease with Farm Size in China&lt;/Title&gt;&lt;Template&gt;Journal Article&lt;/Template&gt;&lt;Star&gt;0&lt;/Star&gt;&lt;Tag&gt;0&lt;/Tag&gt;&lt;Author&gt;Wang, Chen; Duan, Jiakun; Ren, Chenchen; Liu, Hongbin; Reis, Stefan; Xu, Jianming; Gu, Baojing&lt;/Author&gt;&lt;Year&gt;2022&lt;/Year&gt;&lt;Details&gt;&lt;_accessed&gt;64576459&lt;/_accessed&gt;&lt;_collection_scope&gt;SCI;SCIE;EI&lt;/_collection_scope&gt;&lt;_created&gt;64443575&lt;/_created&gt;&lt;_date&gt;64376640&lt;/_date&gt;&lt;_db_updated&gt;CrossRef&lt;/_db_updated&gt;&lt;_doi&gt;10.1021/acs.est.2c01061&lt;/_doi&gt;&lt;_impact_factor&gt;  11.357&lt;/_impact_factor&gt;&lt;_isbn&gt;0013-936X&lt;/_isbn&gt;&lt;_journal&gt;Environmental Science &amp;amp; Technology&lt;/_journal&gt;&lt;_modified&gt;64576459&lt;/_modified&gt;&lt;_tertiary_title&gt;Environ. Sci. Technol.&lt;/_tertiary_title&gt;&lt;_url&gt;https://pubs.acs.org/doi/10.1021/acs.est.2c01061_x000d__x000a_https://pubs.acs.org/doi/pdf/10.1021/acs.est.2c01061&lt;/_url&gt;&lt;/Details&gt;&lt;Extra&gt;&lt;DBUID&gt;{0BC9C865-1E7C-4F56-9F19-970BB21F54C9}&lt;/DBUID&gt;&lt;/Extra&gt;&lt;/Item&gt;&lt;/References&gt;&lt;/Group&gt;&lt;/Citation&gt;_x000a_"/>
    <w:docVar w:name="NE.Ref{FA952B44-7E23-4A08-9379-819EABD45BAA}" w:val=" ADDIN NE.Ref.{FA952B44-7E23-4A08-9379-819EABD45BAA}&lt;Citation&gt;&lt;Group&gt;&lt;References&gt;&lt;Item&gt;&lt;ID&gt;25&lt;/ID&gt;&lt;UID&gt;{6C324FBD-89E7-4A06-918A-7C8DA0F067DD}&lt;/UID&gt;&lt;Title&gt;Societal benefits of halving agricultural ammonia emissions in China far exceed the abatement costs&lt;/Title&gt;&lt;Template&gt;Journal Article&lt;/Template&gt;&lt;Star&gt;0&lt;/Star&gt;&lt;Tag&gt;0&lt;/Tag&gt;&lt;Author&gt;Zhang, Xiuming; Gu, Baojing; van Grinsven, Hans; Lam, Shu Kee; Liang, Xia; Bai, Mei; Chen, Deli&lt;/Author&gt;&lt;Year&gt;2020&lt;/Year&gt;&lt;Details&gt;&lt;_accessed&gt;64491225&lt;/_accessed&gt;&lt;_alternate_title&gt;Nature Communications&lt;/_alternate_title&gt;&lt;_collection_scope&gt;SCI;SCIE&lt;/_collection_scope&gt;&lt;_created&gt;64491223&lt;/_created&gt;&lt;_date&gt;2020-01-01&lt;/_date&gt;&lt;_date_display&gt;2020&lt;/_date_display&gt;&lt;_doi&gt;10.1038/s41467-020-18196-z&lt;/_doi&gt;&lt;_impact_factor&gt;  17.694&lt;/_impact_factor&gt;&lt;_isbn&gt;2041-1723&lt;/_isbn&gt;&lt;_issue&gt;1&lt;/_issue&gt;&lt;_journal&gt;Nature Communications&lt;/_journal&gt;&lt;_modified&gt;64491225&lt;/_modified&gt;&lt;_number&gt;Zhang2020&lt;/_number&gt;&lt;_pages&gt;4357&lt;/_pages&gt;&lt;_tertiary_title&gt;Nature Communications&lt;/_tertiary_title&gt;&lt;_translated_author&gt;Zhang, Xiuming; Gu, Baojing; van Grinsven, Hans; Lam, Shu Kee; Liang, Xia; Bai, Mei; Chen, Deli&lt;/_translated_author&gt;&lt;_translated_title&gt;Societal benefits of halving agricultural ammonia emissions in China far exceed the abatement costs&lt;/_translated_title&gt;&lt;_url&gt;https://doi.org/10.1038/s41467-020-18196-z&lt;/_url&gt;&lt;_volume&gt;11&lt;/_volume&gt;&lt;/Details&gt;&lt;Extra&gt;&lt;DBUID&gt;{69B3C8F9-6712-4024-A614-4D710AE54430}&lt;/DBUID&gt;&lt;/Extra&gt;&lt;/Item&gt;&lt;/References&gt;&lt;/Group&gt;&lt;/Citation&gt;_x000a_"/>
    <w:docVar w:name="ne_docsoft" w:val="MSWord"/>
    <w:docVar w:name="ne_docversion" w:val="NoteExpress 2.0"/>
    <w:docVar w:name="ne_stylename" w:val="Nature New1 New"/>
  </w:docVars>
  <w:rsids>
    <w:rsidRoot w:val="00172A27"/>
    <w:rsid w:val="00050C2B"/>
    <w:rsid w:val="0007098E"/>
    <w:rsid w:val="000C2BAE"/>
    <w:rsid w:val="00100DFB"/>
    <w:rsid w:val="00172A27"/>
    <w:rsid w:val="001F644B"/>
    <w:rsid w:val="00243C92"/>
    <w:rsid w:val="00366412"/>
    <w:rsid w:val="003936A8"/>
    <w:rsid w:val="00510743"/>
    <w:rsid w:val="00580DF6"/>
    <w:rsid w:val="006750E0"/>
    <w:rsid w:val="006A795F"/>
    <w:rsid w:val="007B1A05"/>
    <w:rsid w:val="007B359B"/>
    <w:rsid w:val="007E74EE"/>
    <w:rsid w:val="0083408D"/>
    <w:rsid w:val="0086751C"/>
    <w:rsid w:val="00884E93"/>
    <w:rsid w:val="00896234"/>
    <w:rsid w:val="00963090"/>
    <w:rsid w:val="009B7D8B"/>
    <w:rsid w:val="009F48AA"/>
    <w:rsid w:val="00AE7AD6"/>
    <w:rsid w:val="00AF47B5"/>
    <w:rsid w:val="00B04301"/>
    <w:rsid w:val="00B91918"/>
    <w:rsid w:val="00C00665"/>
    <w:rsid w:val="00C67C3A"/>
    <w:rsid w:val="00CF19D4"/>
    <w:rsid w:val="00D15A10"/>
    <w:rsid w:val="00D25A4B"/>
    <w:rsid w:val="00D705C1"/>
    <w:rsid w:val="00D83540"/>
    <w:rsid w:val="00DF2475"/>
    <w:rsid w:val="00E21C12"/>
    <w:rsid w:val="00EC4A5A"/>
    <w:rsid w:val="00ED3BD8"/>
    <w:rsid w:val="00F11CFE"/>
    <w:rsid w:val="00F13BDE"/>
    <w:rsid w:val="00F159D6"/>
    <w:rsid w:val="00F57AC5"/>
    <w:rsid w:val="00F618F3"/>
    <w:rsid w:val="00FF3B98"/>
    <w:rsid w:val="01064C9A"/>
    <w:rsid w:val="012515C4"/>
    <w:rsid w:val="012A605F"/>
    <w:rsid w:val="01390BCC"/>
    <w:rsid w:val="014053F6"/>
    <w:rsid w:val="016467F9"/>
    <w:rsid w:val="01B31EB2"/>
    <w:rsid w:val="020B6A0C"/>
    <w:rsid w:val="02240E24"/>
    <w:rsid w:val="023C1439"/>
    <w:rsid w:val="02627A70"/>
    <w:rsid w:val="02834181"/>
    <w:rsid w:val="02D71F0C"/>
    <w:rsid w:val="02DA63DE"/>
    <w:rsid w:val="02EB6DBF"/>
    <w:rsid w:val="03006736"/>
    <w:rsid w:val="0341219D"/>
    <w:rsid w:val="03433CAA"/>
    <w:rsid w:val="03660A70"/>
    <w:rsid w:val="036A1BDF"/>
    <w:rsid w:val="03883658"/>
    <w:rsid w:val="03910CB9"/>
    <w:rsid w:val="03AE2B3A"/>
    <w:rsid w:val="03E2379C"/>
    <w:rsid w:val="03F60FF6"/>
    <w:rsid w:val="03F80AD8"/>
    <w:rsid w:val="03FD5D52"/>
    <w:rsid w:val="040576F8"/>
    <w:rsid w:val="04072BCD"/>
    <w:rsid w:val="04221DEB"/>
    <w:rsid w:val="048D643D"/>
    <w:rsid w:val="04A004DC"/>
    <w:rsid w:val="04A7067D"/>
    <w:rsid w:val="04AE18D1"/>
    <w:rsid w:val="04C36EC3"/>
    <w:rsid w:val="04F50BA1"/>
    <w:rsid w:val="04F95D2B"/>
    <w:rsid w:val="050F479C"/>
    <w:rsid w:val="05195C41"/>
    <w:rsid w:val="056D48A7"/>
    <w:rsid w:val="05721B8A"/>
    <w:rsid w:val="05C23886"/>
    <w:rsid w:val="06147E59"/>
    <w:rsid w:val="06243527"/>
    <w:rsid w:val="06B4469A"/>
    <w:rsid w:val="07006A98"/>
    <w:rsid w:val="073D135E"/>
    <w:rsid w:val="074D2313"/>
    <w:rsid w:val="077B0190"/>
    <w:rsid w:val="077E1A2E"/>
    <w:rsid w:val="07A008ED"/>
    <w:rsid w:val="07AD40C1"/>
    <w:rsid w:val="07B62F76"/>
    <w:rsid w:val="07DF37A7"/>
    <w:rsid w:val="07F97307"/>
    <w:rsid w:val="08147C9D"/>
    <w:rsid w:val="0847434F"/>
    <w:rsid w:val="08534C69"/>
    <w:rsid w:val="08554855"/>
    <w:rsid w:val="0871517C"/>
    <w:rsid w:val="088D543A"/>
    <w:rsid w:val="089E6B27"/>
    <w:rsid w:val="08D12032"/>
    <w:rsid w:val="08FA3336"/>
    <w:rsid w:val="090E3F3E"/>
    <w:rsid w:val="0910058F"/>
    <w:rsid w:val="0914299D"/>
    <w:rsid w:val="0921512D"/>
    <w:rsid w:val="093B7E06"/>
    <w:rsid w:val="093E2CF5"/>
    <w:rsid w:val="0959180D"/>
    <w:rsid w:val="097E4D5F"/>
    <w:rsid w:val="097F55EA"/>
    <w:rsid w:val="09B87577"/>
    <w:rsid w:val="09BB7B52"/>
    <w:rsid w:val="09C76530"/>
    <w:rsid w:val="09CC2792"/>
    <w:rsid w:val="09F77FBC"/>
    <w:rsid w:val="0A035CDE"/>
    <w:rsid w:val="0A32507A"/>
    <w:rsid w:val="0A3A5A6B"/>
    <w:rsid w:val="0A634F0B"/>
    <w:rsid w:val="0A735943"/>
    <w:rsid w:val="0A854E82"/>
    <w:rsid w:val="0AA270B3"/>
    <w:rsid w:val="0ABE495C"/>
    <w:rsid w:val="0B010B22"/>
    <w:rsid w:val="0B065FC2"/>
    <w:rsid w:val="0B186E5A"/>
    <w:rsid w:val="0B4B6693"/>
    <w:rsid w:val="0B713FE7"/>
    <w:rsid w:val="0B7351A5"/>
    <w:rsid w:val="0B9B3937"/>
    <w:rsid w:val="0BC65AB7"/>
    <w:rsid w:val="0BC813B2"/>
    <w:rsid w:val="0BFC7A81"/>
    <w:rsid w:val="0C0D512F"/>
    <w:rsid w:val="0C49044A"/>
    <w:rsid w:val="0C54453B"/>
    <w:rsid w:val="0C6A2581"/>
    <w:rsid w:val="0C8D626F"/>
    <w:rsid w:val="0CCB645D"/>
    <w:rsid w:val="0CDA7707"/>
    <w:rsid w:val="0CF62067"/>
    <w:rsid w:val="0D077DD0"/>
    <w:rsid w:val="0D5F7F23"/>
    <w:rsid w:val="0D676AC1"/>
    <w:rsid w:val="0D811D29"/>
    <w:rsid w:val="0DBF28D9"/>
    <w:rsid w:val="0DD0740A"/>
    <w:rsid w:val="0DFE7425"/>
    <w:rsid w:val="0E107158"/>
    <w:rsid w:val="0E71409B"/>
    <w:rsid w:val="0E8A2A67"/>
    <w:rsid w:val="0E8F0A30"/>
    <w:rsid w:val="0E9D794C"/>
    <w:rsid w:val="0EA80F30"/>
    <w:rsid w:val="0EFC0AA1"/>
    <w:rsid w:val="0F112C3E"/>
    <w:rsid w:val="0F143EC2"/>
    <w:rsid w:val="0F451083"/>
    <w:rsid w:val="0F492922"/>
    <w:rsid w:val="0F553351"/>
    <w:rsid w:val="0F87169C"/>
    <w:rsid w:val="0FCB77DB"/>
    <w:rsid w:val="0FD56B46"/>
    <w:rsid w:val="0FEB1C2B"/>
    <w:rsid w:val="0FF705D0"/>
    <w:rsid w:val="0FFE79C2"/>
    <w:rsid w:val="10132919"/>
    <w:rsid w:val="10613C9B"/>
    <w:rsid w:val="10A40520"/>
    <w:rsid w:val="10A560A6"/>
    <w:rsid w:val="10E21197"/>
    <w:rsid w:val="10FA25ED"/>
    <w:rsid w:val="11027466"/>
    <w:rsid w:val="111725AC"/>
    <w:rsid w:val="112A33E4"/>
    <w:rsid w:val="1132401F"/>
    <w:rsid w:val="113A0D22"/>
    <w:rsid w:val="11D926E5"/>
    <w:rsid w:val="11E626AA"/>
    <w:rsid w:val="11F47427"/>
    <w:rsid w:val="11FC787B"/>
    <w:rsid w:val="121A2BD6"/>
    <w:rsid w:val="121F2E41"/>
    <w:rsid w:val="122A5F47"/>
    <w:rsid w:val="124D2729"/>
    <w:rsid w:val="127D7762"/>
    <w:rsid w:val="12BD2539"/>
    <w:rsid w:val="12CC5D44"/>
    <w:rsid w:val="12CC72C4"/>
    <w:rsid w:val="12D946D8"/>
    <w:rsid w:val="12E80098"/>
    <w:rsid w:val="12F15B4A"/>
    <w:rsid w:val="13091DEC"/>
    <w:rsid w:val="13335EF8"/>
    <w:rsid w:val="13394A5B"/>
    <w:rsid w:val="133D454B"/>
    <w:rsid w:val="137837D5"/>
    <w:rsid w:val="1385284F"/>
    <w:rsid w:val="139F5206"/>
    <w:rsid w:val="13CB5FFB"/>
    <w:rsid w:val="13D7181C"/>
    <w:rsid w:val="13E7095B"/>
    <w:rsid w:val="14226B92"/>
    <w:rsid w:val="142E0338"/>
    <w:rsid w:val="143646AE"/>
    <w:rsid w:val="14894722"/>
    <w:rsid w:val="14A200FD"/>
    <w:rsid w:val="14BD1B8A"/>
    <w:rsid w:val="152057D1"/>
    <w:rsid w:val="154F67B8"/>
    <w:rsid w:val="159F4B4C"/>
    <w:rsid w:val="15AF3CEE"/>
    <w:rsid w:val="15D849FF"/>
    <w:rsid w:val="15DB2014"/>
    <w:rsid w:val="15FC6940"/>
    <w:rsid w:val="16003CEA"/>
    <w:rsid w:val="160636A8"/>
    <w:rsid w:val="16080E97"/>
    <w:rsid w:val="1609105D"/>
    <w:rsid w:val="16465E0D"/>
    <w:rsid w:val="16556050"/>
    <w:rsid w:val="167015A7"/>
    <w:rsid w:val="167C35DD"/>
    <w:rsid w:val="16854EF6"/>
    <w:rsid w:val="169D08E8"/>
    <w:rsid w:val="16B16314"/>
    <w:rsid w:val="16B70AB9"/>
    <w:rsid w:val="16C858AD"/>
    <w:rsid w:val="16DC051F"/>
    <w:rsid w:val="17253C74"/>
    <w:rsid w:val="172F064F"/>
    <w:rsid w:val="173B7D9E"/>
    <w:rsid w:val="17454196"/>
    <w:rsid w:val="174B1F47"/>
    <w:rsid w:val="175A22E1"/>
    <w:rsid w:val="176D1C8D"/>
    <w:rsid w:val="17797CD6"/>
    <w:rsid w:val="1780070C"/>
    <w:rsid w:val="179700E4"/>
    <w:rsid w:val="17BA7516"/>
    <w:rsid w:val="17DE3E23"/>
    <w:rsid w:val="17E44BFC"/>
    <w:rsid w:val="17E54A02"/>
    <w:rsid w:val="17F61E31"/>
    <w:rsid w:val="183D4FEE"/>
    <w:rsid w:val="18455B6F"/>
    <w:rsid w:val="18754787"/>
    <w:rsid w:val="18760CEC"/>
    <w:rsid w:val="18784655"/>
    <w:rsid w:val="188D7D23"/>
    <w:rsid w:val="189746FE"/>
    <w:rsid w:val="191129A6"/>
    <w:rsid w:val="193F00C3"/>
    <w:rsid w:val="1996480B"/>
    <w:rsid w:val="19BD3BEF"/>
    <w:rsid w:val="19F07FAC"/>
    <w:rsid w:val="1A0C111B"/>
    <w:rsid w:val="1A522E26"/>
    <w:rsid w:val="1A573E2E"/>
    <w:rsid w:val="1A5F56EF"/>
    <w:rsid w:val="1A807414"/>
    <w:rsid w:val="1AEF5419"/>
    <w:rsid w:val="1B26620D"/>
    <w:rsid w:val="1B37398D"/>
    <w:rsid w:val="1B4167E9"/>
    <w:rsid w:val="1B43464B"/>
    <w:rsid w:val="1B5F625E"/>
    <w:rsid w:val="1B6F3674"/>
    <w:rsid w:val="1B9F38C9"/>
    <w:rsid w:val="1BC73948"/>
    <w:rsid w:val="1BEC3B50"/>
    <w:rsid w:val="1BFA6B16"/>
    <w:rsid w:val="1C2B269A"/>
    <w:rsid w:val="1C2D5EB5"/>
    <w:rsid w:val="1C335F80"/>
    <w:rsid w:val="1C46388C"/>
    <w:rsid w:val="1C5155B0"/>
    <w:rsid w:val="1C6A3ED7"/>
    <w:rsid w:val="1CB33715"/>
    <w:rsid w:val="1CF5462B"/>
    <w:rsid w:val="1D2451A1"/>
    <w:rsid w:val="1D57170B"/>
    <w:rsid w:val="1D5A219E"/>
    <w:rsid w:val="1DA671E2"/>
    <w:rsid w:val="1DCD2970"/>
    <w:rsid w:val="1DD336D7"/>
    <w:rsid w:val="1DDB04F6"/>
    <w:rsid w:val="1E05035C"/>
    <w:rsid w:val="1E2A218E"/>
    <w:rsid w:val="1E577C65"/>
    <w:rsid w:val="1E780B2E"/>
    <w:rsid w:val="1EAE781F"/>
    <w:rsid w:val="1EDD4465"/>
    <w:rsid w:val="1EFB52BB"/>
    <w:rsid w:val="1EFE2850"/>
    <w:rsid w:val="1F447713"/>
    <w:rsid w:val="1F5F5E06"/>
    <w:rsid w:val="1F617814"/>
    <w:rsid w:val="1FD04999"/>
    <w:rsid w:val="1FD10CF6"/>
    <w:rsid w:val="200563F1"/>
    <w:rsid w:val="201E74B3"/>
    <w:rsid w:val="20472ECD"/>
    <w:rsid w:val="206F7D0E"/>
    <w:rsid w:val="20837A4F"/>
    <w:rsid w:val="209643AD"/>
    <w:rsid w:val="20E1114F"/>
    <w:rsid w:val="21244D7F"/>
    <w:rsid w:val="21565973"/>
    <w:rsid w:val="21633841"/>
    <w:rsid w:val="217C0935"/>
    <w:rsid w:val="21923DFF"/>
    <w:rsid w:val="21947BAF"/>
    <w:rsid w:val="21DA1F33"/>
    <w:rsid w:val="22113E8E"/>
    <w:rsid w:val="2217240B"/>
    <w:rsid w:val="22215489"/>
    <w:rsid w:val="223B4570"/>
    <w:rsid w:val="22462CF1"/>
    <w:rsid w:val="22812619"/>
    <w:rsid w:val="229C0448"/>
    <w:rsid w:val="22A939AB"/>
    <w:rsid w:val="22BB548D"/>
    <w:rsid w:val="22C745EF"/>
    <w:rsid w:val="22DC6E4D"/>
    <w:rsid w:val="22E04EF3"/>
    <w:rsid w:val="232F19D7"/>
    <w:rsid w:val="234E3BE8"/>
    <w:rsid w:val="237441D6"/>
    <w:rsid w:val="23A20479"/>
    <w:rsid w:val="23DD3EED"/>
    <w:rsid w:val="245D0B0F"/>
    <w:rsid w:val="247516E9"/>
    <w:rsid w:val="2483022C"/>
    <w:rsid w:val="249550BF"/>
    <w:rsid w:val="24CA19B7"/>
    <w:rsid w:val="24CE74A8"/>
    <w:rsid w:val="24E92FBB"/>
    <w:rsid w:val="24ED56A6"/>
    <w:rsid w:val="2541451C"/>
    <w:rsid w:val="254A0D4A"/>
    <w:rsid w:val="254B6F9C"/>
    <w:rsid w:val="254C061E"/>
    <w:rsid w:val="256E2C8A"/>
    <w:rsid w:val="25854B05"/>
    <w:rsid w:val="25B446B5"/>
    <w:rsid w:val="25D24FC7"/>
    <w:rsid w:val="25DF19BF"/>
    <w:rsid w:val="25E66CC5"/>
    <w:rsid w:val="25E75547"/>
    <w:rsid w:val="268842A2"/>
    <w:rsid w:val="26B80661"/>
    <w:rsid w:val="26C24328"/>
    <w:rsid w:val="26C43618"/>
    <w:rsid w:val="26D144D4"/>
    <w:rsid w:val="26DE7C19"/>
    <w:rsid w:val="26E56F7C"/>
    <w:rsid w:val="26F42882"/>
    <w:rsid w:val="271D6EEF"/>
    <w:rsid w:val="273837FA"/>
    <w:rsid w:val="273E55C5"/>
    <w:rsid w:val="27443A43"/>
    <w:rsid w:val="276F4634"/>
    <w:rsid w:val="27740CEE"/>
    <w:rsid w:val="277420AE"/>
    <w:rsid w:val="27AE736E"/>
    <w:rsid w:val="28302EA5"/>
    <w:rsid w:val="287B2491"/>
    <w:rsid w:val="288650C9"/>
    <w:rsid w:val="2888016A"/>
    <w:rsid w:val="289A78F2"/>
    <w:rsid w:val="28C11323"/>
    <w:rsid w:val="29072FD6"/>
    <w:rsid w:val="291833B1"/>
    <w:rsid w:val="292E01A8"/>
    <w:rsid w:val="29361D11"/>
    <w:rsid w:val="2944740B"/>
    <w:rsid w:val="294A4A35"/>
    <w:rsid w:val="294C43BE"/>
    <w:rsid w:val="29576E8D"/>
    <w:rsid w:val="29656152"/>
    <w:rsid w:val="2A46170A"/>
    <w:rsid w:val="2A521C1D"/>
    <w:rsid w:val="2A7522A5"/>
    <w:rsid w:val="2A98756C"/>
    <w:rsid w:val="2AA347A2"/>
    <w:rsid w:val="2AD16DE9"/>
    <w:rsid w:val="2B177920"/>
    <w:rsid w:val="2B3B360F"/>
    <w:rsid w:val="2B412793"/>
    <w:rsid w:val="2B477871"/>
    <w:rsid w:val="2B6C7C6C"/>
    <w:rsid w:val="2B942D1F"/>
    <w:rsid w:val="2BA2368E"/>
    <w:rsid w:val="2BAB5764"/>
    <w:rsid w:val="2BF51A0F"/>
    <w:rsid w:val="2C117FE8"/>
    <w:rsid w:val="2C3C763E"/>
    <w:rsid w:val="2C953A72"/>
    <w:rsid w:val="2C983F1A"/>
    <w:rsid w:val="2C9F2620"/>
    <w:rsid w:val="2CA64AB8"/>
    <w:rsid w:val="2CB82A3D"/>
    <w:rsid w:val="2CCF1CE8"/>
    <w:rsid w:val="2CDD4252"/>
    <w:rsid w:val="2CF83921"/>
    <w:rsid w:val="2CFB15CA"/>
    <w:rsid w:val="2D0E24BA"/>
    <w:rsid w:val="2D12039F"/>
    <w:rsid w:val="2D1839CC"/>
    <w:rsid w:val="2D26293F"/>
    <w:rsid w:val="2D285E15"/>
    <w:rsid w:val="2D4F514F"/>
    <w:rsid w:val="2D4F6EFD"/>
    <w:rsid w:val="2D71156A"/>
    <w:rsid w:val="2D811E4E"/>
    <w:rsid w:val="2DDE0841"/>
    <w:rsid w:val="2DF42906"/>
    <w:rsid w:val="2E041312"/>
    <w:rsid w:val="2E1D6240"/>
    <w:rsid w:val="2E232138"/>
    <w:rsid w:val="2E271C28"/>
    <w:rsid w:val="2E342819"/>
    <w:rsid w:val="2E376770"/>
    <w:rsid w:val="2E4E00D9"/>
    <w:rsid w:val="2E5333D4"/>
    <w:rsid w:val="2E6966E5"/>
    <w:rsid w:val="2E9372BE"/>
    <w:rsid w:val="2ED74AEC"/>
    <w:rsid w:val="2EE3493B"/>
    <w:rsid w:val="2F093C0B"/>
    <w:rsid w:val="2F2F2A06"/>
    <w:rsid w:val="2F336759"/>
    <w:rsid w:val="2F3C5BA7"/>
    <w:rsid w:val="2F890E08"/>
    <w:rsid w:val="2FA07EE4"/>
    <w:rsid w:val="2FAB0884"/>
    <w:rsid w:val="2FF82914"/>
    <w:rsid w:val="301D624E"/>
    <w:rsid w:val="304C1E1A"/>
    <w:rsid w:val="30733C70"/>
    <w:rsid w:val="30793857"/>
    <w:rsid w:val="307F2DAD"/>
    <w:rsid w:val="3081665F"/>
    <w:rsid w:val="308275EA"/>
    <w:rsid w:val="30B913BA"/>
    <w:rsid w:val="30CC59E1"/>
    <w:rsid w:val="30D81900"/>
    <w:rsid w:val="30EF4D2F"/>
    <w:rsid w:val="30FE28BC"/>
    <w:rsid w:val="31286B83"/>
    <w:rsid w:val="312E1B64"/>
    <w:rsid w:val="313905F0"/>
    <w:rsid w:val="31BB1CA7"/>
    <w:rsid w:val="31D236EB"/>
    <w:rsid w:val="320A3D3B"/>
    <w:rsid w:val="320C0D78"/>
    <w:rsid w:val="32115B3B"/>
    <w:rsid w:val="321D7903"/>
    <w:rsid w:val="323E4800"/>
    <w:rsid w:val="324D1EE4"/>
    <w:rsid w:val="324D3F73"/>
    <w:rsid w:val="325925CC"/>
    <w:rsid w:val="325B7C2D"/>
    <w:rsid w:val="327C20CE"/>
    <w:rsid w:val="32944094"/>
    <w:rsid w:val="32E26A66"/>
    <w:rsid w:val="331550E7"/>
    <w:rsid w:val="33281B74"/>
    <w:rsid w:val="335365EB"/>
    <w:rsid w:val="339A12E7"/>
    <w:rsid w:val="33D12D62"/>
    <w:rsid w:val="33D20888"/>
    <w:rsid w:val="341C5D39"/>
    <w:rsid w:val="34401C96"/>
    <w:rsid w:val="344C23E9"/>
    <w:rsid w:val="348E3489"/>
    <w:rsid w:val="349162BB"/>
    <w:rsid w:val="34BB786D"/>
    <w:rsid w:val="34CD2DE5"/>
    <w:rsid w:val="34D64FBC"/>
    <w:rsid w:val="34F25424"/>
    <w:rsid w:val="34F32864"/>
    <w:rsid w:val="352670DE"/>
    <w:rsid w:val="3541401A"/>
    <w:rsid w:val="354D6418"/>
    <w:rsid w:val="355407EC"/>
    <w:rsid w:val="356E638F"/>
    <w:rsid w:val="357065AB"/>
    <w:rsid w:val="35BB19C0"/>
    <w:rsid w:val="35D7340C"/>
    <w:rsid w:val="36127662"/>
    <w:rsid w:val="362E60BC"/>
    <w:rsid w:val="36482188"/>
    <w:rsid w:val="367F2908"/>
    <w:rsid w:val="371625BB"/>
    <w:rsid w:val="37521BDE"/>
    <w:rsid w:val="375C1343"/>
    <w:rsid w:val="375E35EC"/>
    <w:rsid w:val="377E5A5B"/>
    <w:rsid w:val="37AB0A20"/>
    <w:rsid w:val="37AC0952"/>
    <w:rsid w:val="37AF68ED"/>
    <w:rsid w:val="380E54D5"/>
    <w:rsid w:val="382E0E33"/>
    <w:rsid w:val="38526E65"/>
    <w:rsid w:val="38920D43"/>
    <w:rsid w:val="38984519"/>
    <w:rsid w:val="39291B42"/>
    <w:rsid w:val="392F36D0"/>
    <w:rsid w:val="39504729"/>
    <w:rsid w:val="395064D7"/>
    <w:rsid w:val="39545A8F"/>
    <w:rsid w:val="396627FA"/>
    <w:rsid w:val="396E4BAF"/>
    <w:rsid w:val="3976630E"/>
    <w:rsid w:val="398E34A3"/>
    <w:rsid w:val="39CD3989"/>
    <w:rsid w:val="39CE1E5B"/>
    <w:rsid w:val="39F23A32"/>
    <w:rsid w:val="3A0A6AE7"/>
    <w:rsid w:val="3A0E38EE"/>
    <w:rsid w:val="3A2636DC"/>
    <w:rsid w:val="3A3951BD"/>
    <w:rsid w:val="3A4F01C9"/>
    <w:rsid w:val="3A6F2714"/>
    <w:rsid w:val="3AAF5209"/>
    <w:rsid w:val="3AAF722D"/>
    <w:rsid w:val="3ABF73E0"/>
    <w:rsid w:val="3AC07ABE"/>
    <w:rsid w:val="3ACA4067"/>
    <w:rsid w:val="3ACE01F5"/>
    <w:rsid w:val="3AD3335B"/>
    <w:rsid w:val="3AFB06C4"/>
    <w:rsid w:val="3B2A0D9C"/>
    <w:rsid w:val="3B2F65C0"/>
    <w:rsid w:val="3B3B4F65"/>
    <w:rsid w:val="3B512FE0"/>
    <w:rsid w:val="3B5F50F7"/>
    <w:rsid w:val="3B64626A"/>
    <w:rsid w:val="3B79251F"/>
    <w:rsid w:val="3B9C3149"/>
    <w:rsid w:val="3B9D4C98"/>
    <w:rsid w:val="3BAD52AF"/>
    <w:rsid w:val="3BFC2946"/>
    <w:rsid w:val="3C0E404E"/>
    <w:rsid w:val="3C1160C1"/>
    <w:rsid w:val="3C3519B4"/>
    <w:rsid w:val="3C6A5B02"/>
    <w:rsid w:val="3C6D200E"/>
    <w:rsid w:val="3C8E0479"/>
    <w:rsid w:val="3C912E79"/>
    <w:rsid w:val="3C987C04"/>
    <w:rsid w:val="3CBD0327"/>
    <w:rsid w:val="3CC176EC"/>
    <w:rsid w:val="3CCC70D6"/>
    <w:rsid w:val="3CF01FCD"/>
    <w:rsid w:val="3D0C0B0A"/>
    <w:rsid w:val="3D244D78"/>
    <w:rsid w:val="3D251A29"/>
    <w:rsid w:val="3D2E2245"/>
    <w:rsid w:val="3D31644C"/>
    <w:rsid w:val="3D3C7286"/>
    <w:rsid w:val="3D4A69A7"/>
    <w:rsid w:val="3DB86398"/>
    <w:rsid w:val="3E442382"/>
    <w:rsid w:val="3E7A0177"/>
    <w:rsid w:val="3E7C09B8"/>
    <w:rsid w:val="3E830E87"/>
    <w:rsid w:val="3E916E83"/>
    <w:rsid w:val="3E976028"/>
    <w:rsid w:val="3EA23E9D"/>
    <w:rsid w:val="3EB63280"/>
    <w:rsid w:val="3EF30213"/>
    <w:rsid w:val="3EFC2C5D"/>
    <w:rsid w:val="3F087854"/>
    <w:rsid w:val="3F337045"/>
    <w:rsid w:val="3F6C47B1"/>
    <w:rsid w:val="3F7126E5"/>
    <w:rsid w:val="3FB672B0"/>
    <w:rsid w:val="3FDB067A"/>
    <w:rsid w:val="3FED0FAD"/>
    <w:rsid w:val="402E0B26"/>
    <w:rsid w:val="40394461"/>
    <w:rsid w:val="4058618B"/>
    <w:rsid w:val="407C4056"/>
    <w:rsid w:val="40AF734C"/>
    <w:rsid w:val="40C357E1"/>
    <w:rsid w:val="40DC03C8"/>
    <w:rsid w:val="41422536"/>
    <w:rsid w:val="41493202"/>
    <w:rsid w:val="415154E2"/>
    <w:rsid w:val="416B1C6D"/>
    <w:rsid w:val="41760AA5"/>
    <w:rsid w:val="41CB53B3"/>
    <w:rsid w:val="41D31BB6"/>
    <w:rsid w:val="41E97A19"/>
    <w:rsid w:val="41F11FF0"/>
    <w:rsid w:val="420460B1"/>
    <w:rsid w:val="421F4A51"/>
    <w:rsid w:val="42206C63"/>
    <w:rsid w:val="42521F95"/>
    <w:rsid w:val="42551049"/>
    <w:rsid w:val="42586A16"/>
    <w:rsid w:val="425A2352"/>
    <w:rsid w:val="428C127F"/>
    <w:rsid w:val="42B71375"/>
    <w:rsid w:val="42B86E9B"/>
    <w:rsid w:val="42C45C15"/>
    <w:rsid w:val="43326C4D"/>
    <w:rsid w:val="433409E5"/>
    <w:rsid w:val="434E24A0"/>
    <w:rsid w:val="43796DB4"/>
    <w:rsid w:val="438C023B"/>
    <w:rsid w:val="43BC5E40"/>
    <w:rsid w:val="440A48C5"/>
    <w:rsid w:val="44683826"/>
    <w:rsid w:val="44763DA5"/>
    <w:rsid w:val="44804067"/>
    <w:rsid w:val="449B097E"/>
    <w:rsid w:val="44B778FB"/>
    <w:rsid w:val="44B8611F"/>
    <w:rsid w:val="44CE67D1"/>
    <w:rsid w:val="44F73B3D"/>
    <w:rsid w:val="45063756"/>
    <w:rsid w:val="45570BED"/>
    <w:rsid w:val="458012DF"/>
    <w:rsid w:val="45923B3B"/>
    <w:rsid w:val="4594599D"/>
    <w:rsid w:val="45B147A1"/>
    <w:rsid w:val="46244F73"/>
    <w:rsid w:val="46304D7B"/>
    <w:rsid w:val="46603AD2"/>
    <w:rsid w:val="46841EB6"/>
    <w:rsid w:val="46CE1383"/>
    <w:rsid w:val="46D60AB1"/>
    <w:rsid w:val="46D655DC"/>
    <w:rsid w:val="46D70238"/>
    <w:rsid w:val="47606FC3"/>
    <w:rsid w:val="47B73F20"/>
    <w:rsid w:val="47BC3B50"/>
    <w:rsid w:val="47F55EF3"/>
    <w:rsid w:val="480212E4"/>
    <w:rsid w:val="48382FE1"/>
    <w:rsid w:val="483B59A8"/>
    <w:rsid w:val="48642049"/>
    <w:rsid w:val="48673685"/>
    <w:rsid w:val="487D2E74"/>
    <w:rsid w:val="48974F02"/>
    <w:rsid w:val="48B06F92"/>
    <w:rsid w:val="48E77710"/>
    <w:rsid w:val="48F0738F"/>
    <w:rsid w:val="490948F4"/>
    <w:rsid w:val="490D44F0"/>
    <w:rsid w:val="4929643D"/>
    <w:rsid w:val="49481FDE"/>
    <w:rsid w:val="496070A7"/>
    <w:rsid w:val="49795019"/>
    <w:rsid w:val="498B6F45"/>
    <w:rsid w:val="49B35CB9"/>
    <w:rsid w:val="49BB5CAE"/>
    <w:rsid w:val="4A304CFF"/>
    <w:rsid w:val="4A3241BC"/>
    <w:rsid w:val="4A3C5399"/>
    <w:rsid w:val="4A554D1A"/>
    <w:rsid w:val="4A6E0EB3"/>
    <w:rsid w:val="4A71390E"/>
    <w:rsid w:val="4A914C3A"/>
    <w:rsid w:val="4A953519"/>
    <w:rsid w:val="4AE67D6A"/>
    <w:rsid w:val="4B0C226D"/>
    <w:rsid w:val="4B1A4164"/>
    <w:rsid w:val="4B310951"/>
    <w:rsid w:val="4B5E0F27"/>
    <w:rsid w:val="4B612DE7"/>
    <w:rsid w:val="4B70018C"/>
    <w:rsid w:val="4BFC67AA"/>
    <w:rsid w:val="4C093F5D"/>
    <w:rsid w:val="4C175738"/>
    <w:rsid w:val="4C24269D"/>
    <w:rsid w:val="4C2435FE"/>
    <w:rsid w:val="4C2525E6"/>
    <w:rsid w:val="4C361DC7"/>
    <w:rsid w:val="4C392DFB"/>
    <w:rsid w:val="4C4D54FB"/>
    <w:rsid w:val="4C650E03"/>
    <w:rsid w:val="4C6836E0"/>
    <w:rsid w:val="4C684210"/>
    <w:rsid w:val="4C6A149C"/>
    <w:rsid w:val="4C6E03BF"/>
    <w:rsid w:val="4C7812BC"/>
    <w:rsid w:val="4CD05543"/>
    <w:rsid w:val="4CEE0BC2"/>
    <w:rsid w:val="4CFB4554"/>
    <w:rsid w:val="4D185106"/>
    <w:rsid w:val="4DE44FE8"/>
    <w:rsid w:val="4DF73324"/>
    <w:rsid w:val="4E0F775F"/>
    <w:rsid w:val="4E5E3BB7"/>
    <w:rsid w:val="4E7C07D4"/>
    <w:rsid w:val="4E8C4B44"/>
    <w:rsid w:val="4E8D4C9B"/>
    <w:rsid w:val="4EB3158A"/>
    <w:rsid w:val="4EE112EA"/>
    <w:rsid w:val="4EE2777A"/>
    <w:rsid w:val="4EE52302"/>
    <w:rsid w:val="4EE67D65"/>
    <w:rsid w:val="4F064D66"/>
    <w:rsid w:val="4F174D5B"/>
    <w:rsid w:val="4F3D2C02"/>
    <w:rsid w:val="4F683249"/>
    <w:rsid w:val="4FC155E1"/>
    <w:rsid w:val="4FEF6B40"/>
    <w:rsid w:val="4FF60116"/>
    <w:rsid w:val="50153B7F"/>
    <w:rsid w:val="5041188D"/>
    <w:rsid w:val="508807F5"/>
    <w:rsid w:val="508D5E0B"/>
    <w:rsid w:val="508E7F6F"/>
    <w:rsid w:val="50A373DC"/>
    <w:rsid w:val="50B45146"/>
    <w:rsid w:val="50C17799"/>
    <w:rsid w:val="50C65257"/>
    <w:rsid w:val="50D11043"/>
    <w:rsid w:val="50DB6617"/>
    <w:rsid w:val="50E0418D"/>
    <w:rsid w:val="51083017"/>
    <w:rsid w:val="5117467C"/>
    <w:rsid w:val="514C537E"/>
    <w:rsid w:val="51DA0BDC"/>
    <w:rsid w:val="51DC4FC2"/>
    <w:rsid w:val="51EF252E"/>
    <w:rsid w:val="51EF3281"/>
    <w:rsid w:val="521117A7"/>
    <w:rsid w:val="521446DF"/>
    <w:rsid w:val="522D3402"/>
    <w:rsid w:val="52522E68"/>
    <w:rsid w:val="5268443A"/>
    <w:rsid w:val="52A42F98"/>
    <w:rsid w:val="52A66D10"/>
    <w:rsid w:val="52BC704D"/>
    <w:rsid w:val="52E10DFA"/>
    <w:rsid w:val="52F323E1"/>
    <w:rsid w:val="530F3211"/>
    <w:rsid w:val="5325232B"/>
    <w:rsid w:val="533B3627"/>
    <w:rsid w:val="53405283"/>
    <w:rsid w:val="537231BE"/>
    <w:rsid w:val="5382152B"/>
    <w:rsid w:val="53B01CF2"/>
    <w:rsid w:val="53EE03AA"/>
    <w:rsid w:val="53F0508B"/>
    <w:rsid w:val="540C655E"/>
    <w:rsid w:val="542F7E8C"/>
    <w:rsid w:val="5435426D"/>
    <w:rsid w:val="547144B7"/>
    <w:rsid w:val="54971C65"/>
    <w:rsid w:val="54AE5D9F"/>
    <w:rsid w:val="54C16083"/>
    <w:rsid w:val="54C610E4"/>
    <w:rsid w:val="54E32200"/>
    <w:rsid w:val="55134BA2"/>
    <w:rsid w:val="551564C7"/>
    <w:rsid w:val="55180390"/>
    <w:rsid w:val="552F2087"/>
    <w:rsid w:val="55311B98"/>
    <w:rsid w:val="554C1DF1"/>
    <w:rsid w:val="55AE6607"/>
    <w:rsid w:val="55C37BD9"/>
    <w:rsid w:val="55D9132D"/>
    <w:rsid w:val="55DD0C9B"/>
    <w:rsid w:val="55E055C2"/>
    <w:rsid w:val="55F01E1C"/>
    <w:rsid w:val="563D7371"/>
    <w:rsid w:val="56460D3D"/>
    <w:rsid w:val="56A556B7"/>
    <w:rsid w:val="56A832D6"/>
    <w:rsid w:val="56AB71BE"/>
    <w:rsid w:val="56C360E7"/>
    <w:rsid w:val="56DF341C"/>
    <w:rsid w:val="56E07B8C"/>
    <w:rsid w:val="572C4942"/>
    <w:rsid w:val="57407733"/>
    <w:rsid w:val="574540B4"/>
    <w:rsid w:val="57596A47"/>
    <w:rsid w:val="57885CB1"/>
    <w:rsid w:val="579D6C40"/>
    <w:rsid w:val="57A26DF9"/>
    <w:rsid w:val="5807105F"/>
    <w:rsid w:val="580F1C97"/>
    <w:rsid w:val="583A4DAD"/>
    <w:rsid w:val="584D2E74"/>
    <w:rsid w:val="585A16BE"/>
    <w:rsid w:val="58685D2E"/>
    <w:rsid w:val="588E44CE"/>
    <w:rsid w:val="58B948B5"/>
    <w:rsid w:val="58C4447C"/>
    <w:rsid w:val="58DE502E"/>
    <w:rsid w:val="58E356F5"/>
    <w:rsid w:val="59066C26"/>
    <w:rsid w:val="59213594"/>
    <w:rsid w:val="595D4065"/>
    <w:rsid w:val="59D71162"/>
    <w:rsid w:val="59DE3807"/>
    <w:rsid w:val="5A011F03"/>
    <w:rsid w:val="5A2275C4"/>
    <w:rsid w:val="5A3612C1"/>
    <w:rsid w:val="5A4C2893"/>
    <w:rsid w:val="5A62466E"/>
    <w:rsid w:val="5A6C32DD"/>
    <w:rsid w:val="5A765C76"/>
    <w:rsid w:val="5A840339"/>
    <w:rsid w:val="5A9E7987"/>
    <w:rsid w:val="5ABC3D3F"/>
    <w:rsid w:val="5ACD3B85"/>
    <w:rsid w:val="5AF56C5F"/>
    <w:rsid w:val="5B1A1838"/>
    <w:rsid w:val="5B3112D3"/>
    <w:rsid w:val="5B694DAA"/>
    <w:rsid w:val="5B6C5663"/>
    <w:rsid w:val="5B8A3EC6"/>
    <w:rsid w:val="5B93523E"/>
    <w:rsid w:val="5B9F54DA"/>
    <w:rsid w:val="5BEF797A"/>
    <w:rsid w:val="5C185B16"/>
    <w:rsid w:val="5C1D7C5B"/>
    <w:rsid w:val="5C3A0EAF"/>
    <w:rsid w:val="5C6402BE"/>
    <w:rsid w:val="5CAD26C3"/>
    <w:rsid w:val="5CB570CC"/>
    <w:rsid w:val="5CE40C96"/>
    <w:rsid w:val="5D3845AB"/>
    <w:rsid w:val="5D5D6FA4"/>
    <w:rsid w:val="5D6D5B77"/>
    <w:rsid w:val="5D8A5BAC"/>
    <w:rsid w:val="5D924A61"/>
    <w:rsid w:val="5DA238B4"/>
    <w:rsid w:val="5DA327CA"/>
    <w:rsid w:val="5DCA244C"/>
    <w:rsid w:val="5DF23751"/>
    <w:rsid w:val="5E0D4D9E"/>
    <w:rsid w:val="5E1C350C"/>
    <w:rsid w:val="5E1E6993"/>
    <w:rsid w:val="5E2A1226"/>
    <w:rsid w:val="5E2A3532"/>
    <w:rsid w:val="5E2E5A0B"/>
    <w:rsid w:val="5E6F4DA2"/>
    <w:rsid w:val="5E724ABE"/>
    <w:rsid w:val="5E731245"/>
    <w:rsid w:val="5E9915F0"/>
    <w:rsid w:val="5EA204F5"/>
    <w:rsid w:val="5EA23C09"/>
    <w:rsid w:val="5EA52572"/>
    <w:rsid w:val="5EBC5543"/>
    <w:rsid w:val="5EC02497"/>
    <w:rsid w:val="5EC549C2"/>
    <w:rsid w:val="5ED03A93"/>
    <w:rsid w:val="5EDB5F93"/>
    <w:rsid w:val="5EEA174D"/>
    <w:rsid w:val="5F105C3D"/>
    <w:rsid w:val="5F3729F3"/>
    <w:rsid w:val="5F375835"/>
    <w:rsid w:val="5F614FC9"/>
    <w:rsid w:val="5F622211"/>
    <w:rsid w:val="5F650A27"/>
    <w:rsid w:val="5FC12A63"/>
    <w:rsid w:val="5FE231E0"/>
    <w:rsid w:val="5FF86F9E"/>
    <w:rsid w:val="603D1E5F"/>
    <w:rsid w:val="604F622C"/>
    <w:rsid w:val="60806FCC"/>
    <w:rsid w:val="608A307B"/>
    <w:rsid w:val="60AB739A"/>
    <w:rsid w:val="60E02F3A"/>
    <w:rsid w:val="61005930"/>
    <w:rsid w:val="61180251"/>
    <w:rsid w:val="613100ED"/>
    <w:rsid w:val="61427740"/>
    <w:rsid w:val="617821BF"/>
    <w:rsid w:val="61B40758"/>
    <w:rsid w:val="61B551C2"/>
    <w:rsid w:val="61C73AA4"/>
    <w:rsid w:val="61E155EC"/>
    <w:rsid w:val="62200682"/>
    <w:rsid w:val="623720B9"/>
    <w:rsid w:val="626C5880"/>
    <w:rsid w:val="628A4EFC"/>
    <w:rsid w:val="62A3326C"/>
    <w:rsid w:val="62DB432C"/>
    <w:rsid w:val="62ED7FFC"/>
    <w:rsid w:val="63343EC4"/>
    <w:rsid w:val="633B6222"/>
    <w:rsid w:val="636B5950"/>
    <w:rsid w:val="63795232"/>
    <w:rsid w:val="637D5813"/>
    <w:rsid w:val="637F5A87"/>
    <w:rsid w:val="63913F53"/>
    <w:rsid w:val="63A21930"/>
    <w:rsid w:val="63AB3411"/>
    <w:rsid w:val="63B61ED0"/>
    <w:rsid w:val="63CE663A"/>
    <w:rsid w:val="63D4445B"/>
    <w:rsid w:val="63E23E8A"/>
    <w:rsid w:val="63EC5FEE"/>
    <w:rsid w:val="63F24A31"/>
    <w:rsid w:val="64330F50"/>
    <w:rsid w:val="646E15A6"/>
    <w:rsid w:val="64747D3B"/>
    <w:rsid w:val="64A82D95"/>
    <w:rsid w:val="64A82DBC"/>
    <w:rsid w:val="64BF359F"/>
    <w:rsid w:val="64C00563"/>
    <w:rsid w:val="64FB1871"/>
    <w:rsid w:val="65077319"/>
    <w:rsid w:val="6509385A"/>
    <w:rsid w:val="651F3C8A"/>
    <w:rsid w:val="6533652A"/>
    <w:rsid w:val="654A03FC"/>
    <w:rsid w:val="656F3CB1"/>
    <w:rsid w:val="65896749"/>
    <w:rsid w:val="65A168B9"/>
    <w:rsid w:val="65D07DDE"/>
    <w:rsid w:val="65DA3948"/>
    <w:rsid w:val="65DF0A5F"/>
    <w:rsid w:val="65DF45BB"/>
    <w:rsid w:val="65F938CF"/>
    <w:rsid w:val="6606144F"/>
    <w:rsid w:val="661A4A36"/>
    <w:rsid w:val="664247F7"/>
    <w:rsid w:val="66827145"/>
    <w:rsid w:val="66D01138"/>
    <w:rsid w:val="66DA3FFA"/>
    <w:rsid w:val="672B7E90"/>
    <w:rsid w:val="673C3157"/>
    <w:rsid w:val="67496EB9"/>
    <w:rsid w:val="678A599F"/>
    <w:rsid w:val="67B72D09"/>
    <w:rsid w:val="6834336D"/>
    <w:rsid w:val="686314D3"/>
    <w:rsid w:val="686825FE"/>
    <w:rsid w:val="68897E70"/>
    <w:rsid w:val="68A77247"/>
    <w:rsid w:val="68A927F9"/>
    <w:rsid w:val="68C330B5"/>
    <w:rsid w:val="68DE53A2"/>
    <w:rsid w:val="68F4037D"/>
    <w:rsid w:val="69005B91"/>
    <w:rsid w:val="691A2318"/>
    <w:rsid w:val="69502C79"/>
    <w:rsid w:val="69822588"/>
    <w:rsid w:val="69877444"/>
    <w:rsid w:val="69970DFC"/>
    <w:rsid w:val="699B2742"/>
    <w:rsid w:val="699D27C3"/>
    <w:rsid w:val="69BA4BDE"/>
    <w:rsid w:val="69E2798B"/>
    <w:rsid w:val="69F20919"/>
    <w:rsid w:val="6A48221F"/>
    <w:rsid w:val="6A6333F9"/>
    <w:rsid w:val="6A6A103C"/>
    <w:rsid w:val="6A8C3707"/>
    <w:rsid w:val="6AB37DC4"/>
    <w:rsid w:val="6AC34F77"/>
    <w:rsid w:val="6ACB366A"/>
    <w:rsid w:val="6ACF7AD6"/>
    <w:rsid w:val="6AE42187"/>
    <w:rsid w:val="6AF64881"/>
    <w:rsid w:val="6B104A9C"/>
    <w:rsid w:val="6B191C26"/>
    <w:rsid w:val="6B436D44"/>
    <w:rsid w:val="6B680BAF"/>
    <w:rsid w:val="6B6F5DA6"/>
    <w:rsid w:val="6B79572D"/>
    <w:rsid w:val="6B9B71D6"/>
    <w:rsid w:val="6BAA656E"/>
    <w:rsid w:val="6BEF3D87"/>
    <w:rsid w:val="6BF95CAB"/>
    <w:rsid w:val="6C1B20C5"/>
    <w:rsid w:val="6C3E6CB1"/>
    <w:rsid w:val="6C7A1BB5"/>
    <w:rsid w:val="6C7B11E6"/>
    <w:rsid w:val="6C7F2654"/>
    <w:rsid w:val="6C9003BD"/>
    <w:rsid w:val="6CD417E7"/>
    <w:rsid w:val="6CF22D7E"/>
    <w:rsid w:val="6CFC1EF7"/>
    <w:rsid w:val="6D142D9C"/>
    <w:rsid w:val="6D1946ED"/>
    <w:rsid w:val="6D2A7880"/>
    <w:rsid w:val="6D521B17"/>
    <w:rsid w:val="6D5D3172"/>
    <w:rsid w:val="6D7020A0"/>
    <w:rsid w:val="6E0948CB"/>
    <w:rsid w:val="6E51210E"/>
    <w:rsid w:val="6E5A0C33"/>
    <w:rsid w:val="6E861409"/>
    <w:rsid w:val="6E9323E7"/>
    <w:rsid w:val="6EA039EE"/>
    <w:rsid w:val="6EE74A40"/>
    <w:rsid w:val="6F09593B"/>
    <w:rsid w:val="6F1145E5"/>
    <w:rsid w:val="6F276262"/>
    <w:rsid w:val="6F883C0C"/>
    <w:rsid w:val="6FBF7F5A"/>
    <w:rsid w:val="705846A2"/>
    <w:rsid w:val="70A03429"/>
    <w:rsid w:val="70C64FCE"/>
    <w:rsid w:val="70CB79B0"/>
    <w:rsid w:val="70EC5DDE"/>
    <w:rsid w:val="712A5284"/>
    <w:rsid w:val="713408C6"/>
    <w:rsid w:val="71551BD5"/>
    <w:rsid w:val="715E2766"/>
    <w:rsid w:val="71976D58"/>
    <w:rsid w:val="71C572F7"/>
    <w:rsid w:val="721A6435"/>
    <w:rsid w:val="72415A14"/>
    <w:rsid w:val="725400DF"/>
    <w:rsid w:val="72A725C8"/>
    <w:rsid w:val="72C62D8B"/>
    <w:rsid w:val="72C63DD6"/>
    <w:rsid w:val="72C93215"/>
    <w:rsid w:val="72FA6627"/>
    <w:rsid w:val="730D7BD2"/>
    <w:rsid w:val="732E7AA3"/>
    <w:rsid w:val="736D0988"/>
    <w:rsid w:val="736E6362"/>
    <w:rsid w:val="7372081D"/>
    <w:rsid w:val="73955D1C"/>
    <w:rsid w:val="73A66718"/>
    <w:rsid w:val="73E3796C"/>
    <w:rsid w:val="73F97190"/>
    <w:rsid w:val="7458046D"/>
    <w:rsid w:val="74621D18"/>
    <w:rsid w:val="74640AAD"/>
    <w:rsid w:val="746C7962"/>
    <w:rsid w:val="7494009E"/>
    <w:rsid w:val="74944F36"/>
    <w:rsid w:val="74C9464C"/>
    <w:rsid w:val="74F11C15"/>
    <w:rsid w:val="751F2C26"/>
    <w:rsid w:val="75555A8B"/>
    <w:rsid w:val="75560995"/>
    <w:rsid w:val="755D1FED"/>
    <w:rsid w:val="757A4300"/>
    <w:rsid w:val="757F403F"/>
    <w:rsid w:val="75980991"/>
    <w:rsid w:val="75CB06B8"/>
    <w:rsid w:val="75DB4D9F"/>
    <w:rsid w:val="75F75951"/>
    <w:rsid w:val="760706CB"/>
    <w:rsid w:val="768C42EB"/>
    <w:rsid w:val="76FD77F9"/>
    <w:rsid w:val="77123B5F"/>
    <w:rsid w:val="771F1A2D"/>
    <w:rsid w:val="775F37AE"/>
    <w:rsid w:val="77626DFA"/>
    <w:rsid w:val="77636FCC"/>
    <w:rsid w:val="777D3C34"/>
    <w:rsid w:val="77A32B22"/>
    <w:rsid w:val="77DA72EC"/>
    <w:rsid w:val="77E76C8E"/>
    <w:rsid w:val="782618B2"/>
    <w:rsid w:val="78582089"/>
    <w:rsid w:val="788D0D17"/>
    <w:rsid w:val="78C9390C"/>
    <w:rsid w:val="78ED5CCE"/>
    <w:rsid w:val="78FB3062"/>
    <w:rsid w:val="78FF5EC9"/>
    <w:rsid w:val="79023BDC"/>
    <w:rsid w:val="793626A9"/>
    <w:rsid w:val="793C5A4A"/>
    <w:rsid w:val="79462067"/>
    <w:rsid w:val="795C1518"/>
    <w:rsid w:val="795E2969"/>
    <w:rsid w:val="79671860"/>
    <w:rsid w:val="79692435"/>
    <w:rsid w:val="79744285"/>
    <w:rsid w:val="797846B3"/>
    <w:rsid w:val="79943C0F"/>
    <w:rsid w:val="79A65540"/>
    <w:rsid w:val="79AB5E35"/>
    <w:rsid w:val="79BF0534"/>
    <w:rsid w:val="79BF6786"/>
    <w:rsid w:val="79C651CE"/>
    <w:rsid w:val="79D61598"/>
    <w:rsid w:val="79F0693F"/>
    <w:rsid w:val="79F75F20"/>
    <w:rsid w:val="7A744895"/>
    <w:rsid w:val="7A794B87"/>
    <w:rsid w:val="7A7C6B54"/>
    <w:rsid w:val="7A92582F"/>
    <w:rsid w:val="7A9674E6"/>
    <w:rsid w:val="7AA44CF6"/>
    <w:rsid w:val="7AB20098"/>
    <w:rsid w:val="7AE43309"/>
    <w:rsid w:val="7B017624"/>
    <w:rsid w:val="7B034450"/>
    <w:rsid w:val="7B2F5205"/>
    <w:rsid w:val="7B453E02"/>
    <w:rsid w:val="7B574C78"/>
    <w:rsid w:val="7B79055C"/>
    <w:rsid w:val="7BDC53CD"/>
    <w:rsid w:val="7C084414"/>
    <w:rsid w:val="7C2F7F9A"/>
    <w:rsid w:val="7CC22F42"/>
    <w:rsid w:val="7CD36C81"/>
    <w:rsid w:val="7CE3193C"/>
    <w:rsid w:val="7CED7166"/>
    <w:rsid w:val="7D2749BA"/>
    <w:rsid w:val="7D492F76"/>
    <w:rsid w:val="7D4F0976"/>
    <w:rsid w:val="7D5B67C5"/>
    <w:rsid w:val="7D686730"/>
    <w:rsid w:val="7D7E765B"/>
    <w:rsid w:val="7DC15CF3"/>
    <w:rsid w:val="7DCC76C3"/>
    <w:rsid w:val="7DEB5F33"/>
    <w:rsid w:val="7E2B1F3A"/>
    <w:rsid w:val="7E6E7AAC"/>
    <w:rsid w:val="7EBE4C46"/>
    <w:rsid w:val="7EDE76AE"/>
    <w:rsid w:val="7F00439D"/>
    <w:rsid w:val="7F0455E7"/>
    <w:rsid w:val="7F065208"/>
    <w:rsid w:val="7F0772DB"/>
    <w:rsid w:val="7F3351B5"/>
    <w:rsid w:val="7F426CA6"/>
    <w:rsid w:val="7F6D05E1"/>
    <w:rsid w:val="7F9C1256"/>
    <w:rsid w:val="7F9E4FC7"/>
    <w:rsid w:val="7FA91A6A"/>
    <w:rsid w:val="7FC9210C"/>
    <w:rsid w:val="7FCB5505"/>
    <w:rsid w:val="7FD67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widowControl/>
      <w:adjustRightInd w:val="0"/>
      <w:snapToGrid w:val="0"/>
      <w:spacing w:before="40" w:after="40"/>
      <w:jc w:val="left"/>
      <w:outlineLvl w:val="0"/>
    </w:pPr>
    <w:rPr>
      <w:b/>
      <w:bCs/>
      <w:kern w:val="44"/>
      <w:sz w:val="28"/>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qFormat/>
    <w:uiPriority w:val="0"/>
    <w:pPr>
      <w:jc w:val="left"/>
    </w:pPr>
  </w:style>
  <w:style w:type="paragraph" w:styleId="4">
    <w:name w:val="footer"/>
    <w:basedOn w:val="1"/>
    <w:link w:val="22"/>
    <w:qFormat/>
    <w:uiPriority w:val="0"/>
    <w:pPr>
      <w:tabs>
        <w:tab w:val="center" w:pos="4153"/>
        <w:tab w:val="right" w:pos="8306"/>
      </w:tabs>
      <w:snapToGrid w:val="0"/>
      <w:jc w:val="left"/>
    </w:pPr>
    <w:rPr>
      <w:sz w:val="18"/>
      <w:szCs w:val="18"/>
    </w:rPr>
  </w:style>
  <w:style w:type="paragraph" w:styleId="5">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styleId="8">
    <w:name w:val="Normal (Web)"/>
    <w:basedOn w:val="1"/>
    <w:qFormat/>
    <w:uiPriority w:val="0"/>
    <w:pPr>
      <w:spacing w:beforeAutospacing="1" w:afterAutospacing="1"/>
      <w:jc w:val="left"/>
    </w:pPr>
    <w:rPr>
      <w:kern w:val="0"/>
      <w:sz w:val="24"/>
    </w:rPr>
  </w:style>
  <w:style w:type="paragraph" w:styleId="9">
    <w:name w:val="annotation subject"/>
    <w:basedOn w:val="3"/>
    <w:next w:val="3"/>
    <w:link w:val="25"/>
    <w:qFormat/>
    <w:uiPriority w:val="0"/>
    <w:rPr>
      <w:b/>
      <w:bCs/>
    </w:rPr>
  </w:style>
  <w:style w:type="character" w:styleId="12">
    <w:name w:val="FollowedHyperlink"/>
    <w:basedOn w:val="11"/>
    <w:qFormat/>
    <w:uiPriority w:val="0"/>
    <w:rPr>
      <w:color w:val="800080"/>
      <w:u w:val="single"/>
    </w:rPr>
  </w:style>
  <w:style w:type="character" w:styleId="13">
    <w:name w:val="line number"/>
    <w:basedOn w:val="11"/>
    <w:qFormat/>
    <w:uiPriority w:val="0"/>
  </w:style>
  <w:style w:type="character" w:styleId="14">
    <w:name w:val="Hyperlink"/>
    <w:basedOn w:val="11"/>
    <w:qFormat/>
    <w:uiPriority w:val="0"/>
    <w:rPr>
      <w:color w:val="0000FF"/>
      <w:u w:val="single"/>
    </w:rPr>
  </w:style>
  <w:style w:type="character" w:styleId="15">
    <w:name w:val="annotation reference"/>
    <w:basedOn w:val="11"/>
    <w:qFormat/>
    <w:uiPriority w:val="0"/>
    <w:rPr>
      <w:sz w:val="21"/>
      <w:szCs w:val="21"/>
    </w:rPr>
  </w:style>
  <w:style w:type="paragraph" w:customStyle="1" w:styleId="16">
    <w:name w:val="公式与标号对齐"/>
    <w:basedOn w:val="1"/>
    <w:next w:val="1"/>
    <w:link w:val="17"/>
    <w:qFormat/>
    <w:uiPriority w:val="0"/>
    <w:pPr>
      <w:tabs>
        <w:tab w:val="right" w:pos="2835"/>
        <w:tab w:val="center" w:pos="4150"/>
      </w:tabs>
      <w:spacing w:before="50" w:beforeLines="50" w:after="50" w:afterLines="50"/>
    </w:pPr>
    <w:rPr>
      <w:rFonts w:hint="eastAsia" w:ascii="Times New Roman" w:hAnsi="Times New Roman"/>
      <w:bCs/>
      <w:sz w:val="24"/>
    </w:rPr>
  </w:style>
  <w:style w:type="character" w:customStyle="1" w:styleId="17">
    <w:name w:val="公式与标号对齐 Char"/>
    <w:link w:val="16"/>
    <w:qFormat/>
    <w:uiPriority w:val="0"/>
    <w:rPr>
      <w:rFonts w:hint="eastAsia" w:ascii="Times New Roman" w:hAnsi="Times New Roman"/>
      <w:bCs/>
      <w:sz w:val="24"/>
    </w:rPr>
  </w:style>
  <w:style w:type="character" w:customStyle="1" w:styleId="18">
    <w:name w:val="font21"/>
    <w:basedOn w:val="11"/>
    <w:qFormat/>
    <w:uiPriority w:val="0"/>
    <w:rPr>
      <w:rFonts w:hint="default" w:ascii="Times New Roman" w:hAnsi="Times New Roman" w:cs="Times New Roman"/>
      <w:color w:val="FF0000"/>
      <w:sz w:val="22"/>
      <w:szCs w:val="22"/>
      <w:u w:val="none"/>
    </w:rPr>
  </w:style>
  <w:style w:type="character" w:customStyle="1" w:styleId="19">
    <w:name w:val="font31"/>
    <w:basedOn w:val="11"/>
    <w:qFormat/>
    <w:uiPriority w:val="0"/>
    <w:rPr>
      <w:rFonts w:hint="default" w:ascii="Times New Roman" w:hAnsi="Times New Roman" w:cs="Times New Roman"/>
      <w:color w:val="000000"/>
      <w:sz w:val="22"/>
      <w:szCs w:val="22"/>
      <w:u w:val="none"/>
    </w:rPr>
  </w:style>
  <w:style w:type="character" w:customStyle="1" w:styleId="20">
    <w:name w:val="ts-alignment-element"/>
    <w:basedOn w:val="11"/>
    <w:qFormat/>
    <w:uiPriority w:val="0"/>
  </w:style>
  <w:style w:type="character" w:customStyle="1" w:styleId="21">
    <w:name w:val="页眉 字符"/>
    <w:basedOn w:val="11"/>
    <w:link w:val="5"/>
    <w:qFormat/>
    <w:uiPriority w:val="0"/>
    <w:rPr>
      <w:rFonts w:ascii="Calibri" w:hAnsi="Calibri"/>
      <w:kern w:val="2"/>
      <w:sz w:val="18"/>
      <w:szCs w:val="18"/>
    </w:rPr>
  </w:style>
  <w:style w:type="character" w:customStyle="1" w:styleId="22">
    <w:name w:val="页脚 字符"/>
    <w:basedOn w:val="11"/>
    <w:link w:val="4"/>
    <w:qFormat/>
    <w:uiPriority w:val="0"/>
    <w:rPr>
      <w:rFonts w:ascii="Calibri" w:hAnsi="Calibri"/>
      <w:kern w:val="2"/>
      <w:sz w:val="18"/>
      <w:szCs w:val="18"/>
    </w:rPr>
  </w:style>
  <w:style w:type="paragraph" w:customStyle="1" w:styleId="23">
    <w:name w:val="修订1"/>
    <w:hidden/>
    <w:semiHidden/>
    <w:qFormat/>
    <w:uiPriority w:val="99"/>
    <w:rPr>
      <w:rFonts w:ascii="Calibri" w:hAnsi="Calibri" w:eastAsia="宋体" w:cs="Times New Roman"/>
      <w:kern w:val="2"/>
      <w:sz w:val="21"/>
      <w:szCs w:val="24"/>
      <w:lang w:val="en-US" w:eastAsia="zh-CN" w:bidi="ar-SA"/>
    </w:rPr>
  </w:style>
  <w:style w:type="character" w:customStyle="1" w:styleId="24">
    <w:name w:val="批注文字 字符"/>
    <w:basedOn w:val="11"/>
    <w:link w:val="3"/>
    <w:qFormat/>
    <w:uiPriority w:val="0"/>
    <w:rPr>
      <w:rFonts w:ascii="Calibri" w:hAnsi="Calibri"/>
      <w:kern w:val="2"/>
      <w:sz w:val="21"/>
      <w:szCs w:val="24"/>
    </w:rPr>
  </w:style>
  <w:style w:type="character" w:customStyle="1" w:styleId="25">
    <w:name w:val="批注主题 字符"/>
    <w:basedOn w:val="24"/>
    <w:link w:val="9"/>
    <w:qFormat/>
    <w:uiPriority w:val="0"/>
    <w:rPr>
      <w:rFonts w:ascii="Calibri" w:hAnsi="Calibri"/>
      <w:b/>
      <w:bCs/>
      <w:kern w:val="2"/>
      <w:sz w:val="21"/>
      <w:szCs w:val="24"/>
    </w:rPr>
  </w:style>
  <w:style w:type="paragraph" w:styleId="26">
    <w:name w:val="List Paragraph"/>
    <w:basedOn w:val="1"/>
    <w:qFormat/>
    <w:uiPriority w:val="99"/>
    <w:pPr>
      <w:ind w:firstLine="420" w:firstLineChars="200"/>
    </w:pPr>
  </w:style>
  <w:style w:type="paragraph" w:customStyle="1" w:styleId="27">
    <w:name w:val="WPSOffice手动目录 1"/>
    <w:qFormat/>
    <w:uiPriority w:val="0"/>
    <w:rPr>
      <w:rFonts w:ascii="Times New Roman" w:hAnsi="Times New Roman" w:eastAsia="宋体" w:cs="Times New Roman"/>
      <w:lang w:val="en-US" w:eastAsia="zh-CN" w:bidi="ar-SA"/>
    </w:rPr>
  </w:style>
  <w:style w:type="paragraph" w:customStyle="1" w:styleId="2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9">
    <w:name w:val="font41"/>
    <w:basedOn w:val="11"/>
    <w:qFormat/>
    <w:uiPriority w:val="0"/>
    <w:rPr>
      <w:rFonts w:hint="default" w:ascii="Times New Roman" w:hAnsi="Times New Roman" w:cs="Times New Roman"/>
      <w:color w:val="000000"/>
      <w:sz w:val="24"/>
      <w:szCs w:val="24"/>
      <w:u w:val="none"/>
    </w:rPr>
  </w:style>
  <w:style w:type="paragraph" w:customStyle="1" w:styleId="30">
    <w:name w:val="Revision"/>
    <w:hidden/>
    <w:semiHidden/>
    <w:qFormat/>
    <w:uiPriority w:val="99"/>
    <w:rPr>
      <w:rFonts w:ascii="Calibri" w:hAnsi="Calibri" w:eastAsia="宋体" w:cs="Times New Roman"/>
      <w:kern w:val="2"/>
      <w:sz w:val="21"/>
      <w:szCs w:val="24"/>
      <w:lang w:val="en-US" w:eastAsia="zh-CN" w:bidi="ar-SA"/>
    </w:rPr>
  </w:style>
  <w:style w:type="paragraph" w:customStyle="1" w:styleId="31">
    <w:name w:val="_Style 30"/>
    <w:basedOn w:val="1"/>
    <w:next w:val="1"/>
    <w:qFormat/>
    <w:uiPriority w:val="0"/>
    <w:pPr>
      <w:pBdr>
        <w:bottom w:val="single" w:color="auto" w:sz="6" w:space="1"/>
      </w:pBdr>
      <w:jc w:val="center"/>
    </w:pPr>
    <w:rPr>
      <w:rFonts w:ascii="Arial" w:eastAsia="宋体"/>
      <w:vanish/>
      <w:sz w:val="16"/>
    </w:rPr>
  </w:style>
  <w:style w:type="paragraph" w:customStyle="1" w:styleId="32">
    <w:name w:val="_Style 31"/>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1" Type="http://schemas.openxmlformats.org/officeDocument/2006/relationships/fontTable" Target="fontTable.xml"/><Relationship Id="rId50" Type="http://schemas.openxmlformats.org/officeDocument/2006/relationships/customXml" Target="../customXml/item1.xml"/><Relationship Id="rId5" Type="http://schemas.openxmlformats.org/officeDocument/2006/relationships/oleObject" Target="embeddings/oleObject1.bin"/><Relationship Id="rId49" Type="http://schemas.openxmlformats.org/officeDocument/2006/relationships/image" Target="media/image23.png"/><Relationship Id="rId48" Type="http://schemas.openxmlformats.org/officeDocument/2006/relationships/image" Target="media/image22.wmf"/><Relationship Id="rId47" Type="http://schemas.openxmlformats.org/officeDocument/2006/relationships/oleObject" Target="embeddings/oleObject22.bin"/><Relationship Id="rId46" Type="http://schemas.openxmlformats.org/officeDocument/2006/relationships/image" Target="media/image21.wmf"/><Relationship Id="rId45" Type="http://schemas.openxmlformats.org/officeDocument/2006/relationships/oleObject" Target="embeddings/oleObject21.bin"/><Relationship Id="rId44" Type="http://schemas.openxmlformats.org/officeDocument/2006/relationships/image" Target="media/image20.wmf"/><Relationship Id="rId43" Type="http://schemas.openxmlformats.org/officeDocument/2006/relationships/oleObject" Target="embeddings/oleObject20.bin"/><Relationship Id="rId42" Type="http://schemas.openxmlformats.org/officeDocument/2006/relationships/image" Target="media/image19.wmf"/><Relationship Id="rId41" Type="http://schemas.openxmlformats.org/officeDocument/2006/relationships/oleObject" Target="embeddings/oleObject19.bin"/><Relationship Id="rId40" Type="http://schemas.openxmlformats.org/officeDocument/2006/relationships/image" Target="media/image18.wmf"/><Relationship Id="rId4" Type="http://schemas.openxmlformats.org/officeDocument/2006/relationships/theme" Target="theme/theme1.xml"/><Relationship Id="rId39" Type="http://schemas.openxmlformats.org/officeDocument/2006/relationships/oleObject" Target="embeddings/oleObject18.bin"/><Relationship Id="rId38" Type="http://schemas.openxmlformats.org/officeDocument/2006/relationships/image" Target="media/image17.wmf"/><Relationship Id="rId37" Type="http://schemas.openxmlformats.org/officeDocument/2006/relationships/oleObject" Target="embeddings/oleObject17.bin"/><Relationship Id="rId36" Type="http://schemas.openxmlformats.org/officeDocument/2006/relationships/image" Target="media/image16.wmf"/><Relationship Id="rId35" Type="http://schemas.openxmlformats.org/officeDocument/2006/relationships/oleObject" Target="embeddings/oleObject16.bin"/><Relationship Id="rId34" Type="http://schemas.openxmlformats.org/officeDocument/2006/relationships/image" Target="media/image15.wmf"/><Relationship Id="rId33" Type="http://schemas.openxmlformats.org/officeDocument/2006/relationships/oleObject" Target="embeddings/oleObject15.bin"/><Relationship Id="rId32" Type="http://schemas.openxmlformats.org/officeDocument/2006/relationships/image" Target="media/image14.wmf"/><Relationship Id="rId31" Type="http://schemas.openxmlformats.org/officeDocument/2006/relationships/oleObject" Target="embeddings/oleObject14.bin"/><Relationship Id="rId30" Type="http://schemas.openxmlformats.org/officeDocument/2006/relationships/image" Target="media/image13.wmf"/><Relationship Id="rId3" Type="http://schemas.openxmlformats.org/officeDocument/2006/relationships/footer" Target="footer1.xml"/><Relationship Id="rId29" Type="http://schemas.openxmlformats.org/officeDocument/2006/relationships/oleObject" Target="embeddings/oleObject13.bin"/><Relationship Id="rId28" Type="http://schemas.openxmlformats.org/officeDocument/2006/relationships/image" Target="media/image12.wmf"/><Relationship Id="rId27" Type="http://schemas.openxmlformats.org/officeDocument/2006/relationships/oleObject" Target="embeddings/oleObject12.bin"/><Relationship Id="rId26" Type="http://schemas.openxmlformats.org/officeDocument/2006/relationships/image" Target="media/image11.wmf"/><Relationship Id="rId25" Type="http://schemas.openxmlformats.org/officeDocument/2006/relationships/oleObject" Target="embeddings/oleObject11.bin"/><Relationship Id="rId24" Type="http://schemas.openxmlformats.org/officeDocument/2006/relationships/image" Target="media/image10.wmf"/><Relationship Id="rId23" Type="http://schemas.openxmlformats.org/officeDocument/2006/relationships/oleObject" Target="embeddings/oleObject10.bin"/><Relationship Id="rId22" Type="http://schemas.openxmlformats.org/officeDocument/2006/relationships/image" Target="media/image9.wmf"/><Relationship Id="rId21" Type="http://schemas.openxmlformats.org/officeDocument/2006/relationships/oleObject" Target="embeddings/oleObject9.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7.wmf"/><Relationship Id="rId17" Type="http://schemas.openxmlformats.org/officeDocument/2006/relationships/oleObject" Target="embeddings/oleObject7.bin"/><Relationship Id="rId16" Type="http://schemas.openxmlformats.org/officeDocument/2006/relationships/image" Target="media/image6.wmf"/><Relationship Id="rId15" Type="http://schemas.openxmlformats.org/officeDocument/2006/relationships/oleObject" Target="embeddings/oleObject6.bin"/><Relationship Id="rId14" Type="http://schemas.openxmlformats.org/officeDocument/2006/relationships/image" Target="media/image5.wmf"/><Relationship Id="rId13" Type="http://schemas.openxmlformats.org/officeDocument/2006/relationships/oleObject" Target="embeddings/oleObject5.bin"/><Relationship Id="rId12" Type="http://schemas.openxmlformats.org/officeDocument/2006/relationships/image" Target="media/image4.wmf"/><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5047</Words>
  <Characters>26442</Characters>
  <Lines>211</Lines>
  <Paragraphs>59</Paragraphs>
  <TotalTime>0</TotalTime>
  <ScaleCrop>false</ScaleCrop>
  <LinksUpToDate>false</LinksUpToDate>
  <CharactersWithSpaces>31554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2022-08-14T05:51:00Z</dcterms:created>
  <dc:creator>lenovo</dc:creator>
  <dc:description>NE.Bib</dc:description>
  <cp:lastModifiedBy>Arya</cp:lastModifiedBy>
  <dcterms:modified xsi:type="dcterms:W3CDTF">2023-07-07T07:21:13Z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D68F1EB4D37E4576BA391C2E9A28AB01_13</vt:lpwstr>
  </property>
</Properties>
</file>