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18CCD" w14:textId="77777777" w:rsidR="00245E4F" w:rsidRDefault="00245E4F">
      <w:pPr>
        <w:rPr>
          <w:rFonts w:ascii="Times New Roman" w:eastAsia="Times New Roman" w:hAnsi="Times New Roman" w:cs="Times New Roman"/>
        </w:rPr>
      </w:pPr>
    </w:p>
    <w:tbl>
      <w:tblPr>
        <w:tblStyle w:val="afe"/>
        <w:tblW w:w="9750" w:type="dxa"/>
        <w:jc w:val="center"/>
        <w:tblInd w:w="0" w:type="dxa"/>
        <w:tblLayout w:type="fixed"/>
        <w:tblLook w:val="0400" w:firstRow="0" w:lastRow="0" w:firstColumn="0" w:lastColumn="0" w:noHBand="0" w:noVBand="1"/>
      </w:tblPr>
      <w:tblGrid>
        <w:gridCol w:w="1740"/>
        <w:gridCol w:w="645"/>
        <w:gridCol w:w="1020"/>
        <w:gridCol w:w="1065"/>
        <w:gridCol w:w="1035"/>
        <w:gridCol w:w="1050"/>
        <w:gridCol w:w="675"/>
        <w:gridCol w:w="1155"/>
        <w:gridCol w:w="1365"/>
      </w:tblGrid>
      <w:tr w:rsidR="00245E4F" w14:paraId="4A20DEC9" w14:textId="77777777">
        <w:trPr>
          <w:trHeight w:val="300"/>
          <w:jc w:val="center"/>
        </w:trPr>
        <w:tc>
          <w:tcPr>
            <w:tcW w:w="9750" w:type="dxa"/>
            <w:gridSpan w:val="9"/>
            <w:tcBorders>
              <w:top w:val="single" w:sz="4" w:space="0" w:color="000000"/>
              <w:left w:val="nil"/>
              <w:bottom w:val="single" w:sz="4" w:space="0" w:color="000000"/>
              <w:right w:val="nil"/>
            </w:tcBorders>
            <w:shd w:val="clear" w:color="auto" w:fill="FFFFFF"/>
            <w:vAlign w:val="bottom"/>
          </w:tcPr>
          <w:p w14:paraId="00835A03" w14:textId="0238AD7B"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b/>
              </w:rPr>
              <w:t xml:space="preserve">Supplementary </w:t>
            </w:r>
            <w:r w:rsidR="00B03195">
              <w:rPr>
                <w:rFonts w:ascii="Times New Roman" w:eastAsia="Times New Roman" w:hAnsi="Times New Roman" w:cs="Times New Roman"/>
                <w:b/>
              </w:rPr>
              <w:t>table</w:t>
            </w:r>
            <w:r>
              <w:rPr>
                <w:rFonts w:ascii="Times New Roman" w:eastAsia="Times New Roman" w:hAnsi="Times New Roman" w:cs="Times New Roman"/>
                <w:b/>
              </w:rPr>
              <w:t xml:space="preserve"> </w:t>
            </w:r>
            <w:r w:rsidR="00616DFB">
              <w:rPr>
                <w:rFonts w:ascii="Times New Roman" w:eastAsia="Times New Roman" w:hAnsi="Times New Roman" w:cs="Times New Roman"/>
                <w:b/>
              </w:rPr>
              <w:t>5</w:t>
            </w:r>
            <w:r>
              <w:rPr>
                <w:rFonts w:ascii="Times New Roman" w:eastAsia="Times New Roman" w:hAnsi="Times New Roman" w:cs="Times New Roman"/>
              </w:rPr>
              <w:t xml:space="preserve">. Comparison of studies using ENB as stand-alone diagnostic technique </w:t>
            </w:r>
          </w:p>
        </w:tc>
      </w:tr>
      <w:tr w:rsidR="00245E4F" w14:paraId="73F0F3E2" w14:textId="77777777">
        <w:trPr>
          <w:trHeight w:val="600"/>
          <w:jc w:val="center"/>
        </w:trPr>
        <w:tc>
          <w:tcPr>
            <w:tcW w:w="1740" w:type="dxa"/>
            <w:tcBorders>
              <w:top w:val="nil"/>
              <w:left w:val="nil"/>
              <w:bottom w:val="single" w:sz="4" w:space="0" w:color="000000"/>
              <w:right w:val="nil"/>
            </w:tcBorders>
            <w:shd w:val="clear" w:color="auto" w:fill="FFFFFF"/>
            <w:vAlign w:val="bottom"/>
          </w:tcPr>
          <w:p w14:paraId="6A0F999D"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Author, year</w:t>
            </w:r>
          </w:p>
        </w:tc>
        <w:tc>
          <w:tcPr>
            <w:tcW w:w="645" w:type="dxa"/>
            <w:tcBorders>
              <w:top w:val="nil"/>
              <w:left w:val="nil"/>
              <w:bottom w:val="single" w:sz="4" w:space="0" w:color="000000"/>
              <w:right w:val="nil"/>
            </w:tcBorders>
            <w:shd w:val="clear" w:color="auto" w:fill="FFFFFF"/>
            <w:vAlign w:val="bottom"/>
          </w:tcPr>
          <w:p w14:paraId="7385041C"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Cases</w:t>
            </w:r>
          </w:p>
        </w:tc>
        <w:tc>
          <w:tcPr>
            <w:tcW w:w="1020" w:type="dxa"/>
            <w:tcBorders>
              <w:top w:val="nil"/>
              <w:left w:val="nil"/>
              <w:bottom w:val="single" w:sz="4" w:space="0" w:color="000000"/>
              <w:right w:val="nil"/>
            </w:tcBorders>
            <w:shd w:val="clear" w:color="auto" w:fill="FFFFFF"/>
            <w:vAlign w:val="bottom"/>
          </w:tcPr>
          <w:p w14:paraId="50FB8B79"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 xml:space="preserve">Diagnostic </w:t>
            </w:r>
            <w:r>
              <w:rPr>
                <w:rFonts w:ascii="Times New Roman" w:eastAsia="Times New Roman" w:hAnsi="Times New Roman" w:cs="Times New Roman"/>
              </w:rPr>
              <w:br/>
              <w:t>yield</w:t>
            </w:r>
          </w:p>
        </w:tc>
        <w:tc>
          <w:tcPr>
            <w:tcW w:w="1065" w:type="dxa"/>
            <w:tcBorders>
              <w:top w:val="nil"/>
              <w:left w:val="nil"/>
              <w:bottom w:val="single" w:sz="4" w:space="0" w:color="000000"/>
              <w:right w:val="nil"/>
            </w:tcBorders>
            <w:shd w:val="clear" w:color="auto" w:fill="FFFFFF"/>
            <w:vAlign w:val="bottom"/>
          </w:tcPr>
          <w:p w14:paraId="5D2290F9"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 xml:space="preserve">Mean </w:t>
            </w:r>
            <w:r>
              <w:rPr>
                <w:rFonts w:ascii="Times New Roman" w:eastAsia="Times New Roman" w:hAnsi="Times New Roman" w:cs="Times New Roman"/>
              </w:rPr>
              <w:br/>
              <w:t>diameter (mm)</w:t>
            </w:r>
          </w:p>
        </w:tc>
        <w:tc>
          <w:tcPr>
            <w:tcW w:w="1035" w:type="dxa"/>
            <w:tcBorders>
              <w:top w:val="nil"/>
              <w:left w:val="nil"/>
              <w:bottom w:val="single" w:sz="4" w:space="0" w:color="000000"/>
              <w:right w:val="nil"/>
            </w:tcBorders>
            <w:shd w:val="clear" w:color="auto" w:fill="FFFFFF"/>
            <w:vAlign w:val="bottom"/>
          </w:tcPr>
          <w:p w14:paraId="12208F81"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 xml:space="preserve">Mean follow-up </w:t>
            </w:r>
            <w:r>
              <w:rPr>
                <w:rFonts w:ascii="Times New Roman" w:eastAsia="Times New Roman" w:hAnsi="Times New Roman" w:cs="Times New Roman"/>
              </w:rPr>
              <w:br/>
              <w:t>months</w:t>
            </w:r>
          </w:p>
        </w:tc>
        <w:tc>
          <w:tcPr>
            <w:tcW w:w="1050" w:type="dxa"/>
            <w:tcBorders>
              <w:top w:val="nil"/>
              <w:left w:val="nil"/>
              <w:bottom w:val="single" w:sz="4" w:space="0" w:color="000000"/>
              <w:right w:val="nil"/>
            </w:tcBorders>
            <w:shd w:val="clear" w:color="auto" w:fill="FFFFFF"/>
            <w:vAlign w:val="bottom"/>
          </w:tcPr>
          <w:p w14:paraId="062E02B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 xml:space="preserve">General </w:t>
            </w:r>
            <w:r>
              <w:rPr>
                <w:rFonts w:ascii="Times New Roman" w:eastAsia="Times New Roman" w:hAnsi="Times New Roman" w:cs="Times New Roman"/>
              </w:rPr>
              <w:br/>
              <w:t>anesthesia</w:t>
            </w:r>
          </w:p>
        </w:tc>
        <w:tc>
          <w:tcPr>
            <w:tcW w:w="675" w:type="dxa"/>
            <w:tcBorders>
              <w:top w:val="nil"/>
              <w:left w:val="nil"/>
              <w:bottom w:val="single" w:sz="4" w:space="0" w:color="000000"/>
              <w:right w:val="nil"/>
            </w:tcBorders>
            <w:shd w:val="clear" w:color="auto" w:fill="FFFFFF"/>
            <w:vAlign w:val="bottom"/>
          </w:tcPr>
          <w:p w14:paraId="2E29BD9B"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ROSE</w:t>
            </w:r>
          </w:p>
        </w:tc>
        <w:tc>
          <w:tcPr>
            <w:tcW w:w="1155" w:type="dxa"/>
            <w:tcBorders>
              <w:top w:val="nil"/>
              <w:left w:val="nil"/>
              <w:bottom w:val="single" w:sz="4" w:space="0" w:color="000000"/>
              <w:right w:val="nil"/>
            </w:tcBorders>
            <w:shd w:val="clear" w:color="auto" w:fill="FFFFFF"/>
            <w:vAlign w:val="bottom"/>
          </w:tcPr>
          <w:p w14:paraId="125BA878"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Fluoroscopy</w:t>
            </w:r>
          </w:p>
        </w:tc>
        <w:tc>
          <w:tcPr>
            <w:tcW w:w="1365" w:type="dxa"/>
            <w:tcBorders>
              <w:top w:val="nil"/>
              <w:left w:val="nil"/>
              <w:bottom w:val="single" w:sz="4" w:space="0" w:color="000000"/>
              <w:right w:val="nil"/>
            </w:tcBorders>
            <w:shd w:val="clear" w:color="auto" w:fill="FFFFFF"/>
            <w:vAlign w:val="bottom"/>
          </w:tcPr>
          <w:p w14:paraId="615AD02B"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r-EBUS</w:t>
            </w:r>
          </w:p>
        </w:tc>
      </w:tr>
      <w:tr w:rsidR="00245E4F" w14:paraId="578A9EFF" w14:textId="77777777">
        <w:trPr>
          <w:trHeight w:val="300"/>
          <w:jc w:val="center"/>
        </w:trPr>
        <w:tc>
          <w:tcPr>
            <w:tcW w:w="1740" w:type="dxa"/>
            <w:tcBorders>
              <w:top w:val="nil"/>
              <w:left w:val="nil"/>
              <w:bottom w:val="nil"/>
              <w:right w:val="nil"/>
            </w:tcBorders>
            <w:shd w:val="clear" w:color="auto" w:fill="FFFFFF"/>
            <w:vAlign w:val="bottom"/>
          </w:tcPr>
          <w:p w14:paraId="7DC92560" w14:textId="41CAD233"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Schwarz </w:t>
            </w:r>
            <w:r w:rsidR="00206A34">
              <w:rPr>
                <w:rFonts w:ascii="Times New Roman" w:eastAsia="Times New Roman" w:hAnsi="Times New Roman" w:cs="Times New Roman"/>
                <w:vertAlign w:val="superscript"/>
              </w:rPr>
              <w:t>6</w:t>
            </w:r>
            <w:r>
              <w:rPr>
                <w:rFonts w:ascii="Times New Roman" w:eastAsia="Times New Roman" w:hAnsi="Times New Roman" w:cs="Times New Roman"/>
              </w:rPr>
              <w:t>, 2006</w:t>
            </w:r>
          </w:p>
        </w:tc>
        <w:tc>
          <w:tcPr>
            <w:tcW w:w="645" w:type="dxa"/>
            <w:tcBorders>
              <w:top w:val="nil"/>
              <w:left w:val="nil"/>
              <w:bottom w:val="nil"/>
              <w:right w:val="nil"/>
            </w:tcBorders>
            <w:shd w:val="clear" w:color="auto" w:fill="FFFFFF"/>
            <w:vAlign w:val="bottom"/>
          </w:tcPr>
          <w:p w14:paraId="28ABD2E1"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15</w:t>
            </w:r>
          </w:p>
        </w:tc>
        <w:tc>
          <w:tcPr>
            <w:tcW w:w="1020" w:type="dxa"/>
            <w:tcBorders>
              <w:top w:val="nil"/>
              <w:left w:val="nil"/>
              <w:bottom w:val="nil"/>
              <w:right w:val="nil"/>
            </w:tcBorders>
            <w:shd w:val="clear" w:color="auto" w:fill="FFFFFF"/>
            <w:vAlign w:val="bottom"/>
          </w:tcPr>
          <w:p w14:paraId="62C5D714"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69</w:t>
            </w:r>
          </w:p>
        </w:tc>
        <w:tc>
          <w:tcPr>
            <w:tcW w:w="1065" w:type="dxa"/>
            <w:tcBorders>
              <w:top w:val="nil"/>
              <w:left w:val="nil"/>
              <w:bottom w:val="nil"/>
              <w:right w:val="nil"/>
            </w:tcBorders>
            <w:shd w:val="clear" w:color="auto" w:fill="FFFFFF"/>
            <w:vAlign w:val="bottom"/>
          </w:tcPr>
          <w:p w14:paraId="5AD91632"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33.4</w:t>
            </w:r>
          </w:p>
        </w:tc>
        <w:tc>
          <w:tcPr>
            <w:tcW w:w="1035" w:type="dxa"/>
            <w:tcBorders>
              <w:top w:val="nil"/>
              <w:left w:val="nil"/>
              <w:bottom w:val="nil"/>
              <w:right w:val="nil"/>
            </w:tcBorders>
            <w:shd w:val="clear" w:color="auto" w:fill="FFFFFF"/>
            <w:vAlign w:val="bottom"/>
          </w:tcPr>
          <w:p w14:paraId="553566A3"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ND</w:t>
            </w:r>
          </w:p>
        </w:tc>
        <w:tc>
          <w:tcPr>
            <w:tcW w:w="1050" w:type="dxa"/>
            <w:tcBorders>
              <w:top w:val="nil"/>
              <w:left w:val="nil"/>
              <w:bottom w:val="nil"/>
              <w:right w:val="nil"/>
            </w:tcBorders>
            <w:shd w:val="clear" w:color="auto" w:fill="FFFFFF"/>
            <w:vAlign w:val="bottom"/>
          </w:tcPr>
          <w:p w14:paraId="7CAF5952"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 (MS)</w:t>
            </w:r>
          </w:p>
        </w:tc>
        <w:tc>
          <w:tcPr>
            <w:tcW w:w="675" w:type="dxa"/>
            <w:tcBorders>
              <w:top w:val="nil"/>
              <w:left w:val="nil"/>
              <w:bottom w:val="nil"/>
              <w:right w:val="nil"/>
            </w:tcBorders>
            <w:shd w:val="clear" w:color="auto" w:fill="FFFFFF"/>
            <w:vAlign w:val="bottom"/>
          </w:tcPr>
          <w:p w14:paraId="6E02A462"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155" w:type="dxa"/>
            <w:tcBorders>
              <w:top w:val="nil"/>
              <w:left w:val="nil"/>
              <w:bottom w:val="nil"/>
              <w:right w:val="nil"/>
            </w:tcBorders>
            <w:shd w:val="clear" w:color="auto" w:fill="FFFFFF"/>
            <w:vAlign w:val="bottom"/>
          </w:tcPr>
          <w:p w14:paraId="76693EB5"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tcBorders>
              <w:top w:val="nil"/>
              <w:left w:val="nil"/>
              <w:bottom w:val="nil"/>
              <w:right w:val="nil"/>
            </w:tcBorders>
            <w:shd w:val="clear" w:color="auto" w:fill="FFFFFF"/>
            <w:vAlign w:val="bottom"/>
          </w:tcPr>
          <w:p w14:paraId="3E979061"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4DB13964" w14:textId="77777777">
        <w:trPr>
          <w:trHeight w:val="300"/>
          <w:jc w:val="center"/>
        </w:trPr>
        <w:tc>
          <w:tcPr>
            <w:tcW w:w="1740" w:type="dxa"/>
            <w:tcBorders>
              <w:top w:val="nil"/>
              <w:left w:val="nil"/>
              <w:bottom w:val="nil"/>
              <w:right w:val="nil"/>
            </w:tcBorders>
            <w:shd w:val="clear" w:color="auto" w:fill="FFFFFF"/>
            <w:vAlign w:val="bottom"/>
          </w:tcPr>
          <w:p w14:paraId="7C027A98" w14:textId="496BAF84"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Eberhardt </w:t>
            </w:r>
            <w:r w:rsidR="00286411">
              <w:rPr>
                <w:rFonts w:ascii="Times New Roman" w:eastAsia="Times New Roman" w:hAnsi="Times New Roman" w:cs="Times New Roman"/>
                <w:vertAlign w:val="superscript"/>
              </w:rPr>
              <w:t>23</w:t>
            </w:r>
            <w:r>
              <w:rPr>
                <w:rFonts w:ascii="Times New Roman" w:eastAsia="Times New Roman" w:hAnsi="Times New Roman" w:cs="Times New Roman"/>
              </w:rPr>
              <w:t>, 2007 (a)</w:t>
            </w:r>
          </w:p>
        </w:tc>
        <w:tc>
          <w:tcPr>
            <w:tcW w:w="645" w:type="dxa"/>
            <w:tcBorders>
              <w:top w:val="nil"/>
              <w:left w:val="nil"/>
              <w:bottom w:val="nil"/>
              <w:right w:val="nil"/>
            </w:tcBorders>
            <w:shd w:val="clear" w:color="auto" w:fill="FFFFFF"/>
            <w:vAlign w:val="bottom"/>
          </w:tcPr>
          <w:p w14:paraId="062610E2"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89</w:t>
            </w:r>
          </w:p>
        </w:tc>
        <w:tc>
          <w:tcPr>
            <w:tcW w:w="1020" w:type="dxa"/>
            <w:tcBorders>
              <w:top w:val="nil"/>
              <w:left w:val="nil"/>
              <w:bottom w:val="nil"/>
              <w:right w:val="nil"/>
            </w:tcBorders>
            <w:shd w:val="clear" w:color="auto" w:fill="FFFFFF"/>
            <w:vAlign w:val="bottom"/>
          </w:tcPr>
          <w:p w14:paraId="7D6264B9"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67</w:t>
            </w:r>
          </w:p>
        </w:tc>
        <w:tc>
          <w:tcPr>
            <w:tcW w:w="1065" w:type="dxa"/>
            <w:tcBorders>
              <w:top w:val="nil"/>
              <w:left w:val="nil"/>
              <w:bottom w:val="nil"/>
              <w:right w:val="nil"/>
            </w:tcBorders>
            <w:shd w:val="clear" w:color="auto" w:fill="FFFFFF"/>
            <w:vAlign w:val="bottom"/>
          </w:tcPr>
          <w:p w14:paraId="42BEF702"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28</w:t>
            </w:r>
          </w:p>
        </w:tc>
        <w:tc>
          <w:tcPr>
            <w:tcW w:w="1035" w:type="dxa"/>
            <w:tcBorders>
              <w:top w:val="nil"/>
              <w:left w:val="nil"/>
              <w:bottom w:val="nil"/>
              <w:right w:val="nil"/>
            </w:tcBorders>
            <w:shd w:val="clear" w:color="auto" w:fill="FFFFFF"/>
            <w:vAlign w:val="bottom"/>
          </w:tcPr>
          <w:p w14:paraId="3316CD7C"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ND</w:t>
            </w:r>
          </w:p>
        </w:tc>
        <w:tc>
          <w:tcPr>
            <w:tcW w:w="1050" w:type="dxa"/>
            <w:tcBorders>
              <w:top w:val="nil"/>
              <w:left w:val="nil"/>
              <w:bottom w:val="nil"/>
              <w:right w:val="nil"/>
            </w:tcBorders>
            <w:shd w:val="clear" w:color="auto" w:fill="FFFFFF"/>
            <w:vAlign w:val="bottom"/>
          </w:tcPr>
          <w:p w14:paraId="0CD5EC03"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Yes (61.7%)</w:t>
            </w:r>
          </w:p>
        </w:tc>
        <w:tc>
          <w:tcPr>
            <w:tcW w:w="675" w:type="dxa"/>
            <w:tcBorders>
              <w:top w:val="nil"/>
              <w:left w:val="nil"/>
              <w:bottom w:val="nil"/>
              <w:right w:val="nil"/>
            </w:tcBorders>
            <w:shd w:val="clear" w:color="auto" w:fill="FFFFFF"/>
            <w:vAlign w:val="bottom"/>
          </w:tcPr>
          <w:p w14:paraId="05CBDA07"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155" w:type="dxa"/>
            <w:tcBorders>
              <w:top w:val="nil"/>
              <w:left w:val="nil"/>
              <w:bottom w:val="nil"/>
              <w:right w:val="nil"/>
            </w:tcBorders>
            <w:shd w:val="clear" w:color="auto" w:fill="FFFFFF"/>
            <w:vAlign w:val="bottom"/>
          </w:tcPr>
          <w:p w14:paraId="7877F516"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tcBorders>
              <w:top w:val="nil"/>
              <w:left w:val="nil"/>
              <w:bottom w:val="nil"/>
              <w:right w:val="nil"/>
            </w:tcBorders>
            <w:shd w:val="clear" w:color="auto" w:fill="FFFFFF"/>
            <w:vAlign w:val="bottom"/>
          </w:tcPr>
          <w:p w14:paraId="2D02563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4F8B08A8" w14:textId="77777777">
        <w:trPr>
          <w:trHeight w:val="300"/>
          <w:jc w:val="center"/>
        </w:trPr>
        <w:tc>
          <w:tcPr>
            <w:tcW w:w="1740" w:type="dxa"/>
            <w:tcBorders>
              <w:top w:val="nil"/>
              <w:left w:val="nil"/>
              <w:bottom w:val="nil"/>
              <w:right w:val="nil"/>
            </w:tcBorders>
            <w:shd w:val="clear" w:color="auto" w:fill="FFFFFF"/>
            <w:vAlign w:val="bottom"/>
          </w:tcPr>
          <w:p w14:paraId="22F395E2" w14:textId="1D382C84"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Makris </w:t>
            </w:r>
            <w:r w:rsidR="006D342F">
              <w:rPr>
                <w:rFonts w:ascii="Times New Roman" w:eastAsia="Times New Roman" w:hAnsi="Times New Roman" w:cs="Times New Roman"/>
                <w:vertAlign w:val="superscript"/>
              </w:rPr>
              <w:t>35</w:t>
            </w:r>
            <w:r>
              <w:rPr>
                <w:rFonts w:ascii="Times New Roman" w:eastAsia="Times New Roman" w:hAnsi="Times New Roman" w:cs="Times New Roman"/>
              </w:rPr>
              <w:t>, 2007</w:t>
            </w:r>
          </w:p>
        </w:tc>
        <w:tc>
          <w:tcPr>
            <w:tcW w:w="645" w:type="dxa"/>
            <w:tcBorders>
              <w:top w:val="nil"/>
              <w:left w:val="nil"/>
              <w:bottom w:val="nil"/>
              <w:right w:val="nil"/>
            </w:tcBorders>
            <w:shd w:val="clear" w:color="auto" w:fill="FFFFFF"/>
            <w:vAlign w:val="bottom"/>
          </w:tcPr>
          <w:p w14:paraId="75C9CFCC"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40</w:t>
            </w:r>
          </w:p>
        </w:tc>
        <w:tc>
          <w:tcPr>
            <w:tcW w:w="1020" w:type="dxa"/>
            <w:tcBorders>
              <w:top w:val="nil"/>
              <w:left w:val="nil"/>
              <w:bottom w:val="nil"/>
              <w:right w:val="nil"/>
            </w:tcBorders>
            <w:shd w:val="clear" w:color="auto" w:fill="FFFFFF"/>
            <w:vAlign w:val="bottom"/>
          </w:tcPr>
          <w:p w14:paraId="5A35B70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62.5</w:t>
            </w:r>
          </w:p>
        </w:tc>
        <w:tc>
          <w:tcPr>
            <w:tcW w:w="1065" w:type="dxa"/>
            <w:tcBorders>
              <w:top w:val="nil"/>
              <w:left w:val="nil"/>
              <w:bottom w:val="nil"/>
              <w:right w:val="nil"/>
            </w:tcBorders>
            <w:shd w:val="clear" w:color="auto" w:fill="FFFFFF"/>
            <w:vAlign w:val="bottom"/>
          </w:tcPr>
          <w:p w14:paraId="59BA586F"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 xml:space="preserve">23.5 </w:t>
            </w:r>
          </w:p>
        </w:tc>
        <w:tc>
          <w:tcPr>
            <w:tcW w:w="1035" w:type="dxa"/>
            <w:tcBorders>
              <w:top w:val="nil"/>
              <w:left w:val="nil"/>
              <w:bottom w:val="nil"/>
              <w:right w:val="nil"/>
            </w:tcBorders>
            <w:shd w:val="clear" w:color="auto" w:fill="FFFFFF"/>
            <w:vAlign w:val="bottom"/>
          </w:tcPr>
          <w:p w14:paraId="5CDF8791"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ND</w:t>
            </w:r>
          </w:p>
        </w:tc>
        <w:tc>
          <w:tcPr>
            <w:tcW w:w="1050" w:type="dxa"/>
            <w:tcBorders>
              <w:top w:val="nil"/>
              <w:left w:val="nil"/>
              <w:bottom w:val="nil"/>
              <w:right w:val="nil"/>
            </w:tcBorders>
            <w:shd w:val="clear" w:color="auto" w:fill="FFFFFF"/>
            <w:vAlign w:val="bottom"/>
          </w:tcPr>
          <w:p w14:paraId="0660BF7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 (MS)</w:t>
            </w:r>
          </w:p>
        </w:tc>
        <w:tc>
          <w:tcPr>
            <w:tcW w:w="675" w:type="dxa"/>
            <w:tcBorders>
              <w:top w:val="nil"/>
              <w:left w:val="nil"/>
              <w:bottom w:val="nil"/>
              <w:right w:val="nil"/>
            </w:tcBorders>
            <w:shd w:val="clear" w:color="auto" w:fill="FFFFFF"/>
            <w:vAlign w:val="bottom"/>
          </w:tcPr>
          <w:p w14:paraId="489CE588"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155" w:type="dxa"/>
            <w:tcBorders>
              <w:top w:val="nil"/>
              <w:left w:val="nil"/>
              <w:bottom w:val="nil"/>
              <w:right w:val="nil"/>
            </w:tcBorders>
            <w:shd w:val="clear" w:color="auto" w:fill="FFFFFF"/>
            <w:vAlign w:val="bottom"/>
          </w:tcPr>
          <w:p w14:paraId="461E74F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tcBorders>
              <w:top w:val="nil"/>
              <w:left w:val="nil"/>
              <w:bottom w:val="nil"/>
              <w:right w:val="nil"/>
            </w:tcBorders>
            <w:shd w:val="clear" w:color="auto" w:fill="FFFFFF"/>
            <w:vAlign w:val="bottom"/>
          </w:tcPr>
          <w:p w14:paraId="1978EF8F"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158BFC7C" w14:textId="77777777">
        <w:trPr>
          <w:trHeight w:val="300"/>
          <w:jc w:val="center"/>
        </w:trPr>
        <w:tc>
          <w:tcPr>
            <w:tcW w:w="1740" w:type="dxa"/>
            <w:tcBorders>
              <w:top w:val="nil"/>
              <w:left w:val="nil"/>
              <w:bottom w:val="nil"/>
              <w:right w:val="nil"/>
            </w:tcBorders>
            <w:shd w:val="clear" w:color="auto" w:fill="FFFFFF"/>
            <w:vAlign w:val="bottom"/>
          </w:tcPr>
          <w:p w14:paraId="23D7E85B" w14:textId="7C869144"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Bertoletti </w:t>
            </w:r>
            <w:r w:rsidR="00F73F9C">
              <w:rPr>
                <w:rFonts w:ascii="Times New Roman" w:eastAsia="Times New Roman" w:hAnsi="Times New Roman" w:cs="Times New Roman"/>
                <w:vertAlign w:val="superscript"/>
              </w:rPr>
              <w:t>45</w:t>
            </w:r>
            <w:r>
              <w:rPr>
                <w:rFonts w:ascii="Times New Roman" w:eastAsia="Times New Roman" w:hAnsi="Times New Roman" w:cs="Times New Roman"/>
              </w:rPr>
              <w:t>, 2009</w:t>
            </w:r>
          </w:p>
        </w:tc>
        <w:tc>
          <w:tcPr>
            <w:tcW w:w="645" w:type="dxa"/>
            <w:tcBorders>
              <w:top w:val="nil"/>
              <w:left w:val="nil"/>
              <w:bottom w:val="nil"/>
              <w:right w:val="nil"/>
            </w:tcBorders>
            <w:shd w:val="clear" w:color="auto" w:fill="FFFFFF"/>
            <w:vAlign w:val="bottom"/>
          </w:tcPr>
          <w:p w14:paraId="2CF99DF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53</w:t>
            </w:r>
          </w:p>
        </w:tc>
        <w:tc>
          <w:tcPr>
            <w:tcW w:w="1020" w:type="dxa"/>
            <w:tcBorders>
              <w:top w:val="nil"/>
              <w:left w:val="nil"/>
              <w:bottom w:val="nil"/>
              <w:right w:val="nil"/>
            </w:tcBorders>
            <w:shd w:val="clear" w:color="auto" w:fill="FFFFFF"/>
            <w:vAlign w:val="bottom"/>
          </w:tcPr>
          <w:p w14:paraId="7F2CC079"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77.4</w:t>
            </w:r>
          </w:p>
        </w:tc>
        <w:tc>
          <w:tcPr>
            <w:tcW w:w="1065" w:type="dxa"/>
            <w:tcBorders>
              <w:top w:val="nil"/>
              <w:left w:val="nil"/>
              <w:bottom w:val="nil"/>
              <w:right w:val="nil"/>
            </w:tcBorders>
            <w:shd w:val="clear" w:color="auto" w:fill="FFFFFF"/>
            <w:vAlign w:val="bottom"/>
          </w:tcPr>
          <w:p w14:paraId="72E0DC5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31.2</w:t>
            </w:r>
          </w:p>
        </w:tc>
        <w:tc>
          <w:tcPr>
            <w:tcW w:w="1035" w:type="dxa"/>
            <w:tcBorders>
              <w:top w:val="nil"/>
              <w:left w:val="nil"/>
              <w:bottom w:val="nil"/>
              <w:right w:val="nil"/>
            </w:tcBorders>
            <w:shd w:val="clear" w:color="auto" w:fill="FFFFFF"/>
            <w:vAlign w:val="bottom"/>
          </w:tcPr>
          <w:p w14:paraId="3770DABB"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18</w:t>
            </w:r>
          </w:p>
        </w:tc>
        <w:tc>
          <w:tcPr>
            <w:tcW w:w="1050" w:type="dxa"/>
            <w:tcBorders>
              <w:top w:val="nil"/>
              <w:left w:val="nil"/>
              <w:bottom w:val="nil"/>
              <w:right w:val="nil"/>
            </w:tcBorders>
            <w:shd w:val="clear" w:color="auto" w:fill="FFFFFF"/>
            <w:vAlign w:val="bottom"/>
          </w:tcPr>
          <w:p w14:paraId="7F840089"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675" w:type="dxa"/>
            <w:tcBorders>
              <w:top w:val="nil"/>
              <w:left w:val="nil"/>
              <w:bottom w:val="nil"/>
              <w:right w:val="nil"/>
            </w:tcBorders>
            <w:shd w:val="clear" w:color="auto" w:fill="FFFFFF"/>
            <w:vAlign w:val="bottom"/>
          </w:tcPr>
          <w:p w14:paraId="0615885A"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155" w:type="dxa"/>
            <w:tcBorders>
              <w:top w:val="nil"/>
              <w:left w:val="nil"/>
              <w:bottom w:val="nil"/>
              <w:right w:val="nil"/>
            </w:tcBorders>
            <w:shd w:val="clear" w:color="auto" w:fill="FFFFFF"/>
            <w:vAlign w:val="bottom"/>
          </w:tcPr>
          <w:p w14:paraId="031C8C7C"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tcBorders>
              <w:top w:val="nil"/>
              <w:left w:val="nil"/>
              <w:bottom w:val="nil"/>
              <w:right w:val="nil"/>
            </w:tcBorders>
            <w:shd w:val="clear" w:color="auto" w:fill="FFFFFF"/>
            <w:vAlign w:val="bottom"/>
          </w:tcPr>
          <w:p w14:paraId="794635D4"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6EBC02F5" w14:textId="77777777">
        <w:trPr>
          <w:trHeight w:val="300"/>
          <w:jc w:val="center"/>
        </w:trPr>
        <w:tc>
          <w:tcPr>
            <w:tcW w:w="1740" w:type="dxa"/>
            <w:tcBorders>
              <w:top w:val="nil"/>
              <w:left w:val="nil"/>
              <w:bottom w:val="nil"/>
              <w:right w:val="nil"/>
            </w:tcBorders>
            <w:vAlign w:val="bottom"/>
          </w:tcPr>
          <w:p w14:paraId="3661CBD5" w14:textId="029F5D93"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Sejio </w:t>
            </w:r>
            <w:r w:rsidR="00CE4BB3">
              <w:rPr>
                <w:rFonts w:ascii="Times New Roman" w:eastAsia="Times New Roman" w:hAnsi="Times New Roman" w:cs="Times New Roman"/>
                <w:vertAlign w:val="superscript"/>
              </w:rPr>
              <w:t>54</w:t>
            </w:r>
            <w:r>
              <w:rPr>
                <w:rFonts w:ascii="Times New Roman" w:eastAsia="Times New Roman" w:hAnsi="Times New Roman" w:cs="Times New Roman"/>
              </w:rPr>
              <w:t>, 2010</w:t>
            </w:r>
          </w:p>
        </w:tc>
        <w:tc>
          <w:tcPr>
            <w:tcW w:w="645" w:type="dxa"/>
            <w:tcBorders>
              <w:top w:val="nil"/>
              <w:left w:val="nil"/>
              <w:bottom w:val="nil"/>
              <w:right w:val="nil"/>
            </w:tcBorders>
            <w:vAlign w:val="bottom"/>
          </w:tcPr>
          <w:p w14:paraId="60D5795A"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51</w:t>
            </w:r>
          </w:p>
        </w:tc>
        <w:tc>
          <w:tcPr>
            <w:tcW w:w="1020" w:type="dxa"/>
            <w:tcBorders>
              <w:top w:val="nil"/>
              <w:left w:val="nil"/>
              <w:bottom w:val="nil"/>
              <w:right w:val="nil"/>
            </w:tcBorders>
            <w:vAlign w:val="bottom"/>
          </w:tcPr>
          <w:p w14:paraId="789D5CC4"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67</w:t>
            </w:r>
          </w:p>
        </w:tc>
        <w:tc>
          <w:tcPr>
            <w:tcW w:w="1065" w:type="dxa"/>
            <w:tcBorders>
              <w:top w:val="nil"/>
              <w:left w:val="nil"/>
              <w:bottom w:val="nil"/>
              <w:right w:val="nil"/>
            </w:tcBorders>
            <w:vAlign w:val="bottom"/>
          </w:tcPr>
          <w:p w14:paraId="47FCBAB2"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25</w:t>
            </w:r>
          </w:p>
        </w:tc>
        <w:tc>
          <w:tcPr>
            <w:tcW w:w="1035" w:type="dxa"/>
            <w:tcBorders>
              <w:top w:val="nil"/>
              <w:left w:val="nil"/>
              <w:bottom w:val="nil"/>
              <w:right w:val="nil"/>
            </w:tcBorders>
            <w:vAlign w:val="bottom"/>
          </w:tcPr>
          <w:p w14:paraId="4593234B"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ND</w:t>
            </w:r>
          </w:p>
        </w:tc>
        <w:tc>
          <w:tcPr>
            <w:tcW w:w="1050" w:type="dxa"/>
            <w:tcBorders>
              <w:top w:val="nil"/>
              <w:left w:val="nil"/>
              <w:bottom w:val="nil"/>
              <w:right w:val="nil"/>
            </w:tcBorders>
            <w:vAlign w:val="bottom"/>
          </w:tcPr>
          <w:p w14:paraId="38BDCBEA"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Yes</w:t>
            </w:r>
          </w:p>
        </w:tc>
        <w:tc>
          <w:tcPr>
            <w:tcW w:w="675" w:type="dxa"/>
            <w:tcBorders>
              <w:top w:val="nil"/>
              <w:left w:val="nil"/>
              <w:bottom w:val="nil"/>
              <w:right w:val="nil"/>
            </w:tcBorders>
            <w:vAlign w:val="bottom"/>
          </w:tcPr>
          <w:p w14:paraId="6444976A"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155" w:type="dxa"/>
            <w:tcBorders>
              <w:top w:val="nil"/>
              <w:left w:val="nil"/>
              <w:bottom w:val="nil"/>
              <w:right w:val="nil"/>
            </w:tcBorders>
            <w:vAlign w:val="bottom"/>
          </w:tcPr>
          <w:p w14:paraId="36719B52"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tcBorders>
              <w:top w:val="nil"/>
              <w:left w:val="nil"/>
              <w:bottom w:val="nil"/>
              <w:right w:val="nil"/>
            </w:tcBorders>
            <w:vAlign w:val="bottom"/>
          </w:tcPr>
          <w:p w14:paraId="3F605C26"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686BE23C" w14:textId="77777777">
        <w:trPr>
          <w:trHeight w:val="300"/>
          <w:jc w:val="center"/>
        </w:trPr>
        <w:tc>
          <w:tcPr>
            <w:tcW w:w="1740" w:type="dxa"/>
            <w:tcBorders>
              <w:top w:val="nil"/>
              <w:left w:val="nil"/>
              <w:bottom w:val="nil"/>
              <w:right w:val="nil"/>
            </w:tcBorders>
            <w:vAlign w:val="bottom"/>
          </w:tcPr>
          <w:p w14:paraId="3DCA5316" w14:textId="21260BD3"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Pearlstein </w:t>
            </w:r>
            <w:r>
              <w:rPr>
                <w:rFonts w:ascii="Times New Roman" w:eastAsia="Times New Roman" w:hAnsi="Times New Roman" w:cs="Times New Roman"/>
                <w:vertAlign w:val="superscript"/>
              </w:rPr>
              <w:t>4</w:t>
            </w:r>
            <w:r w:rsidR="007025B3">
              <w:rPr>
                <w:rFonts w:ascii="Times New Roman" w:eastAsia="Times New Roman" w:hAnsi="Times New Roman" w:cs="Times New Roman"/>
                <w:vertAlign w:val="superscript"/>
              </w:rPr>
              <w:t>0</w:t>
            </w:r>
            <w:r>
              <w:rPr>
                <w:rFonts w:ascii="Times New Roman" w:eastAsia="Times New Roman" w:hAnsi="Times New Roman" w:cs="Times New Roman"/>
              </w:rPr>
              <w:t>, 2012</w:t>
            </w:r>
          </w:p>
        </w:tc>
        <w:tc>
          <w:tcPr>
            <w:tcW w:w="645" w:type="dxa"/>
            <w:tcBorders>
              <w:top w:val="nil"/>
              <w:left w:val="nil"/>
              <w:bottom w:val="nil"/>
              <w:right w:val="nil"/>
            </w:tcBorders>
            <w:vAlign w:val="bottom"/>
          </w:tcPr>
          <w:p w14:paraId="15E243FE"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101</w:t>
            </w:r>
          </w:p>
        </w:tc>
        <w:tc>
          <w:tcPr>
            <w:tcW w:w="1020" w:type="dxa"/>
            <w:tcBorders>
              <w:top w:val="nil"/>
              <w:left w:val="nil"/>
              <w:bottom w:val="nil"/>
              <w:right w:val="nil"/>
            </w:tcBorders>
            <w:vAlign w:val="bottom"/>
          </w:tcPr>
          <w:p w14:paraId="2457285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82</w:t>
            </w:r>
          </w:p>
        </w:tc>
        <w:tc>
          <w:tcPr>
            <w:tcW w:w="1065" w:type="dxa"/>
            <w:tcBorders>
              <w:top w:val="nil"/>
              <w:left w:val="nil"/>
              <w:bottom w:val="nil"/>
              <w:right w:val="nil"/>
            </w:tcBorders>
            <w:vAlign w:val="bottom"/>
          </w:tcPr>
          <w:p w14:paraId="3EB25204"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28</w:t>
            </w:r>
          </w:p>
        </w:tc>
        <w:tc>
          <w:tcPr>
            <w:tcW w:w="1035" w:type="dxa"/>
            <w:tcBorders>
              <w:top w:val="nil"/>
              <w:left w:val="nil"/>
              <w:bottom w:val="nil"/>
              <w:right w:val="nil"/>
            </w:tcBorders>
            <w:vAlign w:val="bottom"/>
          </w:tcPr>
          <w:p w14:paraId="5A012BD5"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24</w:t>
            </w:r>
          </w:p>
        </w:tc>
        <w:tc>
          <w:tcPr>
            <w:tcW w:w="1050" w:type="dxa"/>
            <w:tcBorders>
              <w:top w:val="nil"/>
              <w:left w:val="nil"/>
              <w:bottom w:val="nil"/>
              <w:right w:val="nil"/>
            </w:tcBorders>
            <w:vAlign w:val="bottom"/>
          </w:tcPr>
          <w:p w14:paraId="79FB760C"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Yes</w:t>
            </w:r>
          </w:p>
        </w:tc>
        <w:tc>
          <w:tcPr>
            <w:tcW w:w="675" w:type="dxa"/>
            <w:tcBorders>
              <w:top w:val="nil"/>
              <w:left w:val="nil"/>
              <w:bottom w:val="nil"/>
              <w:right w:val="nil"/>
            </w:tcBorders>
            <w:vAlign w:val="bottom"/>
          </w:tcPr>
          <w:p w14:paraId="3EECAB3D"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Yes</w:t>
            </w:r>
          </w:p>
        </w:tc>
        <w:tc>
          <w:tcPr>
            <w:tcW w:w="1155" w:type="dxa"/>
            <w:tcBorders>
              <w:top w:val="nil"/>
              <w:left w:val="nil"/>
              <w:bottom w:val="nil"/>
              <w:right w:val="nil"/>
            </w:tcBorders>
            <w:vAlign w:val="bottom"/>
          </w:tcPr>
          <w:p w14:paraId="187206D3"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tcBorders>
              <w:top w:val="nil"/>
              <w:left w:val="nil"/>
              <w:bottom w:val="nil"/>
              <w:right w:val="nil"/>
            </w:tcBorders>
            <w:vAlign w:val="bottom"/>
          </w:tcPr>
          <w:p w14:paraId="697C80F3"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649D59CA" w14:textId="77777777">
        <w:trPr>
          <w:trHeight w:val="300"/>
          <w:jc w:val="center"/>
        </w:trPr>
        <w:tc>
          <w:tcPr>
            <w:tcW w:w="1740" w:type="dxa"/>
            <w:tcBorders>
              <w:top w:val="nil"/>
              <w:left w:val="nil"/>
              <w:bottom w:val="nil"/>
              <w:right w:val="nil"/>
            </w:tcBorders>
            <w:vAlign w:val="bottom"/>
          </w:tcPr>
          <w:p w14:paraId="0DD31096" w14:textId="0D3AF968"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Karnak </w:t>
            </w:r>
            <w:r w:rsidR="00226950">
              <w:rPr>
                <w:rFonts w:ascii="Times New Roman" w:eastAsia="Times New Roman" w:hAnsi="Times New Roman" w:cs="Times New Roman"/>
                <w:vertAlign w:val="superscript"/>
              </w:rPr>
              <w:t>29</w:t>
            </w:r>
            <w:r>
              <w:rPr>
                <w:rFonts w:ascii="Times New Roman" w:eastAsia="Times New Roman" w:hAnsi="Times New Roman" w:cs="Times New Roman"/>
              </w:rPr>
              <w:t>, 2013</w:t>
            </w:r>
          </w:p>
        </w:tc>
        <w:tc>
          <w:tcPr>
            <w:tcW w:w="645" w:type="dxa"/>
            <w:tcBorders>
              <w:top w:val="nil"/>
              <w:left w:val="nil"/>
              <w:bottom w:val="nil"/>
              <w:right w:val="nil"/>
            </w:tcBorders>
            <w:vAlign w:val="bottom"/>
          </w:tcPr>
          <w:p w14:paraId="752FF679"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76</w:t>
            </w:r>
          </w:p>
        </w:tc>
        <w:tc>
          <w:tcPr>
            <w:tcW w:w="1020" w:type="dxa"/>
            <w:tcBorders>
              <w:top w:val="nil"/>
              <w:left w:val="nil"/>
              <w:bottom w:val="nil"/>
              <w:right w:val="nil"/>
            </w:tcBorders>
            <w:vAlign w:val="bottom"/>
          </w:tcPr>
          <w:p w14:paraId="4C0F71B3"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89.5</w:t>
            </w:r>
          </w:p>
        </w:tc>
        <w:tc>
          <w:tcPr>
            <w:tcW w:w="1065" w:type="dxa"/>
            <w:tcBorders>
              <w:top w:val="nil"/>
              <w:left w:val="nil"/>
              <w:bottom w:val="nil"/>
              <w:right w:val="nil"/>
            </w:tcBorders>
            <w:vAlign w:val="bottom"/>
          </w:tcPr>
          <w:p w14:paraId="0789AFAE"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23.1</w:t>
            </w:r>
          </w:p>
        </w:tc>
        <w:tc>
          <w:tcPr>
            <w:tcW w:w="1035" w:type="dxa"/>
            <w:tcBorders>
              <w:top w:val="nil"/>
              <w:left w:val="nil"/>
              <w:bottom w:val="nil"/>
              <w:right w:val="nil"/>
            </w:tcBorders>
            <w:vAlign w:val="bottom"/>
          </w:tcPr>
          <w:p w14:paraId="48255CE9"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24</w:t>
            </w:r>
          </w:p>
        </w:tc>
        <w:tc>
          <w:tcPr>
            <w:tcW w:w="1050" w:type="dxa"/>
            <w:tcBorders>
              <w:top w:val="nil"/>
              <w:left w:val="nil"/>
              <w:bottom w:val="nil"/>
              <w:right w:val="nil"/>
            </w:tcBorders>
            <w:vAlign w:val="bottom"/>
          </w:tcPr>
          <w:p w14:paraId="5C6A210C"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Yes</w:t>
            </w:r>
          </w:p>
        </w:tc>
        <w:tc>
          <w:tcPr>
            <w:tcW w:w="675" w:type="dxa"/>
            <w:tcBorders>
              <w:top w:val="nil"/>
              <w:left w:val="nil"/>
              <w:bottom w:val="nil"/>
              <w:right w:val="nil"/>
            </w:tcBorders>
            <w:vAlign w:val="bottom"/>
          </w:tcPr>
          <w:p w14:paraId="6E82B15B"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Yes</w:t>
            </w:r>
          </w:p>
        </w:tc>
        <w:tc>
          <w:tcPr>
            <w:tcW w:w="1155" w:type="dxa"/>
            <w:tcBorders>
              <w:top w:val="nil"/>
              <w:left w:val="nil"/>
              <w:bottom w:val="nil"/>
              <w:right w:val="nil"/>
            </w:tcBorders>
            <w:vAlign w:val="bottom"/>
          </w:tcPr>
          <w:p w14:paraId="26DAF4C2"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tcBorders>
              <w:top w:val="nil"/>
              <w:left w:val="nil"/>
              <w:bottom w:val="nil"/>
              <w:right w:val="nil"/>
            </w:tcBorders>
            <w:vAlign w:val="bottom"/>
          </w:tcPr>
          <w:p w14:paraId="38EC8454"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56AED25B" w14:textId="77777777">
        <w:trPr>
          <w:trHeight w:val="300"/>
          <w:jc w:val="center"/>
        </w:trPr>
        <w:tc>
          <w:tcPr>
            <w:tcW w:w="1740" w:type="dxa"/>
            <w:tcBorders>
              <w:top w:val="nil"/>
              <w:left w:val="nil"/>
              <w:bottom w:val="nil"/>
              <w:right w:val="nil"/>
            </w:tcBorders>
            <w:vAlign w:val="bottom"/>
          </w:tcPr>
          <w:p w14:paraId="038A7AF8" w14:textId="2F2E9444"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Loo </w:t>
            </w:r>
            <w:r w:rsidR="006B17AE">
              <w:rPr>
                <w:rFonts w:ascii="Times New Roman" w:eastAsia="Times New Roman" w:hAnsi="Times New Roman" w:cs="Times New Roman"/>
                <w:vertAlign w:val="superscript"/>
              </w:rPr>
              <w:t>33</w:t>
            </w:r>
            <w:r>
              <w:rPr>
                <w:rFonts w:ascii="Times New Roman" w:eastAsia="Times New Roman" w:hAnsi="Times New Roman" w:cs="Times New Roman"/>
              </w:rPr>
              <w:t>, 2014</w:t>
            </w:r>
          </w:p>
        </w:tc>
        <w:tc>
          <w:tcPr>
            <w:tcW w:w="645" w:type="dxa"/>
            <w:tcBorders>
              <w:top w:val="nil"/>
              <w:left w:val="nil"/>
              <w:bottom w:val="nil"/>
              <w:right w:val="nil"/>
            </w:tcBorders>
            <w:vAlign w:val="bottom"/>
          </w:tcPr>
          <w:p w14:paraId="729C34BD"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40</w:t>
            </w:r>
          </w:p>
        </w:tc>
        <w:tc>
          <w:tcPr>
            <w:tcW w:w="1020" w:type="dxa"/>
            <w:tcBorders>
              <w:top w:val="nil"/>
              <w:left w:val="nil"/>
              <w:bottom w:val="nil"/>
              <w:right w:val="nil"/>
            </w:tcBorders>
            <w:vAlign w:val="bottom"/>
          </w:tcPr>
          <w:p w14:paraId="6DA01CC9"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89.4</w:t>
            </w:r>
          </w:p>
        </w:tc>
        <w:tc>
          <w:tcPr>
            <w:tcW w:w="1065" w:type="dxa"/>
            <w:tcBorders>
              <w:top w:val="nil"/>
              <w:left w:val="nil"/>
              <w:bottom w:val="nil"/>
              <w:right w:val="nil"/>
            </w:tcBorders>
            <w:vAlign w:val="bottom"/>
          </w:tcPr>
          <w:p w14:paraId="327D3B0A"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26</w:t>
            </w:r>
          </w:p>
        </w:tc>
        <w:tc>
          <w:tcPr>
            <w:tcW w:w="1035" w:type="dxa"/>
            <w:tcBorders>
              <w:top w:val="nil"/>
              <w:left w:val="nil"/>
              <w:bottom w:val="nil"/>
              <w:right w:val="nil"/>
            </w:tcBorders>
            <w:vAlign w:val="bottom"/>
          </w:tcPr>
          <w:p w14:paraId="094EB764"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ND</w:t>
            </w:r>
          </w:p>
        </w:tc>
        <w:tc>
          <w:tcPr>
            <w:tcW w:w="1050" w:type="dxa"/>
            <w:tcBorders>
              <w:top w:val="nil"/>
              <w:left w:val="nil"/>
              <w:bottom w:val="nil"/>
              <w:right w:val="nil"/>
            </w:tcBorders>
            <w:vAlign w:val="bottom"/>
          </w:tcPr>
          <w:p w14:paraId="2BDE391E"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 (MS)</w:t>
            </w:r>
          </w:p>
        </w:tc>
        <w:tc>
          <w:tcPr>
            <w:tcW w:w="675" w:type="dxa"/>
            <w:tcBorders>
              <w:top w:val="nil"/>
              <w:left w:val="nil"/>
              <w:bottom w:val="nil"/>
              <w:right w:val="nil"/>
            </w:tcBorders>
            <w:vAlign w:val="bottom"/>
          </w:tcPr>
          <w:p w14:paraId="0741F9CF"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Yes</w:t>
            </w:r>
          </w:p>
        </w:tc>
        <w:tc>
          <w:tcPr>
            <w:tcW w:w="1155" w:type="dxa"/>
            <w:tcBorders>
              <w:top w:val="nil"/>
              <w:left w:val="nil"/>
              <w:bottom w:val="nil"/>
              <w:right w:val="nil"/>
            </w:tcBorders>
            <w:vAlign w:val="bottom"/>
          </w:tcPr>
          <w:p w14:paraId="09193FBD"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tcBorders>
              <w:top w:val="nil"/>
              <w:left w:val="nil"/>
              <w:bottom w:val="nil"/>
              <w:right w:val="nil"/>
            </w:tcBorders>
            <w:vAlign w:val="bottom"/>
          </w:tcPr>
          <w:p w14:paraId="28AED85B"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34047D" w14:paraId="4A73D3EE" w14:textId="77777777">
        <w:trPr>
          <w:trHeight w:val="300"/>
          <w:jc w:val="center"/>
        </w:trPr>
        <w:tc>
          <w:tcPr>
            <w:tcW w:w="1740" w:type="dxa"/>
            <w:tcBorders>
              <w:top w:val="nil"/>
              <w:left w:val="nil"/>
              <w:bottom w:val="nil"/>
              <w:right w:val="nil"/>
            </w:tcBorders>
            <w:vAlign w:val="bottom"/>
          </w:tcPr>
          <w:p w14:paraId="0884AA40" w14:textId="5951AF78" w:rsidR="0034047D" w:rsidRPr="0040756C" w:rsidRDefault="007F15D5">
            <w:pPr>
              <w:keepNext/>
              <w:keepLines/>
              <w:rPr>
                <w:rFonts w:ascii="Times New Roman" w:eastAsia="Times New Roman" w:hAnsi="Times New Roman" w:cs="Times New Roman"/>
              </w:rPr>
            </w:pPr>
            <w:r>
              <w:rPr>
                <w:rFonts w:ascii="Times New Roman" w:eastAsia="Times New Roman" w:hAnsi="Times New Roman" w:cs="Times New Roman"/>
              </w:rPr>
              <w:t xml:space="preserve">Ozguel </w:t>
            </w:r>
            <w:r w:rsidRPr="007F15D5">
              <w:rPr>
                <w:rFonts w:ascii="Times New Roman" w:eastAsia="Times New Roman" w:hAnsi="Times New Roman" w:cs="Times New Roman"/>
                <w:vertAlign w:val="superscript"/>
              </w:rPr>
              <w:t>39</w:t>
            </w:r>
            <w:r w:rsidR="0040756C">
              <w:rPr>
                <w:rFonts w:ascii="Times New Roman" w:eastAsia="Times New Roman" w:hAnsi="Times New Roman" w:cs="Times New Roman"/>
              </w:rPr>
              <w:t>, 2016</w:t>
            </w:r>
          </w:p>
        </w:tc>
        <w:tc>
          <w:tcPr>
            <w:tcW w:w="645" w:type="dxa"/>
            <w:tcBorders>
              <w:top w:val="nil"/>
              <w:left w:val="nil"/>
              <w:bottom w:val="nil"/>
              <w:right w:val="nil"/>
            </w:tcBorders>
            <w:vAlign w:val="bottom"/>
          </w:tcPr>
          <w:p w14:paraId="648411AB" w14:textId="4F1462E3" w:rsidR="0034047D" w:rsidRDefault="00EF0706">
            <w:pPr>
              <w:keepNext/>
              <w:keepLines/>
              <w:jc w:val="center"/>
              <w:rPr>
                <w:rFonts w:ascii="Times New Roman" w:eastAsia="Times New Roman" w:hAnsi="Times New Roman" w:cs="Times New Roman"/>
              </w:rPr>
            </w:pPr>
            <w:r>
              <w:rPr>
                <w:rFonts w:ascii="Times New Roman" w:eastAsia="Times New Roman" w:hAnsi="Times New Roman" w:cs="Times New Roman"/>
              </w:rPr>
              <w:t>30</w:t>
            </w:r>
          </w:p>
        </w:tc>
        <w:tc>
          <w:tcPr>
            <w:tcW w:w="1020" w:type="dxa"/>
            <w:tcBorders>
              <w:top w:val="nil"/>
              <w:left w:val="nil"/>
              <w:bottom w:val="nil"/>
              <w:right w:val="nil"/>
            </w:tcBorders>
            <w:vAlign w:val="bottom"/>
          </w:tcPr>
          <w:p w14:paraId="39A6C4B5" w14:textId="32C8E99F" w:rsidR="0034047D" w:rsidRDefault="00EF0706">
            <w:pPr>
              <w:keepNext/>
              <w:keepLines/>
              <w:jc w:val="center"/>
              <w:rPr>
                <w:rFonts w:ascii="Times New Roman" w:eastAsia="Times New Roman" w:hAnsi="Times New Roman" w:cs="Times New Roman"/>
              </w:rPr>
            </w:pPr>
            <w:r>
              <w:rPr>
                <w:rFonts w:ascii="Times New Roman" w:eastAsia="Times New Roman" w:hAnsi="Times New Roman" w:cs="Times New Roman"/>
              </w:rPr>
              <w:t>71.4</w:t>
            </w:r>
          </w:p>
        </w:tc>
        <w:tc>
          <w:tcPr>
            <w:tcW w:w="1065" w:type="dxa"/>
            <w:tcBorders>
              <w:top w:val="nil"/>
              <w:left w:val="nil"/>
              <w:bottom w:val="nil"/>
              <w:right w:val="nil"/>
            </w:tcBorders>
            <w:vAlign w:val="bottom"/>
          </w:tcPr>
          <w:p w14:paraId="4DD529B2" w14:textId="7489A85F" w:rsidR="0034047D" w:rsidRDefault="00EF0706">
            <w:pPr>
              <w:keepNext/>
              <w:keepLines/>
              <w:jc w:val="center"/>
              <w:rPr>
                <w:rFonts w:ascii="Times New Roman" w:eastAsia="Times New Roman" w:hAnsi="Times New Roman" w:cs="Times New Roman"/>
              </w:rPr>
            </w:pPr>
            <w:r>
              <w:rPr>
                <w:rFonts w:ascii="Times New Roman" w:eastAsia="Times New Roman" w:hAnsi="Times New Roman" w:cs="Times New Roman"/>
              </w:rPr>
              <w:t>30</w:t>
            </w:r>
          </w:p>
        </w:tc>
        <w:tc>
          <w:tcPr>
            <w:tcW w:w="1035" w:type="dxa"/>
            <w:tcBorders>
              <w:top w:val="nil"/>
              <w:left w:val="nil"/>
              <w:bottom w:val="nil"/>
              <w:right w:val="nil"/>
            </w:tcBorders>
            <w:vAlign w:val="bottom"/>
          </w:tcPr>
          <w:p w14:paraId="05AD789F" w14:textId="0AF77F45" w:rsidR="0034047D" w:rsidRDefault="00495DF3">
            <w:pPr>
              <w:keepNext/>
              <w:keepLines/>
              <w:jc w:val="center"/>
              <w:rPr>
                <w:rFonts w:ascii="Times New Roman" w:eastAsia="Times New Roman" w:hAnsi="Times New Roman" w:cs="Times New Roman"/>
              </w:rPr>
            </w:pPr>
            <w:r>
              <w:rPr>
                <w:rFonts w:ascii="Times New Roman" w:eastAsia="Times New Roman" w:hAnsi="Times New Roman" w:cs="Times New Roman"/>
              </w:rPr>
              <w:t>6</w:t>
            </w:r>
          </w:p>
        </w:tc>
        <w:tc>
          <w:tcPr>
            <w:tcW w:w="1050" w:type="dxa"/>
            <w:tcBorders>
              <w:top w:val="nil"/>
              <w:left w:val="nil"/>
              <w:bottom w:val="nil"/>
              <w:right w:val="nil"/>
            </w:tcBorders>
            <w:vAlign w:val="bottom"/>
          </w:tcPr>
          <w:p w14:paraId="6AF90EE7" w14:textId="08E2637E" w:rsidR="0034047D" w:rsidRDefault="00495DF3">
            <w:pPr>
              <w:keepNext/>
              <w:keepLines/>
              <w:jc w:val="center"/>
              <w:rPr>
                <w:rFonts w:ascii="Times New Roman" w:eastAsia="Times New Roman" w:hAnsi="Times New Roman" w:cs="Times New Roman"/>
              </w:rPr>
            </w:pPr>
            <w:r>
              <w:rPr>
                <w:rFonts w:ascii="Times New Roman" w:eastAsia="Times New Roman" w:hAnsi="Times New Roman" w:cs="Times New Roman"/>
              </w:rPr>
              <w:t>No (MS)</w:t>
            </w:r>
          </w:p>
        </w:tc>
        <w:tc>
          <w:tcPr>
            <w:tcW w:w="675" w:type="dxa"/>
            <w:tcBorders>
              <w:top w:val="nil"/>
              <w:left w:val="nil"/>
              <w:bottom w:val="nil"/>
              <w:right w:val="nil"/>
            </w:tcBorders>
            <w:vAlign w:val="bottom"/>
          </w:tcPr>
          <w:p w14:paraId="6FBD9506" w14:textId="4A4D6BF6" w:rsidR="0034047D" w:rsidRDefault="00495DF3">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155" w:type="dxa"/>
            <w:tcBorders>
              <w:top w:val="nil"/>
              <w:left w:val="nil"/>
              <w:bottom w:val="nil"/>
              <w:right w:val="nil"/>
            </w:tcBorders>
            <w:vAlign w:val="bottom"/>
          </w:tcPr>
          <w:p w14:paraId="570AF09A" w14:textId="58980722" w:rsidR="0034047D" w:rsidRDefault="00495DF3">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tcBorders>
              <w:top w:val="nil"/>
              <w:left w:val="nil"/>
              <w:bottom w:val="nil"/>
              <w:right w:val="nil"/>
            </w:tcBorders>
            <w:vAlign w:val="bottom"/>
          </w:tcPr>
          <w:p w14:paraId="59BD33AA" w14:textId="74989484" w:rsidR="0034047D" w:rsidRDefault="00A777AF">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3E959EB6" w14:textId="77777777">
        <w:trPr>
          <w:trHeight w:val="300"/>
          <w:jc w:val="center"/>
        </w:trPr>
        <w:tc>
          <w:tcPr>
            <w:tcW w:w="1740" w:type="dxa"/>
            <w:tcBorders>
              <w:top w:val="nil"/>
              <w:left w:val="nil"/>
              <w:bottom w:val="nil"/>
              <w:right w:val="nil"/>
            </w:tcBorders>
            <w:vAlign w:val="bottom"/>
          </w:tcPr>
          <w:p w14:paraId="0BC8C8D9" w14:textId="58DDC52B"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Raval </w:t>
            </w:r>
            <w:r w:rsidR="00CC6233">
              <w:rPr>
                <w:rFonts w:ascii="Times New Roman" w:eastAsia="Times New Roman" w:hAnsi="Times New Roman" w:cs="Times New Roman"/>
                <w:vertAlign w:val="superscript"/>
              </w:rPr>
              <w:t>46</w:t>
            </w:r>
            <w:r>
              <w:rPr>
                <w:rFonts w:ascii="Times New Roman" w:eastAsia="Times New Roman" w:hAnsi="Times New Roman" w:cs="Times New Roman"/>
              </w:rPr>
              <w:t xml:space="preserve">†, 2016 </w:t>
            </w:r>
          </w:p>
        </w:tc>
        <w:tc>
          <w:tcPr>
            <w:tcW w:w="645" w:type="dxa"/>
            <w:tcBorders>
              <w:top w:val="nil"/>
              <w:left w:val="nil"/>
              <w:bottom w:val="nil"/>
              <w:right w:val="nil"/>
            </w:tcBorders>
            <w:vAlign w:val="bottom"/>
          </w:tcPr>
          <w:p w14:paraId="30CDF3DE"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49</w:t>
            </w:r>
          </w:p>
        </w:tc>
        <w:tc>
          <w:tcPr>
            <w:tcW w:w="1020" w:type="dxa"/>
            <w:tcBorders>
              <w:top w:val="nil"/>
              <w:left w:val="nil"/>
              <w:bottom w:val="nil"/>
              <w:right w:val="nil"/>
            </w:tcBorders>
            <w:vAlign w:val="bottom"/>
          </w:tcPr>
          <w:p w14:paraId="6811469D"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83.3</w:t>
            </w:r>
          </w:p>
        </w:tc>
        <w:tc>
          <w:tcPr>
            <w:tcW w:w="1065" w:type="dxa"/>
            <w:tcBorders>
              <w:top w:val="nil"/>
              <w:left w:val="nil"/>
              <w:bottom w:val="nil"/>
              <w:right w:val="nil"/>
            </w:tcBorders>
            <w:vAlign w:val="bottom"/>
          </w:tcPr>
          <w:p w14:paraId="79CEF35C"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19.3</w:t>
            </w:r>
          </w:p>
        </w:tc>
        <w:tc>
          <w:tcPr>
            <w:tcW w:w="1035" w:type="dxa"/>
            <w:tcBorders>
              <w:top w:val="nil"/>
              <w:left w:val="nil"/>
              <w:bottom w:val="nil"/>
              <w:right w:val="nil"/>
            </w:tcBorders>
            <w:vAlign w:val="bottom"/>
          </w:tcPr>
          <w:p w14:paraId="135B1A11"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24</w:t>
            </w:r>
          </w:p>
        </w:tc>
        <w:tc>
          <w:tcPr>
            <w:tcW w:w="1050" w:type="dxa"/>
            <w:tcBorders>
              <w:top w:val="nil"/>
              <w:left w:val="nil"/>
              <w:bottom w:val="nil"/>
              <w:right w:val="nil"/>
            </w:tcBorders>
            <w:vAlign w:val="bottom"/>
          </w:tcPr>
          <w:p w14:paraId="2903CB94"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 (MS)</w:t>
            </w:r>
          </w:p>
        </w:tc>
        <w:tc>
          <w:tcPr>
            <w:tcW w:w="675" w:type="dxa"/>
            <w:tcBorders>
              <w:top w:val="nil"/>
              <w:left w:val="nil"/>
              <w:bottom w:val="nil"/>
              <w:right w:val="nil"/>
            </w:tcBorders>
            <w:vAlign w:val="bottom"/>
          </w:tcPr>
          <w:p w14:paraId="11A5B899"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155" w:type="dxa"/>
            <w:tcBorders>
              <w:top w:val="nil"/>
              <w:left w:val="nil"/>
              <w:bottom w:val="nil"/>
              <w:right w:val="nil"/>
            </w:tcBorders>
            <w:vAlign w:val="bottom"/>
          </w:tcPr>
          <w:p w14:paraId="1DA7722B"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tcBorders>
              <w:top w:val="nil"/>
              <w:left w:val="nil"/>
              <w:bottom w:val="nil"/>
              <w:right w:val="nil"/>
            </w:tcBorders>
            <w:vAlign w:val="bottom"/>
          </w:tcPr>
          <w:p w14:paraId="3BD39205"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01C2CA34" w14:textId="77777777">
        <w:trPr>
          <w:trHeight w:val="300"/>
          <w:jc w:val="center"/>
        </w:trPr>
        <w:tc>
          <w:tcPr>
            <w:tcW w:w="1740" w:type="dxa"/>
            <w:vAlign w:val="bottom"/>
          </w:tcPr>
          <w:p w14:paraId="1C57EA24" w14:textId="337300C0"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Yutaka </w:t>
            </w:r>
            <w:r w:rsidR="00C0609B">
              <w:rPr>
                <w:rFonts w:ascii="Times New Roman" w:eastAsia="Times New Roman" w:hAnsi="Times New Roman" w:cs="Times New Roman"/>
                <w:vertAlign w:val="superscript"/>
              </w:rPr>
              <w:t>55</w:t>
            </w:r>
            <w:r>
              <w:rPr>
                <w:rFonts w:ascii="Times New Roman" w:eastAsia="Times New Roman" w:hAnsi="Times New Roman" w:cs="Times New Roman"/>
              </w:rPr>
              <w:t>, 2021</w:t>
            </w:r>
          </w:p>
        </w:tc>
        <w:tc>
          <w:tcPr>
            <w:tcW w:w="645" w:type="dxa"/>
            <w:vAlign w:val="bottom"/>
          </w:tcPr>
          <w:p w14:paraId="73BE3227" w14:textId="77777777" w:rsidR="00245E4F" w:rsidRPr="00B104B1" w:rsidRDefault="00000000">
            <w:pPr>
              <w:keepNext/>
              <w:keepLines/>
              <w:jc w:val="center"/>
              <w:rPr>
                <w:rFonts w:ascii="Times New Roman" w:eastAsia="Times New Roman" w:hAnsi="Times New Roman" w:cs="Times New Roman"/>
              </w:rPr>
            </w:pPr>
            <w:sdt>
              <w:sdtPr>
                <w:rPr>
                  <w:rFonts w:ascii="Times New Roman" w:hAnsi="Times New Roman" w:cs="Times New Roman"/>
                </w:rPr>
                <w:tag w:val="goog_rdk_7"/>
                <w:id w:val="667673377"/>
              </w:sdtPr>
              <w:sdtContent>
                <w:r w:rsidRPr="00B104B1">
                  <w:rPr>
                    <w:rFonts w:ascii="Times New Roman" w:eastAsia="Gungsuh" w:hAnsi="Times New Roman" w:cs="Times New Roman"/>
                  </w:rPr>
                  <w:t>100</w:t>
                </w:r>
                <w:r w:rsidRPr="00B104B1">
                  <w:rPr>
                    <w:rFonts w:ascii="Cambria Math" w:eastAsia="Gungsuh" w:hAnsi="Cambria Math" w:cs="Cambria Math"/>
                  </w:rPr>
                  <w:t>∥</w:t>
                </w:r>
              </w:sdtContent>
            </w:sdt>
          </w:p>
        </w:tc>
        <w:tc>
          <w:tcPr>
            <w:tcW w:w="1020" w:type="dxa"/>
            <w:vAlign w:val="bottom"/>
          </w:tcPr>
          <w:p w14:paraId="62970285" w14:textId="77777777" w:rsidR="00245E4F" w:rsidRPr="00B104B1" w:rsidRDefault="00000000">
            <w:pPr>
              <w:keepNext/>
              <w:keepLines/>
              <w:jc w:val="center"/>
              <w:rPr>
                <w:rFonts w:ascii="Times New Roman" w:eastAsia="Times New Roman" w:hAnsi="Times New Roman" w:cs="Times New Roman"/>
              </w:rPr>
            </w:pPr>
            <w:r w:rsidRPr="00B104B1">
              <w:rPr>
                <w:rFonts w:ascii="Times New Roman" w:eastAsia="Times New Roman" w:hAnsi="Times New Roman" w:cs="Times New Roman"/>
              </w:rPr>
              <w:t>74.9</w:t>
            </w:r>
          </w:p>
        </w:tc>
        <w:tc>
          <w:tcPr>
            <w:tcW w:w="1065" w:type="dxa"/>
            <w:vAlign w:val="bottom"/>
          </w:tcPr>
          <w:p w14:paraId="56488800" w14:textId="77777777" w:rsidR="00245E4F" w:rsidRPr="00B104B1" w:rsidRDefault="00000000">
            <w:pPr>
              <w:keepNext/>
              <w:keepLines/>
              <w:jc w:val="center"/>
              <w:rPr>
                <w:rFonts w:ascii="Times New Roman" w:eastAsia="Times New Roman" w:hAnsi="Times New Roman" w:cs="Times New Roman"/>
              </w:rPr>
            </w:pPr>
            <w:r w:rsidRPr="00B104B1">
              <w:rPr>
                <w:rFonts w:ascii="Times New Roman" w:eastAsia="Times New Roman" w:hAnsi="Times New Roman" w:cs="Times New Roman"/>
              </w:rPr>
              <w:t>19.4</w:t>
            </w:r>
          </w:p>
        </w:tc>
        <w:tc>
          <w:tcPr>
            <w:tcW w:w="1035" w:type="dxa"/>
            <w:vAlign w:val="bottom"/>
          </w:tcPr>
          <w:p w14:paraId="3796401E" w14:textId="77777777" w:rsidR="00245E4F" w:rsidRPr="00B104B1" w:rsidRDefault="00000000">
            <w:pPr>
              <w:keepNext/>
              <w:keepLines/>
              <w:jc w:val="center"/>
              <w:rPr>
                <w:rFonts w:ascii="Times New Roman" w:eastAsia="Times New Roman" w:hAnsi="Times New Roman" w:cs="Times New Roman"/>
              </w:rPr>
            </w:pPr>
            <w:r w:rsidRPr="00B104B1">
              <w:rPr>
                <w:rFonts w:ascii="Times New Roman" w:eastAsia="Times New Roman" w:hAnsi="Times New Roman" w:cs="Times New Roman"/>
              </w:rPr>
              <w:t>19</w:t>
            </w:r>
          </w:p>
        </w:tc>
        <w:tc>
          <w:tcPr>
            <w:tcW w:w="1050" w:type="dxa"/>
            <w:vAlign w:val="bottom"/>
          </w:tcPr>
          <w:p w14:paraId="1A2689C1" w14:textId="77777777" w:rsidR="00245E4F" w:rsidRPr="00B104B1" w:rsidRDefault="00000000">
            <w:pPr>
              <w:keepNext/>
              <w:keepLines/>
              <w:jc w:val="center"/>
              <w:rPr>
                <w:rFonts w:ascii="Times New Roman" w:eastAsia="Times New Roman" w:hAnsi="Times New Roman" w:cs="Times New Roman"/>
              </w:rPr>
            </w:pPr>
            <w:r w:rsidRPr="00B104B1">
              <w:rPr>
                <w:rFonts w:ascii="Times New Roman" w:eastAsia="Times New Roman" w:hAnsi="Times New Roman" w:cs="Times New Roman"/>
              </w:rPr>
              <w:t>No (LA)</w:t>
            </w:r>
          </w:p>
        </w:tc>
        <w:tc>
          <w:tcPr>
            <w:tcW w:w="675" w:type="dxa"/>
            <w:vAlign w:val="bottom"/>
          </w:tcPr>
          <w:p w14:paraId="537F7632" w14:textId="77777777" w:rsidR="00245E4F" w:rsidRPr="00B104B1" w:rsidRDefault="00000000">
            <w:pPr>
              <w:keepNext/>
              <w:keepLines/>
              <w:jc w:val="center"/>
              <w:rPr>
                <w:rFonts w:ascii="Times New Roman" w:eastAsia="Times New Roman" w:hAnsi="Times New Roman" w:cs="Times New Roman"/>
              </w:rPr>
            </w:pPr>
            <w:r w:rsidRPr="00B104B1">
              <w:rPr>
                <w:rFonts w:ascii="Times New Roman" w:eastAsia="Times New Roman" w:hAnsi="Times New Roman" w:cs="Times New Roman"/>
              </w:rPr>
              <w:t>No</w:t>
            </w:r>
          </w:p>
        </w:tc>
        <w:tc>
          <w:tcPr>
            <w:tcW w:w="1155" w:type="dxa"/>
            <w:vAlign w:val="bottom"/>
          </w:tcPr>
          <w:p w14:paraId="5BE64822" w14:textId="77777777" w:rsidR="00245E4F" w:rsidRPr="00B104B1" w:rsidRDefault="00000000">
            <w:pPr>
              <w:keepNext/>
              <w:keepLines/>
              <w:jc w:val="center"/>
              <w:rPr>
                <w:rFonts w:ascii="Times New Roman" w:eastAsia="Times New Roman" w:hAnsi="Times New Roman" w:cs="Times New Roman"/>
              </w:rPr>
            </w:pPr>
            <w:r w:rsidRPr="00B104B1">
              <w:rPr>
                <w:rFonts w:ascii="Times New Roman" w:eastAsia="Times New Roman" w:hAnsi="Times New Roman" w:cs="Times New Roman"/>
              </w:rPr>
              <w:t>No</w:t>
            </w:r>
          </w:p>
        </w:tc>
        <w:tc>
          <w:tcPr>
            <w:tcW w:w="1365" w:type="dxa"/>
            <w:vAlign w:val="bottom"/>
          </w:tcPr>
          <w:p w14:paraId="2C6A36BD"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1EBED4B5" w14:textId="77777777">
        <w:trPr>
          <w:trHeight w:val="300"/>
          <w:jc w:val="center"/>
        </w:trPr>
        <w:tc>
          <w:tcPr>
            <w:tcW w:w="1740" w:type="dxa"/>
            <w:vAlign w:val="bottom"/>
          </w:tcPr>
          <w:p w14:paraId="28D3E2B1" w14:textId="48815555" w:rsidR="00245E4F" w:rsidRDefault="000E65D7">
            <w:pPr>
              <w:keepNext/>
              <w:keepLines/>
              <w:rPr>
                <w:rFonts w:ascii="Times New Roman" w:eastAsia="Times New Roman" w:hAnsi="Times New Roman" w:cs="Times New Roman"/>
              </w:rPr>
            </w:pPr>
            <w:r>
              <w:rPr>
                <w:rFonts w:ascii="Times New Roman" w:eastAsia="Times New Roman" w:hAnsi="Times New Roman" w:cs="Times New Roman"/>
              </w:rPr>
              <w:t xml:space="preserve">Oh </w:t>
            </w:r>
            <w:r w:rsidR="0071087A">
              <w:rPr>
                <w:rFonts w:ascii="Times New Roman" w:eastAsia="Times New Roman" w:hAnsi="Times New Roman" w:cs="Times New Roman"/>
                <w:vertAlign w:val="superscript"/>
              </w:rPr>
              <w:t>56</w:t>
            </w:r>
            <w:r>
              <w:rPr>
                <w:rFonts w:ascii="Times New Roman" w:eastAsia="Times New Roman" w:hAnsi="Times New Roman" w:cs="Times New Roman"/>
              </w:rPr>
              <w:t>, 2021</w:t>
            </w:r>
          </w:p>
        </w:tc>
        <w:tc>
          <w:tcPr>
            <w:tcW w:w="645" w:type="dxa"/>
            <w:vAlign w:val="bottom"/>
          </w:tcPr>
          <w:p w14:paraId="63AC63D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29</w:t>
            </w:r>
          </w:p>
        </w:tc>
        <w:tc>
          <w:tcPr>
            <w:tcW w:w="1020" w:type="dxa"/>
            <w:vAlign w:val="bottom"/>
          </w:tcPr>
          <w:p w14:paraId="677E064A"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58.6</w:t>
            </w:r>
          </w:p>
        </w:tc>
        <w:tc>
          <w:tcPr>
            <w:tcW w:w="1065" w:type="dxa"/>
            <w:vAlign w:val="bottom"/>
          </w:tcPr>
          <w:p w14:paraId="68C43C04"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25.2</w:t>
            </w:r>
          </w:p>
        </w:tc>
        <w:tc>
          <w:tcPr>
            <w:tcW w:w="1035" w:type="dxa"/>
            <w:vAlign w:val="bottom"/>
          </w:tcPr>
          <w:p w14:paraId="4B3F5E5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ND</w:t>
            </w:r>
          </w:p>
        </w:tc>
        <w:tc>
          <w:tcPr>
            <w:tcW w:w="1050" w:type="dxa"/>
            <w:vAlign w:val="bottom"/>
          </w:tcPr>
          <w:p w14:paraId="5911FC6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 (MS)</w:t>
            </w:r>
          </w:p>
        </w:tc>
        <w:tc>
          <w:tcPr>
            <w:tcW w:w="675" w:type="dxa"/>
            <w:vAlign w:val="bottom"/>
          </w:tcPr>
          <w:p w14:paraId="220BDC7F"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155" w:type="dxa"/>
            <w:vAlign w:val="bottom"/>
          </w:tcPr>
          <w:p w14:paraId="3C16C403"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vAlign w:val="bottom"/>
          </w:tcPr>
          <w:p w14:paraId="506A72B1"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6B6C6577" w14:textId="77777777">
        <w:trPr>
          <w:trHeight w:val="300"/>
          <w:jc w:val="center"/>
        </w:trPr>
        <w:tc>
          <w:tcPr>
            <w:tcW w:w="1740" w:type="dxa"/>
            <w:vAlign w:val="bottom"/>
          </w:tcPr>
          <w:p w14:paraId="19F2E685" w14:textId="203210F2"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xml:space="preserve">Kim </w:t>
            </w:r>
            <w:r w:rsidR="001A0AA0">
              <w:rPr>
                <w:rFonts w:ascii="Times New Roman" w:eastAsia="Times New Roman" w:hAnsi="Times New Roman" w:cs="Times New Roman"/>
                <w:vertAlign w:val="superscript"/>
              </w:rPr>
              <w:t>57</w:t>
            </w:r>
            <w:r>
              <w:rPr>
                <w:rFonts w:ascii="Times New Roman" w:eastAsia="Times New Roman" w:hAnsi="Times New Roman" w:cs="Times New Roman"/>
              </w:rPr>
              <w:t>, 2022</w:t>
            </w:r>
          </w:p>
        </w:tc>
        <w:tc>
          <w:tcPr>
            <w:tcW w:w="645" w:type="dxa"/>
            <w:vAlign w:val="bottom"/>
          </w:tcPr>
          <w:p w14:paraId="168229BA"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94</w:t>
            </w:r>
          </w:p>
        </w:tc>
        <w:tc>
          <w:tcPr>
            <w:tcW w:w="1020" w:type="dxa"/>
            <w:vAlign w:val="bottom"/>
          </w:tcPr>
          <w:p w14:paraId="1A877AE5"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81.5</w:t>
            </w:r>
          </w:p>
        </w:tc>
        <w:tc>
          <w:tcPr>
            <w:tcW w:w="1065" w:type="dxa"/>
            <w:vAlign w:val="bottom"/>
          </w:tcPr>
          <w:p w14:paraId="5A82711E"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34.3</w:t>
            </w:r>
          </w:p>
        </w:tc>
        <w:tc>
          <w:tcPr>
            <w:tcW w:w="1035" w:type="dxa"/>
            <w:vAlign w:val="bottom"/>
          </w:tcPr>
          <w:p w14:paraId="593A6224"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ND</w:t>
            </w:r>
          </w:p>
        </w:tc>
        <w:tc>
          <w:tcPr>
            <w:tcW w:w="1050" w:type="dxa"/>
            <w:vAlign w:val="bottom"/>
          </w:tcPr>
          <w:p w14:paraId="2FD3DB8A"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Yes</w:t>
            </w:r>
          </w:p>
        </w:tc>
        <w:tc>
          <w:tcPr>
            <w:tcW w:w="675" w:type="dxa"/>
            <w:vAlign w:val="bottom"/>
          </w:tcPr>
          <w:p w14:paraId="6D9A1C84"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155" w:type="dxa"/>
            <w:vAlign w:val="bottom"/>
          </w:tcPr>
          <w:p w14:paraId="4C44D68F"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c>
          <w:tcPr>
            <w:tcW w:w="1365" w:type="dxa"/>
            <w:vAlign w:val="bottom"/>
          </w:tcPr>
          <w:p w14:paraId="07E8074A"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w:t>
            </w:r>
          </w:p>
        </w:tc>
      </w:tr>
      <w:tr w:rsidR="00245E4F" w14:paraId="41AF6CAD" w14:textId="77777777">
        <w:trPr>
          <w:trHeight w:val="825"/>
          <w:jc w:val="center"/>
        </w:trPr>
        <w:tc>
          <w:tcPr>
            <w:tcW w:w="9750" w:type="dxa"/>
            <w:gridSpan w:val="9"/>
            <w:tcBorders>
              <w:top w:val="single" w:sz="4" w:space="0" w:color="000000"/>
              <w:left w:val="nil"/>
              <w:bottom w:val="nil"/>
              <w:right w:val="nil"/>
            </w:tcBorders>
            <w:shd w:val="clear" w:color="auto" w:fill="FFFFFF"/>
            <w:vAlign w:val="bottom"/>
          </w:tcPr>
          <w:p w14:paraId="387D804A"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Notes: ENB, Electromagnetic navigational bronchoscopy; ROSE, rapid on-site evaluation; r-EBUS, radial endobronchial ultrasound; MS, moderate sedation; LA, local anesthesia; ND, not mentioned</w:t>
            </w:r>
          </w:p>
        </w:tc>
      </w:tr>
      <w:tr w:rsidR="00245E4F" w14:paraId="7DD337FB" w14:textId="77777777">
        <w:trPr>
          <w:trHeight w:val="300"/>
          <w:jc w:val="center"/>
        </w:trPr>
        <w:tc>
          <w:tcPr>
            <w:tcW w:w="4470" w:type="dxa"/>
            <w:gridSpan w:val="4"/>
            <w:tcBorders>
              <w:top w:val="nil"/>
              <w:left w:val="nil"/>
              <w:bottom w:val="nil"/>
              <w:right w:val="nil"/>
            </w:tcBorders>
            <w:shd w:val="clear" w:color="auto" w:fill="FFFFFF"/>
            <w:vAlign w:val="bottom"/>
          </w:tcPr>
          <w:p w14:paraId="01E901DE" w14:textId="77777777" w:rsidR="00245E4F" w:rsidRDefault="00000000">
            <w:pPr>
              <w:keepNext/>
              <w:keepLines/>
              <w:rPr>
                <w:rFonts w:ascii="Times New Roman" w:eastAsia="Times New Roman" w:hAnsi="Times New Roman" w:cs="Times New Roman"/>
              </w:rPr>
            </w:pPr>
            <w:r>
              <w:rPr>
                <w:rFonts w:ascii="Times New Roman" w:eastAsia="Times New Roman" w:hAnsi="Times New Roman" w:cs="Times New Roman"/>
              </w:rPr>
              <w:t>* 50%/50% Nitrous oxide/Oxygen mixture</w:t>
            </w:r>
          </w:p>
        </w:tc>
        <w:tc>
          <w:tcPr>
            <w:tcW w:w="1035" w:type="dxa"/>
            <w:tcBorders>
              <w:top w:val="nil"/>
              <w:left w:val="nil"/>
              <w:bottom w:val="nil"/>
              <w:right w:val="nil"/>
            </w:tcBorders>
            <w:shd w:val="clear" w:color="auto" w:fill="FFFFFF"/>
            <w:vAlign w:val="bottom"/>
          </w:tcPr>
          <w:p w14:paraId="62F94D08"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 </w:t>
            </w:r>
          </w:p>
        </w:tc>
        <w:tc>
          <w:tcPr>
            <w:tcW w:w="1050" w:type="dxa"/>
            <w:tcBorders>
              <w:top w:val="nil"/>
              <w:left w:val="nil"/>
              <w:bottom w:val="nil"/>
              <w:right w:val="nil"/>
            </w:tcBorders>
            <w:shd w:val="clear" w:color="auto" w:fill="FFFFFF"/>
            <w:vAlign w:val="bottom"/>
          </w:tcPr>
          <w:p w14:paraId="110D0C45"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 </w:t>
            </w:r>
          </w:p>
        </w:tc>
        <w:tc>
          <w:tcPr>
            <w:tcW w:w="675" w:type="dxa"/>
            <w:tcBorders>
              <w:top w:val="nil"/>
              <w:left w:val="nil"/>
              <w:bottom w:val="nil"/>
              <w:right w:val="nil"/>
            </w:tcBorders>
            <w:shd w:val="clear" w:color="auto" w:fill="FFFFFF"/>
            <w:vAlign w:val="bottom"/>
          </w:tcPr>
          <w:p w14:paraId="3C9C6DD0"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 </w:t>
            </w:r>
          </w:p>
        </w:tc>
        <w:tc>
          <w:tcPr>
            <w:tcW w:w="1155" w:type="dxa"/>
            <w:tcBorders>
              <w:top w:val="nil"/>
              <w:left w:val="nil"/>
              <w:bottom w:val="nil"/>
              <w:right w:val="nil"/>
            </w:tcBorders>
            <w:shd w:val="clear" w:color="auto" w:fill="FFFFFF"/>
            <w:vAlign w:val="bottom"/>
          </w:tcPr>
          <w:p w14:paraId="582D879F"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 </w:t>
            </w:r>
          </w:p>
        </w:tc>
        <w:tc>
          <w:tcPr>
            <w:tcW w:w="1365" w:type="dxa"/>
            <w:tcBorders>
              <w:top w:val="nil"/>
              <w:left w:val="nil"/>
              <w:bottom w:val="nil"/>
              <w:right w:val="nil"/>
            </w:tcBorders>
            <w:shd w:val="clear" w:color="auto" w:fill="FFFFFF"/>
            <w:vAlign w:val="bottom"/>
          </w:tcPr>
          <w:p w14:paraId="65B8CE67" w14:textId="77777777" w:rsidR="00245E4F" w:rsidRDefault="00000000">
            <w:pPr>
              <w:keepNext/>
              <w:keepLines/>
              <w:jc w:val="center"/>
              <w:rPr>
                <w:rFonts w:ascii="Times New Roman" w:eastAsia="Times New Roman" w:hAnsi="Times New Roman" w:cs="Times New Roman"/>
              </w:rPr>
            </w:pPr>
            <w:r>
              <w:rPr>
                <w:rFonts w:ascii="Times New Roman" w:eastAsia="Times New Roman" w:hAnsi="Times New Roman" w:cs="Times New Roman"/>
              </w:rPr>
              <w:t> </w:t>
            </w:r>
          </w:p>
        </w:tc>
      </w:tr>
      <w:tr w:rsidR="00245E4F" w14:paraId="481C0472" w14:textId="77777777">
        <w:trPr>
          <w:trHeight w:val="300"/>
          <w:jc w:val="center"/>
        </w:trPr>
        <w:tc>
          <w:tcPr>
            <w:tcW w:w="4470" w:type="dxa"/>
            <w:gridSpan w:val="4"/>
            <w:tcBorders>
              <w:top w:val="nil"/>
              <w:left w:val="nil"/>
              <w:bottom w:val="nil"/>
              <w:right w:val="nil"/>
            </w:tcBorders>
            <w:shd w:val="clear" w:color="auto" w:fill="FFFFFF"/>
            <w:vAlign w:val="bottom"/>
          </w:tcPr>
          <w:p w14:paraId="2B178DF9" w14:textId="77777777" w:rsidR="00245E4F" w:rsidRPr="006A6B12" w:rsidRDefault="00000000">
            <w:pPr>
              <w:keepNext/>
              <w:keepLines/>
              <w:rPr>
                <w:rFonts w:ascii="Times New Roman" w:eastAsia="Times New Roman" w:hAnsi="Times New Roman" w:cs="Times New Roman"/>
              </w:rPr>
            </w:pPr>
            <w:r w:rsidRPr="006A6B12">
              <w:rPr>
                <w:rFonts w:ascii="Times New Roman" w:eastAsia="Times New Roman" w:hAnsi="Times New Roman" w:cs="Times New Roman"/>
              </w:rPr>
              <w:t>+A patient by radial endobronchial ultrasound</w:t>
            </w:r>
          </w:p>
        </w:tc>
        <w:tc>
          <w:tcPr>
            <w:tcW w:w="1035" w:type="dxa"/>
            <w:tcBorders>
              <w:top w:val="nil"/>
              <w:left w:val="nil"/>
              <w:bottom w:val="nil"/>
              <w:right w:val="nil"/>
            </w:tcBorders>
            <w:shd w:val="clear" w:color="auto" w:fill="FFFFFF"/>
            <w:vAlign w:val="bottom"/>
          </w:tcPr>
          <w:p w14:paraId="41AE519D" w14:textId="77777777" w:rsidR="00245E4F" w:rsidRDefault="00245E4F">
            <w:pPr>
              <w:keepNext/>
              <w:keepLines/>
              <w:jc w:val="center"/>
              <w:rPr>
                <w:rFonts w:ascii="Times New Roman" w:eastAsia="Times New Roman" w:hAnsi="Times New Roman" w:cs="Times New Roman"/>
              </w:rPr>
            </w:pPr>
          </w:p>
        </w:tc>
        <w:tc>
          <w:tcPr>
            <w:tcW w:w="1050" w:type="dxa"/>
            <w:tcBorders>
              <w:top w:val="nil"/>
              <w:left w:val="nil"/>
              <w:bottom w:val="nil"/>
              <w:right w:val="nil"/>
            </w:tcBorders>
            <w:shd w:val="clear" w:color="auto" w:fill="FFFFFF"/>
            <w:vAlign w:val="bottom"/>
          </w:tcPr>
          <w:p w14:paraId="577DCACD" w14:textId="77777777" w:rsidR="00245E4F" w:rsidRDefault="00245E4F">
            <w:pPr>
              <w:keepNext/>
              <w:keepLines/>
              <w:jc w:val="center"/>
              <w:rPr>
                <w:rFonts w:ascii="Times New Roman" w:eastAsia="Times New Roman" w:hAnsi="Times New Roman" w:cs="Times New Roman"/>
              </w:rPr>
            </w:pPr>
          </w:p>
        </w:tc>
        <w:tc>
          <w:tcPr>
            <w:tcW w:w="675" w:type="dxa"/>
            <w:tcBorders>
              <w:top w:val="nil"/>
              <w:left w:val="nil"/>
              <w:bottom w:val="nil"/>
              <w:right w:val="nil"/>
            </w:tcBorders>
            <w:shd w:val="clear" w:color="auto" w:fill="FFFFFF"/>
            <w:vAlign w:val="bottom"/>
          </w:tcPr>
          <w:p w14:paraId="0FDA015A" w14:textId="77777777" w:rsidR="00245E4F" w:rsidRDefault="00245E4F">
            <w:pPr>
              <w:keepNext/>
              <w:keepLines/>
              <w:jc w:val="center"/>
              <w:rPr>
                <w:rFonts w:ascii="Times New Roman" w:eastAsia="Times New Roman" w:hAnsi="Times New Roman" w:cs="Times New Roman"/>
              </w:rPr>
            </w:pPr>
          </w:p>
        </w:tc>
        <w:tc>
          <w:tcPr>
            <w:tcW w:w="1155" w:type="dxa"/>
            <w:tcBorders>
              <w:top w:val="nil"/>
              <w:left w:val="nil"/>
              <w:bottom w:val="nil"/>
              <w:right w:val="nil"/>
            </w:tcBorders>
            <w:shd w:val="clear" w:color="auto" w:fill="FFFFFF"/>
            <w:vAlign w:val="bottom"/>
          </w:tcPr>
          <w:p w14:paraId="39729C3B" w14:textId="77777777" w:rsidR="00245E4F" w:rsidRDefault="00245E4F">
            <w:pPr>
              <w:keepNext/>
              <w:keepLines/>
              <w:jc w:val="center"/>
              <w:rPr>
                <w:rFonts w:ascii="Times New Roman" w:eastAsia="Times New Roman" w:hAnsi="Times New Roman" w:cs="Times New Roman"/>
              </w:rPr>
            </w:pPr>
          </w:p>
        </w:tc>
        <w:tc>
          <w:tcPr>
            <w:tcW w:w="1365" w:type="dxa"/>
            <w:tcBorders>
              <w:top w:val="nil"/>
              <w:left w:val="nil"/>
              <w:bottom w:val="nil"/>
              <w:right w:val="nil"/>
            </w:tcBorders>
            <w:shd w:val="clear" w:color="auto" w:fill="FFFFFF"/>
            <w:vAlign w:val="bottom"/>
          </w:tcPr>
          <w:p w14:paraId="7CE068A9" w14:textId="77777777" w:rsidR="00245E4F" w:rsidRDefault="00245E4F">
            <w:pPr>
              <w:keepNext/>
              <w:keepLines/>
              <w:jc w:val="center"/>
              <w:rPr>
                <w:rFonts w:ascii="Times New Roman" w:eastAsia="Times New Roman" w:hAnsi="Times New Roman" w:cs="Times New Roman"/>
              </w:rPr>
            </w:pPr>
          </w:p>
        </w:tc>
      </w:tr>
      <w:tr w:rsidR="00245E4F" w14:paraId="00D452DE" w14:textId="77777777">
        <w:trPr>
          <w:trHeight w:val="300"/>
          <w:jc w:val="center"/>
        </w:trPr>
        <w:tc>
          <w:tcPr>
            <w:tcW w:w="9750" w:type="dxa"/>
            <w:gridSpan w:val="9"/>
            <w:tcBorders>
              <w:top w:val="nil"/>
              <w:left w:val="nil"/>
              <w:bottom w:val="nil"/>
              <w:right w:val="nil"/>
            </w:tcBorders>
            <w:shd w:val="clear" w:color="auto" w:fill="FFFFFF"/>
            <w:vAlign w:val="bottom"/>
          </w:tcPr>
          <w:p w14:paraId="75E3565D" w14:textId="77777777" w:rsidR="00245E4F" w:rsidRPr="006A6B12" w:rsidRDefault="00000000">
            <w:pPr>
              <w:keepNext/>
              <w:keepLines/>
              <w:rPr>
                <w:rFonts w:ascii="Times New Roman" w:eastAsia="Times New Roman" w:hAnsi="Times New Roman" w:cs="Times New Roman"/>
              </w:rPr>
            </w:pPr>
            <w:r w:rsidRPr="006A6B12">
              <w:rPr>
                <w:rFonts w:ascii="Times New Roman" w:eastAsia="Times New Roman" w:hAnsi="Times New Roman" w:cs="Times New Roman"/>
              </w:rPr>
              <w:t>† Study done using tidal volume expiration-mapped electromagnetic navigational bronchoscopy (Veran Medical Technologies)</w:t>
            </w:r>
          </w:p>
          <w:p w14:paraId="2D751C88" w14:textId="77777777" w:rsidR="00245E4F" w:rsidRPr="006A6B12" w:rsidRDefault="00000000">
            <w:pPr>
              <w:keepNext/>
              <w:keepLines/>
              <w:rPr>
                <w:rFonts w:ascii="Times New Roman" w:eastAsia="Times New Roman" w:hAnsi="Times New Roman" w:cs="Times New Roman"/>
              </w:rPr>
            </w:pPr>
            <w:sdt>
              <w:sdtPr>
                <w:rPr>
                  <w:rFonts w:ascii="Times New Roman" w:hAnsi="Times New Roman" w:cs="Times New Roman"/>
                </w:rPr>
                <w:tag w:val="goog_rdk_8"/>
                <w:id w:val="-600186258"/>
              </w:sdtPr>
              <w:sdtContent>
                <w:r w:rsidRPr="006A6B12">
                  <w:rPr>
                    <w:rFonts w:ascii="Cambria Math" w:eastAsia="Gungsuh" w:hAnsi="Cambria Math" w:cs="Cambria Math"/>
                  </w:rPr>
                  <w:t>∥</w:t>
                </w:r>
                <w:r w:rsidRPr="006A6B12">
                  <w:rPr>
                    <w:rFonts w:ascii="Times New Roman" w:eastAsia="Gungsuh" w:hAnsi="Times New Roman" w:cs="Times New Roman"/>
                  </w:rPr>
                  <w:t xml:space="preserve"> 100 lesions: 77 malignant, 23 benign</w:t>
                </w:r>
              </w:sdtContent>
            </w:sdt>
          </w:p>
        </w:tc>
      </w:tr>
    </w:tbl>
    <w:p w14:paraId="6C7BD0BC" w14:textId="77777777" w:rsidR="00245E4F" w:rsidRDefault="00245E4F">
      <w:pPr>
        <w:rPr>
          <w:rFonts w:ascii="Times New Roman" w:eastAsia="Times New Roman" w:hAnsi="Times New Roman" w:cs="Times New Roman"/>
        </w:rPr>
      </w:pPr>
    </w:p>
    <w:p w14:paraId="65039E14" w14:textId="77777777" w:rsidR="00245E4F" w:rsidRDefault="00245E4F">
      <w:pPr>
        <w:rPr>
          <w:rFonts w:ascii="Times New Roman" w:eastAsia="Times New Roman" w:hAnsi="Times New Roman" w:cs="Times New Roman"/>
        </w:rPr>
      </w:pPr>
    </w:p>
    <w:p w14:paraId="1B6DE4F6" w14:textId="77777777" w:rsidR="009B7B3E" w:rsidRDefault="009B7B3E">
      <w:pPr>
        <w:rPr>
          <w:rFonts w:ascii="Times New Roman" w:eastAsia="Times New Roman" w:hAnsi="Times New Roman" w:cs="Times New Roman"/>
          <w:b/>
        </w:rPr>
      </w:pPr>
      <w:r>
        <w:rPr>
          <w:rFonts w:ascii="Times New Roman" w:eastAsia="Times New Roman" w:hAnsi="Times New Roman" w:cs="Times New Roman"/>
          <w:b/>
        </w:rPr>
        <w:br w:type="page"/>
      </w:r>
    </w:p>
    <w:p w14:paraId="56D44C4A" w14:textId="38DE00EB" w:rsidR="00245E4F" w:rsidRPr="009B7B3E" w:rsidRDefault="00000000" w:rsidP="009B7B3E">
      <w:pPr>
        <w:jc w:val="center"/>
        <w:rPr>
          <w:rFonts w:ascii="Times New Roman" w:eastAsia="Times New Roman" w:hAnsi="Times New Roman" w:cs="Times New Roman"/>
          <w:b/>
          <w:bCs/>
        </w:rPr>
      </w:pPr>
      <w:r w:rsidRPr="009B7B3E">
        <w:rPr>
          <w:rFonts w:ascii="Times New Roman" w:eastAsia="Times New Roman" w:hAnsi="Times New Roman" w:cs="Times New Roman"/>
          <w:b/>
          <w:bCs/>
        </w:rPr>
        <w:lastRenderedPageBreak/>
        <w:t>References</w:t>
      </w:r>
    </w:p>
    <w:p w14:paraId="297FA9B9" w14:textId="77777777" w:rsidR="00245E4F" w:rsidRDefault="00000000" w:rsidP="006A6B12">
      <w:pPr>
        <w:spacing w:after="0"/>
        <w:jc w:val="both"/>
        <w:rPr>
          <w:rFonts w:ascii="Times New Roman" w:eastAsia="Times New Roman" w:hAnsi="Times New Roman" w:cs="Times New Roman"/>
        </w:rPr>
      </w:pPr>
      <w:r>
        <w:rPr>
          <w:rFonts w:ascii="Times New Roman" w:eastAsia="Times New Roman" w:hAnsi="Times New Roman" w:cs="Times New Roman"/>
        </w:rPr>
        <w:t>Schwarz Y, Greif J, Becker HD, Ernst A, Mehta A. Real-time electromagnetic navigation bronchoscopy to peripheral lung lesions using overlaid CT images: the first human study. Chest. 2006;129:988-94.</w:t>
      </w:r>
    </w:p>
    <w:p w14:paraId="336620FD" w14:textId="77777777" w:rsidR="006A6B12" w:rsidRDefault="006A6B12" w:rsidP="006A6B12">
      <w:pPr>
        <w:spacing w:after="0"/>
        <w:jc w:val="both"/>
        <w:rPr>
          <w:rFonts w:ascii="Times New Roman" w:eastAsia="Times New Roman" w:hAnsi="Times New Roman" w:cs="Times New Roman"/>
        </w:rPr>
      </w:pPr>
    </w:p>
    <w:p w14:paraId="219ED4D5" w14:textId="595BD779" w:rsidR="00245E4F" w:rsidRDefault="00000000" w:rsidP="006A6B12">
      <w:pPr>
        <w:spacing w:after="0"/>
        <w:jc w:val="both"/>
        <w:rPr>
          <w:rFonts w:ascii="Times New Roman" w:eastAsia="Times New Roman" w:hAnsi="Times New Roman" w:cs="Times New Roman"/>
        </w:rPr>
      </w:pPr>
      <w:r>
        <w:rPr>
          <w:rFonts w:ascii="Times New Roman" w:eastAsia="Times New Roman" w:hAnsi="Times New Roman" w:cs="Times New Roman"/>
        </w:rPr>
        <w:t>Eberhardt R, Anantham D, Herth F, Feller-Kopman D, Ernst A. Electromagnetic navigation diagnostic bronchoscopy in peripheral lung lesions. Chest. 2007;131 :1800-5.</w:t>
      </w:r>
    </w:p>
    <w:p w14:paraId="236D502E" w14:textId="77777777" w:rsidR="006A6B12" w:rsidRDefault="006A6B12" w:rsidP="006A6B12">
      <w:pPr>
        <w:spacing w:after="0"/>
        <w:jc w:val="both"/>
        <w:rPr>
          <w:rFonts w:ascii="Times New Roman" w:eastAsia="Times New Roman" w:hAnsi="Times New Roman" w:cs="Times New Roman"/>
        </w:rPr>
      </w:pPr>
    </w:p>
    <w:p w14:paraId="6557B2D0" w14:textId="700C5031" w:rsidR="00245E4F" w:rsidRDefault="00000000" w:rsidP="006A6B12">
      <w:pPr>
        <w:spacing w:after="0"/>
        <w:jc w:val="both"/>
        <w:rPr>
          <w:rFonts w:ascii="Times New Roman" w:eastAsia="Times New Roman" w:hAnsi="Times New Roman" w:cs="Times New Roman"/>
        </w:rPr>
      </w:pPr>
      <w:r>
        <w:rPr>
          <w:rFonts w:ascii="Times New Roman" w:eastAsia="Times New Roman" w:hAnsi="Times New Roman" w:cs="Times New Roman"/>
        </w:rPr>
        <w:t>Makris D, Scherpereel A, Leroy S, Bouchindhomme B, Faivre JB, Remy J, Ramon P, Marquette CH. Electromagnetic navigation diagnostic bronchoscopy for small peripheral lung lesions. The European respiratory journal. 2007;29 :1187-92.</w:t>
      </w:r>
    </w:p>
    <w:p w14:paraId="0ECE494D" w14:textId="77777777" w:rsidR="006A6B12" w:rsidRDefault="006A6B12" w:rsidP="006A6B12">
      <w:pPr>
        <w:spacing w:after="0"/>
        <w:jc w:val="both"/>
        <w:rPr>
          <w:rFonts w:ascii="Times New Roman" w:eastAsia="Times New Roman" w:hAnsi="Times New Roman" w:cs="Times New Roman"/>
          <w:lang w:val="fr-FR"/>
        </w:rPr>
      </w:pPr>
    </w:p>
    <w:p w14:paraId="7073C1AE" w14:textId="33A9A93D" w:rsidR="00245E4F" w:rsidRDefault="00000000" w:rsidP="006A6B12">
      <w:pPr>
        <w:spacing w:after="0"/>
        <w:jc w:val="both"/>
        <w:rPr>
          <w:rFonts w:ascii="Times New Roman" w:eastAsia="Times New Roman" w:hAnsi="Times New Roman" w:cs="Times New Roman"/>
        </w:rPr>
      </w:pPr>
      <w:r w:rsidRPr="00F217E6">
        <w:rPr>
          <w:rFonts w:ascii="Times New Roman" w:eastAsia="Times New Roman" w:hAnsi="Times New Roman" w:cs="Times New Roman"/>
          <w:lang w:val="fr-FR"/>
        </w:rPr>
        <w:t xml:space="preserve">Bertoletti L, Robert A, Cottier M, Chambonniere ML, Vergnon JM. </w:t>
      </w:r>
      <w:r>
        <w:rPr>
          <w:rFonts w:ascii="Times New Roman" w:eastAsia="Times New Roman" w:hAnsi="Times New Roman" w:cs="Times New Roman"/>
        </w:rPr>
        <w:t>Accuracy and feasibility of electromagnetic navigated bronchoscopy under nitrous oxide sedation for pulmonary peripheral opacities: an outpatient study. Respiration; international review of thoracic diseases. 2009;78:293-300.</w:t>
      </w:r>
    </w:p>
    <w:p w14:paraId="719F6760" w14:textId="77777777" w:rsidR="006A6B12" w:rsidRPr="00616DFB" w:rsidRDefault="006A6B12" w:rsidP="006A6B12">
      <w:pPr>
        <w:spacing w:after="0"/>
        <w:jc w:val="both"/>
        <w:rPr>
          <w:rFonts w:ascii="Times New Roman" w:eastAsia="Times New Roman" w:hAnsi="Times New Roman" w:cs="Times New Roman"/>
        </w:rPr>
      </w:pPr>
    </w:p>
    <w:p w14:paraId="23DA3489" w14:textId="1ADED509" w:rsidR="00245E4F" w:rsidRDefault="00000000" w:rsidP="006A6B12">
      <w:pPr>
        <w:spacing w:after="0"/>
        <w:jc w:val="both"/>
        <w:rPr>
          <w:rFonts w:ascii="Times New Roman" w:eastAsia="Times New Roman" w:hAnsi="Times New Roman" w:cs="Times New Roman"/>
        </w:rPr>
      </w:pPr>
      <w:r w:rsidRPr="00616DFB">
        <w:rPr>
          <w:rFonts w:ascii="Times New Roman" w:eastAsia="Times New Roman" w:hAnsi="Times New Roman" w:cs="Times New Roman"/>
        </w:rPr>
        <w:t xml:space="preserve">Seijo LM, de Torres JP, Lozano MD, Bastarrika G, Alcaide AB, Lacunza MM, Zulueta JJ. </w:t>
      </w:r>
      <w:r>
        <w:rPr>
          <w:rFonts w:ascii="Times New Roman" w:eastAsia="Times New Roman" w:hAnsi="Times New Roman" w:cs="Times New Roman"/>
        </w:rPr>
        <w:t>Diagnostic yield of electromagnetic navigation bronchoscopy is highly dependent on the presence of a Bronchus sign on CT imaging: results from a prospective study. Chest. 2010;138 :1316-21.</w:t>
      </w:r>
    </w:p>
    <w:p w14:paraId="3F279235" w14:textId="77777777" w:rsidR="006A6B12" w:rsidRDefault="006A6B12" w:rsidP="006A6B12">
      <w:pPr>
        <w:spacing w:after="0"/>
        <w:jc w:val="both"/>
        <w:rPr>
          <w:rFonts w:ascii="Times New Roman" w:eastAsia="Times New Roman" w:hAnsi="Times New Roman" w:cs="Times New Roman"/>
        </w:rPr>
      </w:pPr>
    </w:p>
    <w:p w14:paraId="051E3D38" w14:textId="0B4DB50E" w:rsidR="00245E4F" w:rsidRDefault="00000000" w:rsidP="006A6B12">
      <w:pPr>
        <w:spacing w:after="0"/>
        <w:jc w:val="both"/>
        <w:rPr>
          <w:rFonts w:ascii="Times New Roman" w:eastAsia="Times New Roman" w:hAnsi="Times New Roman" w:cs="Times New Roman"/>
        </w:rPr>
      </w:pPr>
      <w:r>
        <w:rPr>
          <w:rFonts w:ascii="Times New Roman" w:eastAsia="Times New Roman" w:hAnsi="Times New Roman" w:cs="Times New Roman"/>
        </w:rPr>
        <w:t>Pearlstein DP, Quinn CC, Burtis CC, Ahn KW, Katch AJ. Electromagnetic navigation bronchoscopy performed by thoracic surgeons: one center's early success. Ann Thorac Surg. 2012;93 :944-9.</w:t>
      </w:r>
    </w:p>
    <w:p w14:paraId="42E3A828" w14:textId="77777777" w:rsidR="006A6B12" w:rsidRDefault="006A6B12" w:rsidP="006A6B12">
      <w:pPr>
        <w:spacing w:after="0"/>
        <w:jc w:val="both"/>
        <w:rPr>
          <w:rFonts w:ascii="Times New Roman" w:eastAsia="Times New Roman" w:hAnsi="Times New Roman" w:cs="Times New Roman"/>
        </w:rPr>
      </w:pPr>
    </w:p>
    <w:p w14:paraId="741F51D3" w14:textId="6C20D6F7" w:rsidR="00245E4F" w:rsidRDefault="00000000" w:rsidP="006A6B12">
      <w:pPr>
        <w:spacing w:after="0"/>
        <w:jc w:val="both"/>
        <w:rPr>
          <w:rFonts w:ascii="Times New Roman" w:eastAsia="Times New Roman" w:hAnsi="Times New Roman" w:cs="Times New Roman"/>
        </w:rPr>
      </w:pPr>
      <w:r>
        <w:rPr>
          <w:rFonts w:ascii="Times New Roman" w:eastAsia="Times New Roman" w:hAnsi="Times New Roman" w:cs="Times New Roman"/>
        </w:rPr>
        <w:t>Karnak D, Ciledag A, Ceyhan K, Atasoy C, Akyar S, Kayacan O. Rapid on-site evaluation and low registration error enhance the success of electromagnetic navigation bronchoscopy. Ann Thorac Med. 2013;8 :28-32.</w:t>
      </w:r>
    </w:p>
    <w:p w14:paraId="2E8ADA03" w14:textId="77777777" w:rsidR="006A6B12" w:rsidRDefault="006A6B12" w:rsidP="006A6B12">
      <w:pPr>
        <w:spacing w:after="0"/>
        <w:jc w:val="both"/>
        <w:rPr>
          <w:rFonts w:ascii="Times New Roman" w:eastAsia="Times New Roman" w:hAnsi="Times New Roman" w:cs="Times New Roman"/>
        </w:rPr>
      </w:pPr>
    </w:p>
    <w:p w14:paraId="70930C9A" w14:textId="1FDA6169" w:rsidR="00245E4F" w:rsidRDefault="00000000" w:rsidP="006A6B12">
      <w:pPr>
        <w:spacing w:after="0"/>
        <w:jc w:val="both"/>
        <w:rPr>
          <w:rFonts w:ascii="Times New Roman" w:eastAsia="Times New Roman" w:hAnsi="Times New Roman" w:cs="Times New Roman"/>
        </w:rPr>
      </w:pPr>
      <w:r>
        <w:rPr>
          <w:rFonts w:ascii="Times New Roman" w:eastAsia="Times New Roman" w:hAnsi="Times New Roman" w:cs="Times New Roman"/>
        </w:rPr>
        <w:t>Loo FL, Halligan AM, Port JL, Hoda RS. The emerging technique of electromagnetic navigation bronchoscopy-guided fine-needle aspiration of peripheral lung lesions: promising results in 50 lesions. Cancer Cytopathol. 2014;122 :191-9.</w:t>
      </w:r>
    </w:p>
    <w:p w14:paraId="163B4635" w14:textId="77777777" w:rsidR="006A6B12" w:rsidRDefault="006A6B12" w:rsidP="006A6B12">
      <w:pPr>
        <w:spacing w:after="0"/>
        <w:jc w:val="both"/>
        <w:rPr>
          <w:rFonts w:ascii="Times New Roman" w:eastAsia="Times New Roman" w:hAnsi="Times New Roman" w:cs="Times New Roman"/>
        </w:rPr>
      </w:pPr>
    </w:p>
    <w:p w14:paraId="3DFB0898" w14:textId="7BFC399D" w:rsidR="00A56F79" w:rsidRDefault="00A56F79" w:rsidP="006A6B12">
      <w:pPr>
        <w:spacing w:after="0"/>
        <w:jc w:val="both"/>
        <w:rPr>
          <w:rFonts w:ascii="Times New Roman" w:eastAsia="Times New Roman" w:hAnsi="Times New Roman" w:cs="Times New Roman"/>
        </w:rPr>
      </w:pPr>
      <w:r w:rsidRPr="00A56F79">
        <w:rPr>
          <w:rFonts w:ascii="Times New Roman" w:eastAsia="Times New Roman" w:hAnsi="Times New Roman" w:cs="Times New Roman"/>
        </w:rPr>
        <w:t>Ozgul G, Cetinkaya E, Ozgul MA, Abul Y, Gencoglu A, Kamiloglu E, Gul S, Dincer HE: Efficacy and safety of electromagnetic navigation bronchoscopy with or without radial endobronchial ultrasound for peripheral lung lesions. Endosc Ultrasound 2016;5:189-195.</w:t>
      </w:r>
    </w:p>
    <w:p w14:paraId="72E7E539" w14:textId="77777777" w:rsidR="006A6B12" w:rsidRDefault="006A6B12" w:rsidP="006A6B12">
      <w:pPr>
        <w:spacing w:after="0" w:line="240" w:lineRule="auto"/>
        <w:jc w:val="both"/>
        <w:rPr>
          <w:rFonts w:ascii="Times New Roman" w:eastAsia="Times New Roman" w:hAnsi="Times New Roman" w:cs="Times New Roman"/>
        </w:rPr>
      </w:pPr>
    </w:p>
    <w:p w14:paraId="54576103" w14:textId="7B0110A1" w:rsidR="00245E4F" w:rsidRDefault="00000000" w:rsidP="006A6B1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Raval AA, Amir L: Community hospital experience using electromagnetic navigation bronchoscopy system integrating tidal volume computed tomography mapping. Lung Cancer Manag 2016;5:9-19.</w:t>
      </w:r>
    </w:p>
    <w:p w14:paraId="6BA2AB64" w14:textId="77777777" w:rsidR="006A6B12" w:rsidRDefault="006A6B12" w:rsidP="006A6B12">
      <w:pPr>
        <w:spacing w:after="0" w:line="240" w:lineRule="auto"/>
        <w:jc w:val="both"/>
        <w:rPr>
          <w:rFonts w:ascii="Times New Roman" w:eastAsia="Times New Roman" w:hAnsi="Times New Roman" w:cs="Times New Roman"/>
        </w:rPr>
      </w:pPr>
    </w:p>
    <w:p w14:paraId="0314FAAC" w14:textId="4551BBE9" w:rsidR="00245E4F" w:rsidRDefault="00000000" w:rsidP="006A6B1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Yutaka Y, Sato T, Isowa M, Murata Y, Tanaka S, Yamada Y, Ohsumi A, Nakajima D, Hamaji M, Menju T, Chen-Yoshikawa TF, Date H. Electromagnetic navigation bronchoscopy versus virtual bronchoscopy navigation for improving the diagnosis of peripheral lung lesions: analysis of the predictors of successful diagnosis. Surg Today. 2022 ;52 :923-930. </w:t>
      </w:r>
    </w:p>
    <w:p w14:paraId="46E55931" w14:textId="77777777" w:rsidR="006A6B12" w:rsidRDefault="006A6B12" w:rsidP="006A6B12">
      <w:pPr>
        <w:spacing w:after="0" w:line="240" w:lineRule="auto"/>
        <w:jc w:val="both"/>
        <w:rPr>
          <w:rFonts w:ascii="Times New Roman" w:eastAsia="Times New Roman" w:hAnsi="Times New Roman" w:cs="Times New Roman"/>
        </w:rPr>
      </w:pPr>
    </w:p>
    <w:p w14:paraId="56E13D46" w14:textId="5A95FBAF" w:rsidR="00245E4F" w:rsidRDefault="00000000" w:rsidP="006A6B1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Oh JH, Choi CM, Kim S, Jang SJ, Oh SY, Kim MY, Hwang HS, Ji W. Diagnostic Performance of Electromagnetic Navigation Bronchoscopy-Guided Biopsy for Lung Nodules in the Era of Molecular Testing. Diagnostics (Basel). 2021 ;11 :1432.</w:t>
      </w:r>
    </w:p>
    <w:p w14:paraId="19F88764" w14:textId="77777777" w:rsidR="00245E4F" w:rsidRDefault="00000000" w:rsidP="006A6B1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Kim YW, Kim HJ, Song MJ, Kwon BS, Lim SY, Lee YJ, Park JS, Cho YJ, Yoon HI, Lee JH, Lee CT. Utility and safety of sole electromagnetic navigation bronchoscopy under moderate sedation for lung cancer diagnosis. Transl Lung Cancer Res. 2022 ;11:462-471.</w:t>
      </w:r>
    </w:p>
    <w:p w14:paraId="6E6ED374" w14:textId="77777777" w:rsidR="00245E4F" w:rsidRDefault="00245E4F">
      <w:pPr>
        <w:spacing w:after="0" w:line="240" w:lineRule="auto"/>
        <w:jc w:val="both"/>
        <w:rPr>
          <w:rFonts w:ascii="Times New Roman" w:eastAsia="Times New Roman" w:hAnsi="Times New Roman" w:cs="Times New Roman"/>
          <w:sz w:val="20"/>
          <w:szCs w:val="20"/>
        </w:rPr>
      </w:pPr>
    </w:p>
    <w:sectPr w:rsidR="00245E4F">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ungsuh">
    <w:altName w:val="Malgun Gothic"/>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3B6B94"/>
    <w:multiLevelType w:val="multilevel"/>
    <w:tmpl w:val="D4E04374"/>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8E710DD"/>
    <w:multiLevelType w:val="multilevel"/>
    <w:tmpl w:val="415A72E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75810235">
    <w:abstractNumId w:val="0"/>
  </w:num>
  <w:num w:numId="2" w16cid:durableId="2455781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E4F"/>
    <w:rsid w:val="000E65D7"/>
    <w:rsid w:val="001A0AA0"/>
    <w:rsid w:val="00206A34"/>
    <w:rsid w:val="00226950"/>
    <w:rsid w:val="00245E4F"/>
    <w:rsid w:val="00286411"/>
    <w:rsid w:val="0034047D"/>
    <w:rsid w:val="003F71B6"/>
    <w:rsid w:val="0040756C"/>
    <w:rsid w:val="00495DF3"/>
    <w:rsid w:val="00616DFB"/>
    <w:rsid w:val="00624F14"/>
    <w:rsid w:val="006A6B12"/>
    <w:rsid w:val="006B17AE"/>
    <w:rsid w:val="006D342F"/>
    <w:rsid w:val="007025B3"/>
    <w:rsid w:val="0071087A"/>
    <w:rsid w:val="007F15D5"/>
    <w:rsid w:val="009A5781"/>
    <w:rsid w:val="009B7B3E"/>
    <w:rsid w:val="00A00532"/>
    <w:rsid w:val="00A56F79"/>
    <w:rsid w:val="00A777AF"/>
    <w:rsid w:val="00B03195"/>
    <w:rsid w:val="00B104B1"/>
    <w:rsid w:val="00BA38B2"/>
    <w:rsid w:val="00C0609B"/>
    <w:rsid w:val="00C30A41"/>
    <w:rsid w:val="00CC6233"/>
    <w:rsid w:val="00CE4BB3"/>
    <w:rsid w:val="00EB6A80"/>
    <w:rsid w:val="00EF0706"/>
    <w:rsid w:val="00F217E6"/>
    <w:rsid w:val="00F73F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EE52B"/>
  <w15:docId w15:val="{24F1CA07-B3AD-4ABE-93AE-D2FDA6D48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styleId="Tablaconcuadrcula">
    <w:name w:val="Table Grid"/>
    <w:basedOn w:val="Tablanormal"/>
    <w:uiPriority w:val="39"/>
    <w:rsid w:val="00AD5F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AD5FDC"/>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4"/>
    <w:pPr>
      <w:spacing w:after="0" w:line="240" w:lineRule="auto"/>
    </w:pPr>
    <w:tblPr>
      <w:tblStyleRowBandSize w:val="1"/>
      <w:tblStyleColBandSize w:val="1"/>
      <w:tblCellMar>
        <w:left w:w="108" w:type="dxa"/>
        <w:right w:w="108" w:type="dxa"/>
      </w:tblCellMar>
    </w:tblPr>
  </w:style>
  <w:style w:type="table" w:customStyle="1" w:styleId="a0">
    <w:basedOn w:val="TableNormal4"/>
    <w:pPr>
      <w:spacing w:after="0" w:line="240" w:lineRule="auto"/>
    </w:pPr>
    <w:tblPr>
      <w:tblStyleRowBandSize w:val="1"/>
      <w:tblStyleColBandSize w:val="1"/>
      <w:tblCellMar>
        <w:left w:w="108" w:type="dxa"/>
        <w:right w:w="108" w:type="dxa"/>
      </w:tblCellMar>
    </w:tblPr>
  </w:style>
  <w:style w:type="table" w:customStyle="1" w:styleId="a1">
    <w:basedOn w:val="TableNormal4"/>
    <w:tblPr>
      <w:tblStyleRowBandSize w:val="1"/>
      <w:tblStyleColBandSize w:val="1"/>
      <w:tblCellMar>
        <w:top w:w="100" w:type="dxa"/>
        <w:left w:w="100" w:type="dxa"/>
        <w:bottom w:w="100" w:type="dxa"/>
        <w:right w:w="100" w:type="dxa"/>
      </w:tblCellMar>
    </w:tblPr>
  </w:style>
  <w:style w:type="table" w:customStyle="1" w:styleId="a2">
    <w:basedOn w:val="TableNormal4"/>
    <w:tblPr>
      <w:tblStyleRowBandSize w:val="1"/>
      <w:tblStyleColBandSize w:val="1"/>
      <w:tblCellMar>
        <w:top w:w="100" w:type="dxa"/>
        <w:left w:w="100" w:type="dxa"/>
        <w:bottom w:w="100" w:type="dxa"/>
        <w:right w:w="100" w:type="dxa"/>
      </w:tblCellMar>
    </w:tblPr>
  </w:style>
  <w:style w:type="table" w:customStyle="1" w:styleId="a3">
    <w:basedOn w:val="TableNormal4"/>
    <w:pPr>
      <w:spacing w:after="0" w:line="240" w:lineRule="auto"/>
    </w:pPr>
    <w:tblPr>
      <w:tblStyleRowBandSize w:val="1"/>
      <w:tblStyleColBandSize w:val="1"/>
      <w:tblCellMar>
        <w:top w:w="100" w:type="dxa"/>
        <w:left w:w="100" w:type="dxa"/>
        <w:bottom w:w="100" w:type="dxa"/>
        <w:right w:w="100" w:type="dxa"/>
      </w:tblCellMar>
    </w:tblPr>
  </w:style>
  <w:style w:type="table" w:customStyle="1" w:styleId="a4">
    <w:basedOn w:val="TableNormal4"/>
    <w:pPr>
      <w:spacing w:after="0" w:line="240" w:lineRule="auto"/>
    </w:pPr>
    <w:tblPr>
      <w:tblStyleRowBandSize w:val="1"/>
      <w:tblStyleColBandSize w:val="1"/>
      <w:tblCellMar>
        <w:top w:w="100" w:type="dxa"/>
        <w:left w:w="100" w:type="dxa"/>
        <w:bottom w:w="100" w:type="dxa"/>
        <w:right w:w="100" w:type="dxa"/>
      </w:tblCellMar>
    </w:tblPr>
  </w:style>
  <w:style w:type="table" w:customStyle="1" w:styleId="a5">
    <w:basedOn w:val="TableNormal4"/>
    <w:pPr>
      <w:spacing w:after="0" w:line="240" w:lineRule="auto"/>
    </w:pPr>
    <w:tblPr>
      <w:tblStyleRowBandSize w:val="1"/>
      <w:tblStyleColBandSize w:val="1"/>
      <w:tblCellMar>
        <w:top w:w="100" w:type="dxa"/>
        <w:left w:w="100" w:type="dxa"/>
        <w:bottom w:w="100" w:type="dxa"/>
        <w:right w:w="100" w:type="dxa"/>
      </w:tblCellMar>
    </w:tblPr>
  </w:style>
  <w:style w:type="table" w:customStyle="1" w:styleId="a6">
    <w:basedOn w:val="TableNormal4"/>
    <w:tblPr>
      <w:tblStyleRowBandSize w:val="1"/>
      <w:tblStyleColBandSize w:val="1"/>
      <w:tblCellMar>
        <w:left w:w="70" w:type="dxa"/>
        <w:right w:w="70" w:type="dxa"/>
      </w:tblCellMar>
    </w:tblPr>
  </w:style>
  <w:style w:type="table" w:customStyle="1" w:styleId="a7">
    <w:basedOn w:val="TableNormal4"/>
    <w:pPr>
      <w:spacing w:after="0" w:line="240" w:lineRule="auto"/>
    </w:pPr>
    <w:tblPr>
      <w:tblStyleRowBandSize w:val="1"/>
      <w:tblStyleColBandSize w:val="1"/>
      <w:tblCellMar>
        <w:top w:w="100" w:type="dxa"/>
        <w:left w:w="100" w:type="dxa"/>
        <w:bottom w:w="100" w:type="dxa"/>
        <w:right w:w="100" w:type="dxa"/>
      </w:tblCellMar>
    </w:tblPr>
  </w:style>
  <w:style w:type="table" w:customStyle="1" w:styleId="a8">
    <w:basedOn w:val="TableNormal4"/>
    <w:tblPr>
      <w:tblStyleRowBandSize w:val="1"/>
      <w:tblStyleColBandSize w:val="1"/>
      <w:tblCellMar>
        <w:left w:w="70" w:type="dxa"/>
        <w:right w:w="70" w:type="dxa"/>
      </w:tblCellMar>
    </w:tblPr>
  </w:style>
  <w:style w:type="table" w:customStyle="1" w:styleId="a9">
    <w:basedOn w:val="TableNormal3"/>
    <w:pPr>
      <w:spacing w:after="0" w:line="240" w:lineRule="auto"/>
    </w:pPr>
    <w:tblPr>
      <w:tblStyleRowBandSize w:val="1"/>
      <w:tblStyleColBandSize w:val="1"/>
      <w:tblCellMar>
        <w:top w:w="100" w:type="dxa"/>
        <w:left w:w="70" w:type="dxa"/>
        <w:bottom w:w="100" w:type="dxa"/>
        <w:right w:w="70" w:type="dxa"/>
      </w:tblCellMar>
    </w:tblPr>
  </w:style>
  <w:style w:type="table" w:customStyle="1" w:styleId="aa">
    <w:basedOn w:val="TableNormal3"/>
    <w:pPr>
      <w:spacing w:after="0" w:line="240" w:lineRule="auto"/>
    </w:pPr>
    <w:tblPr>
      <w:tblStyleRowBandSize w:val="1"/>
      <w:tblStyleColBandSize w:val="1"/>
      <w:tblCellMar>
        <w:top w:w="100" w:type="dxa"/>
        <w:left w:w="70" w:type="dxa"/>
        <w:bottom w:w="100" w:type="dxa"/>
        <w:right w:w="70" w:type="dxa"/>
      </w:tblCellMar>
    </w:tblPr>
  </w:style>
  <w:style w:type="table" w:customStyle="1" w:styleId="ab">
    <w:basedOn w:val="TableNormal3"/>
    <w:pPr>
      <w:spacing w:after="0" w:line="240" w:lineRule="auto"/>
    </w:pPr>
    <w:tblPr>
      <w:tblStyleRowBandSize w:val="1"/>
      <w:tblStyleColBandSize w:val="1"/>
      <w:tblCellMar>
        <w:top w:w="100" w:type="dxa"/>
        <w:left w:w="70" w:type="dxa"/>
        <w:bottom w:w="100" w:type="dxa"/>
        <w:right w:w="70" w:type="dxa"/>
      </w:tblCellMar>
    </w:tblPr>
  </w:style>
  <w:style w:type="table" w:customStyle="1" w:styleId="ac">
    <w:basedOn w:val="TableNormal3"/>
    <w:tblPr>
      <w:tblStyleRowBandSize w:val="1"/>
      <w:tblStyleColBandSize w:val="1"/>
      <w:tblCellMar>
        <w:left w:w="70" w:type="dxa"/>
        <w:right w:w="70" w:type="dxa"/>
      </w:tblCellMar>
    </w:tblPr>
  </w:style>
  <w:style w:type="table" w:customStyle="1" w:styleId="ad">
    <w:basedOn w:val="TableNormal3"/>
    <w:pPr>
      <w:spacing w:after="0" w:line="240" w:lineRule="auto"/>
    </w:pPr>
    <w:tblPr>
      <w:tblStyleRowBandSize w:val="1"/>
      <w:tblStyleColBandSize w:val="1"/>
      <w:tblCellMar>
        <w:top w:w="100" w:type="dxa"/>
        <w:left w:w="70" w:type="dxa"/>
        <w:bottom w:w="100" w:type="dxa"/>
        <w:right w:w="70" w:type="dxa"/>
      </w:tblCellMar>
    </w:tblPr>
  </w:style>
  <w:style w:type="table" w:customStyle="1" w:styleId="ae">
    <w:basedOn w:val="TableNormal3"/>
    <w:pPr>
      <w:spacing w:after="0" w:line="240" w:lineRule="auto"/>
    </w:pPr>
    <w:tblPr>
      <w:tblStyleRowBandSize w:val="1"/>
      <w:tblStyleColBandSize w:val="1"/>
      <w:tblCellMar>
        <w:top w:w="100" w:type="dxa"/>
        <w:left w:w="70" w:type="dxa"/>
        <w:bottom w:w="100" w:type="dxa"/>
        <w:right w:w="70" w:type="dxa"/>
      </w:tblCellMar>
    </w:tblPr>
  </w:style>
  <w:style w:type="table" w:customStyle="1" w:styleId="af">
    <w:basedOn w:val="TableNormal2"/>
    <w:pPr>
      <w:spacing w:after="0" w:line="240" w:lineRule="auto"/>
    </w:pPr>
    <w:tblPr>
      <w:tblStyleRowBandSize w:val="1"/>
      <w:tblStyleColBandSize w:val="1"/>
      <w:tblCellMar>
        <w:top w:w="100" w:type="dxa"/>
        <w:left w:w="70" w:type="dxa"/>
        <w:bottom w:w="100" w:type="dxa"/>
        <w:right w:w="70" w:type="dxa"/>
      </w:tblCellMar>
    </w:tblPr>
  </w:style>
  <w:style w:type="table" w:customStyle="1" w:styleId="af0">
    <w:basedOn w:val="TableNormal2"/>
    <w:pPr>
      <w:spacing w:after="0" w:line="240" w:lineRule="auto"/>
    </w:pPr>
    <w:tblPr>
      <w:tblStyleRowBandSize w:val="1"/>
      <w:tblStyleColBandSize w:val="1"/>
      <w:tblCellMar>
        <w:top w:w="100" w:type="dxa"/>
        <w:left w:w="70" w:type="dxa"/>
        <w:bottom w:w="100" w:type="dxa"/>
        <w:right w:w="70" w:type="dxa"/>
      </w:tblCellMar>
    </w:tblPr>
  </w:style>
  <w:style w:type="table" w:customStyle="1" w:styleId="af1">
    <w:basedOn w:val="TableNormal2"/>
    <w:pPr>
      <w:spacing w:after="0" w:line="240" w:lineRule="auto"/>
    </w:pPr>
    <w:tblPr>
      <w:tblStyleRowBandSize w:val="1"/>
      <w:tblStyleColBandSize w:val="1"/>
      <w:tblCellMar>
        <w:top w:w="100" w:type="dxa"/>
        <w:left w:w="70" w:type="dxa"/>
        <w:bottom w:w="100" w:type="dxa"/>
        <w:right w:w="70" w:type="dxa"/>
      </w:tblCellMar>
    </w:tblPr>
  </w:style>
  <w:style w:type="table" w:customStyle="1" w:styleId="af2">
    <w:basedOn w:val="TableNormal2"/>
    <w:pPr>
      <w:spacing w:after="0" w:line="240" w:lineRule="auto"/>
    </w:pPr>
    <w:tblPr>
      <w:tblStyleRowBandSize w:val="1"/>
      <w:tblStyleColBandSize w:val="1"/>
      <w:tblCellMar>
        <w:top w:w="100" w:type="dxa"/>
        <w:left w:w="70" w:type="dxa"/>
        <w:bottom w:w="100" w:type="dxa"/>
        <w:right w:w="70" w:type="dxa"/>
      </w:tblCellMar>
    </w:tblPr>
  </w:style>
  <w:style w:type="table" w:customStyle="1" w:styleId="af3">
    <w:basedOn w:val="TableNormal2"/>
    <w:pPr>
      <w:spacing w:after="0" w:line="240" w:lineRule="auto"/>
    </w:pPr>
    <w:tblPr>
      <w:tblStyleRowBandSize w:val="1"/>
      <w:tblStyleColBandSize w:val="1"/>
      <w:tblCellMar>
        <w:top w:w="100" w:type="dxa"/>
        <w:left w:w="70" w:type="dxa"/>
        <w:bottom w:w="100" w:type="dxa"/>
        <w:right w:w="70" w:type="dxa"/>
      </w:tblCellMar>
    </w:tblPr>
  </w:style>
  <w:style w:type="table" w:customStyle="1" w:styleId="af4">
    <w:basedOn w:val="TableNormal2"/>
    <w:pPr>
      <w:spacing w:after="0" w:line="240" w:lineRule="auto"/>
    </w:pPr>
    <w:tblPr>
      <w:tblStyleRowBandSize w:val="1"/>
      <w:tblStyleColBandSize w:val="1"/>
      <w:tblCellMar>
        <w:top w:w="100" w:type="dxa"/>
        <w:left w:w="70" w:type="dxa"/>
        <w:bottom w:w="100" w:type="dxa"/>
        <w:right w:w="70" w:type="dxa"/>
      </w:tblCellMar>
    </w:tblPr>
  </w:style>
  <w:style w:type="character" w:styleId="Refdecomentario">
    <w:name w:val="annotation reference"/>
    <w:basedOn w:val="Fuentedeprrafopredeter"/>
    <w:uiPriority w:val="99"/>
    <w:semiHidden/>
    <w:unhideWhenUsed/>
    <w:rsid w:val="00092642"/>
    <w:rPr>
      <w:sz w:val="16"/>
      <w:szCs w:val="16"/>
    </w:rPr>
  </w:style>
  <w:style w:type="paragraph" w:styleId="Textocomentario">
    <w:name w:val="annotation text"/>
    <w:basedOn w:val="Normal"/>
    <w:link w:val="TextocomentarioCar"/>
    <w:uiPriority w:val="99"/>
    <w:unhideWhenUsed/>
    <w:rsid w:val="00092642"/>
    <w:pPr>
      <w:spacing w:line="240" w:lineRule="auto"/>
    </w:pPr>
    <w:rPr>
      <w:sz w:val="20"/>
      <w:szCs w:val="20"/>
    </w:rPr>
  </w:style>
  <w:style w:type="character" w:customStyle="1" w:styleId="TextocomentarioCar">
    <w:name w:val="Texto comentario Car"/>
    <w:basedOn w:val="Fuentedeprrafopredeter"/>
    <w:link w:val="Textocomentario"/>
    <w:uiPriority w:val="99"/>
    <w:rsid w:val="00092642"/>
    <w:rPr>
      <w:sz w:val="20"/>
      <w:szCs w:val="20"/>
    </w:rPr>
  </w:style>
  <w:style w:type="paragraph" w:styleId="Asuntodelcomentario">
    <w:name w:val="annotation subject"/>
    <w:basedOn w:val="Textocomentario"/>
    <w:next w:val="Textocomentario"/>
    <w:link w:val="AsuntodelcomentarioCar"/>
    <w:uiPriority w:val="99"/>
    <w:semiHidden/>
    <w:unhideWhenUsed/>
    <w:rsid w:val="00092642"/>
    <w:rPr>
      <w:b/>
      <w:bCs/>
    </w:rPr>
  </w:style>
  <w:style w:type="character" w:customStyle="1" w:styleId="AsuntodelcomentarioCar">
    <w:name w:val="Asunto del comentario Car"/>
    <w:basedOn w:val="TextocomentarioCar"/>
    <w:link w:val="Asuntodelcomentario"/>
    <w:uiPriority w:val="99"/>
    <w:semiHidden/>
    <w:rsid w:val="00092642"/>
    <w:rPr>
      <w:b/>
      <w:bCs/>
      <w:sz w:val="20"/>
      <w:szCs w:val="20"/>
    </w:rPr>
  </w:style>
  <w:style w:type="table" w:customStyle="1" w:styleId="af5">
    <w:basedOn w:val="TableNormal1"/>
    <w:pPr>
      <w:spacing w:after="0" w:line="240" w:lineRule="auto"/>
    </w:pPr>
    <w:tblPr>
      <w:tblStyleRowBandSize w:val="1"/>
      <w:tblStyleColBandSize w:val="1"/>
      <w:tblCellMar>
        <w:top w:w="100" w:type="dxa"/>
        <w:left w:w="70" w:type="dxa"/>
        <w:bottom w:w="100" w:type="dxa"/>
        <w:right w:w="70" w:type="dxa"/>
      </w:tblCellMar>
    </w:tblPr>
  </w:style>
  <w:style w:type="table" w:customStyle="1" w:styleId="af6">
    <w:basedOn w:val="TableNormal1"/>
    <w:pPr>
      <w:spacing w:after="0" w:line="240" w:lineRule="auto"/>
    </w:pPr>
    <w:tblPr>
      <w:tblStyleRowBandSize w:val="1"/>
      <w:tblStyleColBandSize w:val="1"/>
      <w:tblCellMar>
        <w:top w:w="100" w:type="dxa"/>
        <w:left w:w="70" w:type="dxa"/>
        <w:bottom w:w="100" w:type="dxa"/>
        <w:right w:w="70" w:type="dxa"/>
      </w:tblCellMar>
    </w:tblPr>
  </w:style>
  <w:style w:type="table" w:customStyle="1" w:styleId="af7">
    <w:basedOn w:val="TableNormal1"/>
    <w:pPr>
      <w:spacing w:after="0" w:line="240" w:lineRule="auto"/>
    </w:pPr>
    <w:tblPr>
      <w:tblStyleRowBandSize w:val="1"/>
      <w:tblStyleColBandSize w:val="1"/>
      <w:tblCellMar>
        <w:top w:w="100" w:type="dxa"/>
        <w:left w:w="70" w:type="dxa"/>
        <w:bottom w:w="100" w:type="dxa"/>
        <w:right w:w="70" w:type="dxa"/>
      </w:tblCellMar>
    </w:tblPr>
  </w:style>
  <w:style w:type="table" w:customStyle="1" w:styleId="af8">
    <w:basedOn w:val="TableNormal1"/>
    <w:pPr>
      <w:spacing w:after="0" w:line="240" w:lineRule="auto"/>
    </w:pPr>
    <w:tblPr>
      <w:tblStyleRowBandSize w:val="1"/>
      <w:tblStyleColBandSize w:val="1"/>
      <w:tblCellMar>
        <w:top w:w="100" w:type="dxa"/>
        <w:left w:w="70" w:type="dxa"/>
        <w:bottom w:w="100" w:type="dxa"/>
        <w:right w:w="70" w:type="dxa"/>
      </w:tblCellMar>
    </w:tblPr>
  </w:style>
  <w:style w:type="table" w:customStyle="1" w:styleId="af9">
    <w:basedOn w:val="TableNormal1"/>
    <w:pPr>
      <w:spacing w:after="0" w:line="240" w:lineRule="auto"/>
    </w:pPr>
    <w:tblPr>
      <w:tblStyleRowBandSize w:val="1"/>
      <w:tblStyleColBandSize w:val="1"/>
      <w:tblCellMar>
        <w:top w:w="100" w:type="dxa"/>
        <w:left w:w="70" w:type="dxa"/>
        <w:bottom w:w="100" w:type="dxa"/>
        <w:right w:w="70" w:type="dxa"/>
      </w:tblCellMar>
    </w:tblPr>
  </w:style>
  <w:style w:type="table" w:customStyle="1" w:styleId="afa">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b">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c">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d">
    <w:basedOn w:val="TableNormal0"/>
    <w:pPr>
      <w:spacing w:after="0" w:line="240" w:lineRule="auto"/>
    </w:pPr>
    <w:tblPr>
      <w:tblStyleRowBandSize w:val="1"/>
      <w:tblStyleColBandSize w:val="1"/>
      <w:tblCellMar>
        <w:top w:w="100" w:type="dxa"/>
        <w:left w:w="70" w:type="dxa"/>
        <w:bottom w:w="100" w:type="dxa"/>
        <w:right w:w="70" w:type="dxa"/>
      </w:tblCellMar>
    </w:tblPr>
  </w:style>
  <w:style w:type="table" w:customStyle="1" w:styleId="afe">
    <w:basedOn w:val="TableNormal0"/>
    <w:pPr>
      <w:spacing w:after="0" w:line="240" w:lineRule="auto"/>
    </w:pPr>
    <w:tblPr>
      <w:tblStyleRowBandSize w:val="1"/>
      <w:tblStyleColBandSize w:val="1"/>
      <w:tblCellMar>
        <w:top w:w="100" w:type="dxa"/>
        <w:left w:w="70" w:type="dxa"/>
        <w:bottom w:w="10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Yc8TPF+wSQrrJTNMF+ncnZ+2G3g==">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733</TotalTime>
  <Pages>3</Pages>
  <Words>674</Words>
  <Characters>3713</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Andres Tuta Quintero</dc:creator>
  <cp:lastModifiedBy>Medico Servicio Social FNC - Eduardo Andres Tuta</cp:lastModifiedBy>
  <cp:revision>32</cp:revision>
  <dcterms:created xsi:type="dcterms:W3CDTF">2023-02-08T17:15:00Z</dcterms:created>
  <dcterms:modified xsi:type="dcterms:W3CDTF">2023-08-04T15:06:00Z</dcterms:modified>
</cp:coreProperties>
</file>