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082798" w14:textId="04741ACE" w:rsidR="00393BD7" w:rsidRPr="00FE14A2" w:rsidRDefault="00393BD7" w:rsidP="00393BD7">
      <w:pPr>
        <w:pStyle w:val="Articletitle"/>
        <w:jc w:val="center"/>
      </w:pPr>
      <w:r>
        <w:t>The Comparative Effect</w:t>
      </w:r>
      <w:r w:rsidR="00E03F88">
        <w:t>s</w:t>
      </w:r>
      <w:r>
        <w:t xml:space="preserve"> of Visible Light and UV-A Radiation on the Combined Toxicity of P25 TiO</w:t>
      </w:r>
      <w:r w:rsidRPr="00FE14A2">
        <w:rPr>
          <w:vertAlign w:val="subscript"/>
        </w:rPr>
        <w:t>2</w:t>
      </w:r>
      <w:r>
        <w:rPr>
          <w:vertAlign w:val="subscript"/>
        </w:rPr>
        <w:t xml:space="preserve"> </w:t>
      </w:r>
      <w:r>
        <w:t xml:space="preserve">Nanoparticles and Polystyrene Microplastics on </w:t>
      </w:r>
      <w:r w:rsidRPr="00FE14A2">
        <w:rPr>
          <w:i/>
          <w:iCs/>
        </w:rPr>
        <w:t>Chlorella</w:t>
      </w:r>
      <w:r>
        <w:t xml:space="preserve"> sp. </w:t>
      </w:r>
    </w:p>
    <w:p w14:paraId="6226FD6D" w14:textId="42FAE2D5" w:rsidR="00C60DBE" w:rsidRDefault="00C60DBE" w:rsidP="00C60DBE">
      <w:pPr>
        <w:pStyle w:val="Authornames"/>
        <w:jc w:val="center"/>
        <w:rPr>
          <w:lang w:val="pt-BR"/>
        </w:rPr>
      </w:pPr>
      <w:r w:rsidRPr="00325697">
        <w:rPr>
          <w:lang w:val="pt-BR"/>
        </w:rPr>
        <w:t>Camil Rex</w:t>
      </w:r>
      <w:r w:rsidRPr="00325697">
        <w:rPr>
          <w:vertAlign w:val="superscript"/>
          <w:lang w:val="pt-BR"/>
        </w:rPr>
        <w:t>a</w:t>
      </w:r>
      <w:r w:rsidRPr="00325697">
        <w:rPr>
          <w:lang w:val="pt-BR"/>
        </w:rPr>
        <w:t xml:space="preserve"> and Amitava Mukherjee</w:t>
      </w:r>
      <w:r w:rsidRPr="00325697">
        <w:rPr>
          <w:vertAlign w:val="superscript"/>
          <w:lang w:val="pt-BR"/>
        </w:rPr>
        <w:t>a</w:t>
      </w:r>
      <w:r w:rsidRPr="00325697">
        <w:rPr>
          <w:lang w:val="pt-BR"/>
        </w:rPr>
        <w:t>*</w:t>
      </w:r>
    </w:p>
    <w:p w14:paraId="0CD529C0" w14:textId="77777777" w:rsidR="00C60DBE" w:rsidRPr="00AA774C" w:rsidRDefault="00C60DBE" w:rsidP="00C60DBE">
      <w:pPr>
        <w:rPr>
          <w:lang w:val="pt-BR" w:eastAsia="en-GB"/>
        </w:rPr>
      </w:pPr>
    </w:p>
    <w:p w14:paraId="68AF547C" w14:textId="77777777" w:rsidR="00C60DBE" w:rsidRPr="00AA774C" w:rsidRDefault="00C60DBE" w:rsidP="00C60DBE">
      <w:pPr>
        <w:jc w:val="center"/>
        <w:rPr>
          <w:rFonts w:ascii="Times New Roman" w:hAnsi="Times New Roman"/>
          <w:i/>
          <w:iCs/>
          <w:sz w:val="24"/>
          <w:szCs w:val="24"/>
        </w:rPr>
      </w:pPr>
      <w:r w:rsidRPr="00AA774C">
        <w:rPr>
          <w:rFonts w:ascii="Times New Roman" w:hAnsi="Times New Roman"/>
          <w:i/>
          <w:iCs/>
          <w:sz w:val="24"/>
          <w:szCs w:val="24"/>
          <w:vertAlign w:val="superscript"/>
        </w:rPr>
        <w:t>a</w:t>
      </w:r>
      <w:r>
        <w:rPr>
          <w:rFonts w:ascii="Times New Roman" w:hAnsi="Times New Roman"/>
          <w:i/>
          <w:iCs/>
          <w:sz w:val="24"/>
          <w:szCs w:val="24"/>
          <w:vertAlign w:val="superscript"/>
        </w:rPr>
        <w:t xml:space="preserve"> </w:t>
      </w:r>
      <w:r w:rsidRPr="00AA774C">
        <w:rPr>
          <w:rFonts w:ascii="Times New Roman" w:hAnsi="Times New Roman"/>
          <w:i/>
          <w:iCs/>
          <w:sz w:val="24"/>
          <w:szCs w:val="24"/>
        </w:rPr>
        <w:t>Centre for Nanobiotechnology, VIT, Vellore, Tamil Nadu, India</w:t>
      </w:r>
    </w:p>
    <w:p w14:paraId="2948F98E" w14:textId="77777777" w:rsidR="00C60DBE" w:rsidRPr="00AA774C" w:rsidRDefault="00C60DBE" w:rsidP="00C60DBE">
      <w:pPr>
        <w:spacing w:line="480" w:lineRule="auto"/>
        <w:jc w:val="both"/>
        <w:rPr>
          <w:rFonts w:ascii="Times New Roman" w:hAnsi="Times New Roman"/>
          <w:sz w:val="28"/>
          <w:szCs w:val="28"/>
        </w:rPr>
      </w:pP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r>
      <w:r>
        <w:tab/>
        <w:t xml:space="preserve">               </w:t>
      </w:r>
      <w:r w:rsidRPr="00AA774C">
        <w:rPr>
          <w:rFonts w:ascii="Times New Roman" w:hAnsi="Times New Roman"/>
          <w:b/>
          <w:bCs/>
          <w:sz w:val="24"/>
          <w:szCs w:val="24"/>
        </w:rPr>
        <w:t>* Corresponding Author</w:t>
      </w:r>
    </w:p>
    <w:p w14:paraId="6F9A94A0" w14:textId="77777777" w:rsidR="00C60DBE" w:rsidRPr="00AA774C" w:rsidRDefault="00C60DBE" w:rsidP="00C60DBE">
      <w:pPr>
        <w:spacing w:line="480" w:lineRule="auto"/>
        <w:jc w:val="both"/>
        <w:rPr>
          <w:rFonts w:ascii="Times New Roman" w:hAnsi="Times New Roman"/>
          <w:sz w:val="24"/>
          <w:szCs w:val="24"/>
        </w:rPr>
      </w:pPr>
      <w:r w:rsidRPr="00AA774C">
        <w:rPr>
          <w:rFonts w:ascii="Times New Roman" w:hAnsi="Times New Roman"/>
          <w:sz w:val="24"/>
          <w:szCs w:val="24"/>
        </w:rPr>
        <w:t>Amitava Mukherjee</w:t>
      </w:r>
    </w:p>
    <w:p w14:paraId="1844A860" w14:textId="77777777" w:rsidR="00C60DBE" w:rsidRPr="00AA774C" w:rsidRDefault="00C60DBE" w:rsidP="00C60DBE">
      <w:pPr>
        <w:spacing w:line="480" w:lineRule="auto"/>
        <w:jc w:val="both"/>
        <w:rPr>
          <w:rFonts w:ascii="Times New Roman" w:hAnsi="Times New Roman"/>
          <w:sz w:val="24"/>
          <w:szCs w:val="24"/>
        </w:rPr>
      </w:pPr>
      <w:r w:rsidRPr="00AA774C">
        <w:rPr>
          <w:rFonts w:ascii="Times New Roman" w:hAnsi="Times New Roman"/>
          <w:sz w:val="24"/>
          <w:szCs w:val="24"/>
        </w:rPr>
        <w:t>Senior Professor and Director</w:t>
      </w:r>
    </w:p>
    <w:p w14:paraId="1CFC343B" w14:textId="77777777" w:rsidR="00C60DBE" w:rsidRPr="00AA774C" w:rsidRDefault="00C60DBE" w:rsidP="00C60DBE">
      <w:pPr>
        <w:spacing w:line="480" w:lineRule="auto"/>
        <w:jc w:val="both"/>
        <w:rPr>
          <w:rFonts w:ascii="Times New Roman" w:hAnsi="Times New Roman"/>
          <w:sz w:val="24"/>
          <w:szCs w:val="24"/>
        </w:rPr>
      </w:pPr>
      <w:r w:rsidRPr="00AA774C">
        <w:rPr>
          <w:rFonts w:ascii="Times New Roman" w:hAnsi="Times New Roman"/>
          <w:sz w:val="24"/>
          <w:szCs w:val="24"/>
        </w:rPr>
        <w:t>Centre for Nanobiotechnology</w:t>
      </w:r>
    </w:p>
    <w:p w14:paraId="126C8E9B" w14:textId="77777777" w:rsidR="00C60DBE" w:rsidRPr="00AA774C" w:rsidRDefault="00C60DBE" w:rsidP="00C60DBE">
      <w:pPr>
        <w:spacing w:line="480" w:lineRule="auto"/>
        <w:jc w:val="both"/>
        <w:rPr>
          <w:rFonts w:ascii="Times New Roman" w:hAnsi="Times New Roman"/>
          <w:sz w:val="24"/>
          <w:szCs w:val="24"/>
        </w:rPr>
      </w:pPr>
      <w:r w:rsidRPr="00AA774C">
        <w:rPr>
          <w:rFonts w:ascii="Times New Roman" w:hAnsi="Times New Roman"/>
          <w:sz w:val="24"/>
          <w:szCs w:val="24"/>
        </w:rPr>
        <w:t>Vellore Institute of Technology, Vellore 632014, India</w:t>
      </w:r>
    </w:p>
    <w:p w14:paraId="69A79B9C" w14:textId="77777777" w:rsidR="00C60DBE" w:rsidRDefault="00C60DBE" w:rsidP="00C60DBE">
      <w:pPr>
        <w:spacing w:line="480" w:lineRule="auto"/>
        <w:jc w:val="both"/>
        <w:rPr>
          <w:rFonts w:ascii="Times New Roman" w:hAnsi="Times New Roman"/>
          <w:b/>
          <w:bCs/>
          <w:sz w:val="24"/>
          <w:szCs w:val="24"/>
        </w:rPr>
      </w:pPr>
      <w:r w:rsidRPr="00AA774C">
        <w:rPr>
          <w:rFonts w:ascii="Times New Roman" w:hAnsi="Times New Roman"/>
          <w:sz w:val="24"/>
          <w:szCs w:val="24"/>
        </w:rPr>
        <w:t xml:space="preserve">Email: </w:t>
      </w:r>
      <w:hyperlink r:id="rId7" w:history="1">
        <w:r w:rsidRPr="007276DE">
          <w:rPr>
            <w:rStyle w:val="Hyperlink"/>
            <w:rFonts w:ascii="Times New Roman" w:hAnsi="Times New Roman"/>
            <w:sz w:val="24"/>
            <w:szCs w:val="24"/>
          </w:rPr>
          <w:t>amitav@vit.ac.in, amit.mookerjea@gmail.com</w:t>
        </w:r>
      </w:hyperlink>
      <w:r>
        <w:rPr>
          <w:rFonts w:ascii="Times New Roman" w:hAnsi="Times New Roman"/>
          <w:sz w:val="24"/>
          <w:szCs w:val="24"/>
        </w:rPr>
        <w:t xml:space="preserve"> </w:t>
      </w:r>
      <w:r>
        <w:br w:type="page"/>
      </w:r>
    </w:p>
    <w:p w14:paraId="74F03B1F" w14:textId="77777777" w:rsidR="002F6DDE" w:rsidRPr="00A9665F" w:rsidRDefault="002F6DDE" w:rsidP="00C60DBE">
      <w:pPr>
        <w:spacing w:line="480" w:lineRule="auto"/>
        <w:jc w:val="center"/>
        <w:rPr>
          <w:rFonts w:ascii="Times New Roman" w:hAnsi="Times New Roman"/>
          <w:b/>
          <w:sz w:val="24"/>
          <w:szCs w:val="24"/>
          <w:u w:val="single"/>
          <w:lang w:val="en-GB"/>
        </w:rPr>
      </w:pPr>
      <w:r w:rsidRPr="00A9665F">
        <w:rPr>
          <w:rFonts w:ascii="Times New Roman" w:hAnsi="Times New Roman"/>
          <w:b/>
          <w:sz w:val="24"/>
          <w:szCs w:val="24"/>
          <w:u w:val="single"/>
          <w:lang w:val="en-GB"/>
        </w:rPr>
        <w:lastRenderedPageBreak/>
        <w:t>Supplementary Information</w:t>
      </w:r>
    </w:p>
    <w:p w14:paraId="3F190D59" w14:textId="77777777" w:rsidR="002F6DDE" w:rsidRPr="00BC684E" w:rsidRDefault="002F6DDE" w:rsidP="00C60DBE">
      <w:pPr>
        <w:spacing w:line="480" w:lineRule="auto"/>
        <w:jc w:val="both"/>
        <w:rPr>
          <w:rFonts w:ascii="Times New Roman" w:hAnsi="Times New Roman"/>
          <w:b/>
          <w:sz w:val="24"/>
          <w:szCs w:val="24"/>
          <w:u w:val="single"/>
          <w:lang w:val="en-GB"/>
        </w:rPr>
      </w:pPr>
      <w:r w:rsidRPr="00BC684E">
        <w:rPr>
          <w:rFonts w:ascii="Times New Roman" w:hAnsi="Times New Roman"/>
          <w:b/>
          <w:sz w:val="24"/>
          <w:szCs w:val="24"/>
          <w:u w:val="single"/>
          <w:lang w:val="en-GB"/>
        </w:rPr>
        <w:t xml:space="preserve">Tables: </w:t>
      </w:r>
    </w:p>
    <w:p w14:paraId="3F21D730" w14:textId="77777777" w:rsidR="002F6DDE" w:rsidRDefault="002F6DDE" w:rsidP="00C60DBE">
      <w:pPr>
        <w:spacing w:after="0" w:line="480" w:lineRule="auto"/>
        <w:jc w:val="both"/>
        <w:rPr>
          <w:rFonts w:ascii="Times New Roman" w:eastAsia="Times New Roman" w:hAnsi="Times New Roman"/>
          <w:b/>
          <w:sz w:val="24"/>
          <w:szCs w:val="24"/>
          <w:u w:val="single"/>
        </w:rPr>
      </w:pPr>
      <w:r>
        <w:rPr>
          <w:rFonts w:ascii="Times New Roman" w:eastAsia="Times New Roman" w:hAnsi="Times New Roman"/>
          <w:b/>
          <w:sz w:val="24"/>
          <w:szCs w:val="24"/>
        </w:rPr>
        <w:t xml:space="preserve">Table S1. Composition of Artificial Sea Water per 1000 ml </w:t>
      </w:r>
    </w:p>
    <w:p w14:paraId="10492DB3" w14:textId="77777777" w:rsidR="002F6DDE" w:rsidRDefault="002F6DDE" w:rsidP="00C60DBE">
      <w:pPr>
        <w:spacing w:after="0" w:line="480" w:lineRule="auto"/>
        <w:jc w:val="both"/>
        <w:rPr>
          <w:rFonts w:ascii="Times New Roman" w:eastAsia="Times New Roman" w:hAnsi="Times New Roman"/>
          <w:color w:val="000000"/>
          <w:sz w:val="24"/>
          <w:szCs w:val="24"/>
          <w:u w:val="single"/>
        </w:rPr>
      </w:pPr>
    </w:p>
    <w:tbl>
      <w:tblPr>
        <w:tblStyle w:val="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2F6DDE" w14:paraId="748A770F" w14:textId="77777777" w:rsidTr="00771266">
        <w:tc>
          <w:tcPr>
            <w:tcW w:w="4675" w:type="dxa"/>
          </w:tcPr>
          <w:p w14:paraId="626AD6A9" w14:textId="77777777" w:rsidR="002F6DDE" w:rsidRDefault="002F6DDE" w:rsidP="00C60DBE">
            <w:pPr>
              <w:spacing w:line="480" w:lineRule="auto"/>
              <w:jc w:val="center"/>
              <w:rPr>
                <w:rFonts w:ascii="Times New Roman" w:eastAsia="Times New Roman" w:hAnsi="Times New Roman"/>
                <w:b/>
                <w:sz w:val="24"/>
                <w:szCs w:val="24"/>
              </w:rPr>
            </w:pPr>
            <w:r>
              <w:rPr>
                <w:rFonts w:ascii="Times New Roman" w:eastAsia="Times New Roman" w:hAnsi="Times New Roman"/>
                <w:b/>
                <w:sz w:val="24"/>
                <w:szCs w:val="24"/>
              </w:rPr>
              <w:t>Chemicals</w:t>
            </w:r>
          </w:p>
        </w:tc>
        <w:tc>
          <w:tcPr>
            <w:tcW w:w="4675" w:type="dxa"/>
          </w:tcPr>
          <w:p w14:paraId="37B9F8CC" w14:textId="77777777" w:rsidR="002F6DDE" w:rsidRDefault="002F6DDE" w:rsidP="00C60DBE">
            <w:pPr>
              <w:spacing w:line="480" w:lineRule="auto"/>
              <w:jc w:val="center"/>
              <w:rPr>
                <w:rFonts w:ascii="Times New Roman" w:eastAsia="Times New Roman" w:hAnsi="Times New Roman"/>
                <w:b/>
                <w:sz w:val="24"/>
                <w:szCs w:val="24"/>
              </w:rPr>
            </w:pPr>
            <w:r>
              <w:rPr>
                <w:rFonts w:ascii="Times New Roman" w:eastAsia="Times New Roman" w:hAnsi="Times New Roman"/>
                <w:b/>
                <w:sz w:val="24"/>
                <w:szCs w:val="24"/>
              </w:rPr>
              <w:t>Grams</w:t>
            </w:r>
          </w:p>
        </w:tc>
      </w:tr>
      <w:tr w:rsidR="002F6DDE" w14:paraId="42008449" w14:textId="77777777" w:rsidTr="00771266">
        <w:tc>
          <w:tcPr>
            <w:tcW w:w="4675" w:type="dxa"/>
          </w:tcPr>
          <w:p w14:paraId="7F066931"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Sodium Chloride</w:t>
            </w:r>
          </w:p>
        </w:tc>
        <w:tc>
          <w:tcPr>
            <w:tcW w:w="4675" w:type="dxa"/>
          </w:tcPr>
          <w:p w14:paraId="33FE68A0"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26.29</w:t>
            </w:r>
          </w:p>
        </w:tc>
      </w:tr>
      <w:tr w:rsidR="002F6DDE" w14:paraId="286B3F5A" w14:textId="77777777" w:rsidTr="00771266">
        <w:tc>
          <w:tcPr>
            <w:tcW w:w="4675" w:type="dxa"/>
          </w:tcPr>
          <w:p w14:paraId="28DFCD45"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Potassium chloride</w:t>
            </w:r>
          </w:p>
        </w:tc>
        <w:tc>
          <w:tcPr>
            <w:tcW w:w="4675" w:type="dxa"/>
          </w:tcPr>
          <w:p w14:paraId="2CD2A75C"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0.74</w:t>
            </w:r>
          </w:p>
        </w:tc>
      </w:tr>
      <w:tr w:rsidR="002F6DDE" w14:paraId="0A50C290" w14:textId="77777777" w:rsidTr="00771266">
        <w:tc>
          <w:tcPr>
            <w:tcW w:w="4675" w:type="dxa"/>
          </w:tcPr>
          <w:p w14:paraId="356A2BC0"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Calcium chloride</w:t>
            </w:r>
          </w:p>
        </w:tc>
        <w:tc>
          <w:tcPr>
            <w:tcW w:w="4675" w:type="dxa"/>
          </w:tcPr>
          <w:p w14:paraId="451D263D"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0.99</w:t>
            </w:r>
          </w:p>
        </w:tc>
      </w:tr>
      <w:tr w:rsidR="002F6DDE" w14:paraId="2D91BE0E" w14:textId="77777777" w:rsidTr="00771266">
        <w:tc>
          <w:tcPr>
            <w:tcW w:w="4675" w:type="dxa"/>
          </w:tcPr>
          <w:p w14:paraId="5744BDF7"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Magnesium chloride</w:t>
            </w:r>
          </w:p>
        </w:tc>
        <w:tc>
          <w:tcPr>
            <w:tcW w:w="4675" w:type="dxa"/>
          </w:tcPr>
          <w:p w14:paraId="03389AA8"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6.09</w:t>
            </w:r>
          </w:p>
        </w:tc>
      </w:tr>
      <w:tr w:rsidR="002F6DDE" w14:paraId="3EB2D915" w14:textId="77777777" w:rsidTr="00771266">
        <w:tc>
          <w:tcPr>
            <w:tcW w:w="4675" w:type="dxa"/>
          </w:tcPr>
          <w:p w14:paraId="4B34DA35"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Magnesium sulphate heptahydrate</w:t>
            </w:r>
          </w:p>
        </w:tc>
        <w:tc>
          <w:tcPr>
            <w:tcW w:w="4675" w:type="dxa"/>
          </w:tcPr>
          <w:p w14:paraId="45A3F9CC"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3.94</w:t>
            </w:r>
          </w:p>
        </w:tc>
      </w:tr>
    </w:tbl>
    <w:p w14:paraId="6E3EC987" w14:textId="77777777" w:rsidR="002F6DDE" w:rsidRDefault="002F6DDE" w:rsidP="00C60DBE">
      <w:pPr>
        <w:spacing w:line="480" w:lineRule="auto"/>
        <w:jc w:val="both"/>
        <w:rPr>
          <w:rFonts w:ascii="Times New Roman" w:hAnsi="Times New Roman"/>
          <w:b/>
          <w:sz w:val="24"/>
          <w:szCs w:val="24"/>
          <w:lang w:val="en-GB"/>
        </w:rPr>
      </w:pPr>
    </w:p>
    <w:p w14:paraId="6921FB5C" w14:textId="3604AF9B" w:rsidR="002F6DDE" w:rsidRDefault="002F6DDE" w:rsidP="00C60DBE">
      <w:pPr>
        <w:spacing w:line="480" w:lineRule="auto"/>
        <w:rPr>
          <w:rFonts w:ascii="Times New Roman" w:eastAsia="Times New Roman" w:hAnsi="Times New Roman"/>
          <w:b/>
          <w:color w:val="000000"/>
          <w:sz w:val="24"/>
          <w:szCs w:val="24"/>
        </w:rPr>
      </w:pPr>
      <w:r w:rsidRPr="002F6DDE">
        <w:rPr>
          <w:rFonts w:ascii="Times New Roman" w:eastAsia="Times New Roman" w:hAnsi="Times New Roman"/>
          <w:b/>
          <w:color w:val="000000"/>
          <w:sz w:val="24"/>
          <w:szCs w:val="24"/>
        </w:rPr>
        <w:t>Table S 2. Preparation of Conway medium</w:t>
      </w:r>
    </w:p>
    <w:p w14:paraId="79C62425" w14:textId="2A0E5DAB" w:rsidR="002F6DDE" w:rsidRPr="00393BD7" w:rsidRDefault="002F6DDE" w:rsidP="00C60DBE">
      <w:pPr>
        <w:spacing w:line="480" w:lineRule="auto"/>
        <w:rPr>
          <w:rFonts w:ascii="Times New Roman" w:eastAsia="Times New Roman" w:hAnsi="Times New Roman"/>
          <w:b/>
          <w:color w:val="000000"/>
          <w:sz w:val="24"/>
          <w:szCs w:val="24"/>
        </w:rPr>
      </w:pPr>
      <w:r w:rsidRPr="00393BD7">
        <w:rPr>
          <w:rFonts w:ascii="Times New Roman" w:eastAsia="Times New Roman" w:hAnsi="Times New Roman"/>
          <w:b/>
          <w:color w:val="000000"/>
          <w:sz w:val="24"/>
          <w:szCs w:val="24"/>
        </w:rPr>
        <w:t>Table S2.</w:t>
      </w:r>
      <w:r w:rsidRPr="00393BD7">
        <w:rPr>
          <w:rFonts w:ascii="Times New Roman" w:hAnsi="Times New Roman"/>
          <w:sz w:val="24"/>
          <w:szCs w:val="24"/>
        </w:rPr>
        <w:t>1</w:t>
      </w:r>
      <w:r w:rsidRPr="00393BD7">
        <w:rPr>
          <w:rFonts w:ascii="Times New Roman" w:eastAsia="Times New Roman" w:hAnsi="Times New Roman"/>
          <w:b/>
          <w:color w:val="000000"/>
          <w:sz w:val="24"/>
          <w:szCs w:val="24"/>
        </w:rPr>
        <w:t xml:space="preserve"> Preparation of stock 1 per 100 ml</w:t>
      </w:r>
    </w:p>
    <w:tbl>
      <w:tblPr>
        <w:tblStyle w:val="3"/>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2F6DDE" w14:paraId="2C6418AA" w14:textId="77777777" w:rsidTr="00771266">
        <w:trPr>
          <w:jc w:val="center"/>
        </w:trPr>
        <w:tc>
          <w:tcPr>
            <w:tcW w:w="4675" w:type="dxa"/>
          </w:tcPr>
          <w:p w14:paraId="4165930E" w14:textId="77777777" w:rsidR="002F6DDE" w:rsidRDefault="002F6DDE" w:rsidP="00C60DBE">
            <w:pPr>
              <w:pBdr>
                <w:top w:val="nil"/>
                <w:left w:val="nil"/>
                <w:bottom w:val="nil"/>
                <w:right w:val="nil"/>
                <w:between w:val="nil"/>
              </w:pBdr>
              <w:spacing w:line="480" w:lineRule="auto"/>
              <w:jc w:val="center"/>
              <w:rPr>
                <w:rFonts w:ascii="Times New Roman" w:eastAsia="Times New Roman" w:hAnsi="Times New Roman"/>
                <w:b/>
                <w:color w:val="000000"/>
                <w:sz w:val="24"/>
                <w:szCs w:val="24"/>
              </w:rPr>
            </w:pPr>
            <w:r>
              <w:rPr>
                <w:rFonts w:ascii="Times New Roman" w:eastAsia="Times New Roman" w:hAnsi="Times New Roman"/>
                <w:b/>
                <w:color w:val="000000"/>
                <w:sz w:val="24"/>
                <w:szCs w:val="24"/>
              </w:rPr>
              <w:t>Chemicals</w:t>
            </w:r>
          </w:p>
        </w:tc>
        <w:tc>
          <w:tcPr>
            <w:tcW w:w="4675" w:type="dxa"/>
          </w:tcPr>
          <w:p w14:paraId="70C7646A" w14:textId="77777777" w:rsidR="002F6DDE" w:rsidRDefault="002F6DDE" w:rsidP="00C60DBE">
            <w:pPr>
              <w:pBdr>
                <w:top w:val="nil"/>
                <w:left w:val="nil"/>
                <w:bottom w:val="nil"/>
                <w:right w:val="nil"/>
                <w:between w:val="nil"/>
              </w:pBdr>
              <w:spacing w:line="480" w:lineRule="auto"/>
              <w:jc w:val="center"/>
              <w:rPr>
                <w:rFonts w:ascii="Times New Roman" w:eastAsia="Times New Roman" w:hAnsi="Times New Roman"/>
                <w:b/>
                <w:color w:val="000000"/>
                <w:sz w:val="24"/>
                <w:szCs w:val="24"/>
              </w:rPr>
            </w:pPr>
            <w:r>
              <w:rPr>
                <w:rFonts w:ascii="Times New Roman" w:eastAsia="Times New Roman" w:hAnsi="Times New Roman"/>
                <w:b/>
                <w:color w:val="000000"/>
                <w:sz w:val="24"/>
                <w:szCs w:val="24"/>
              </w:rPr>
              <w:t>Grams</w:t>
            </w:r>
          </w:p>
        </w:tc>
      </w:tr>
      <w:tr w:rsidR="002F6DDE" w14:paraId="50E5AFA0" w14:textId="77777777" w:rsidTr="00771266">
        <w:trPr>
          <w:jc w:val="center"/>
        </w:trPr>
        <w:tc>
          <w:tcPr>
            <w:tcW w:w="4675" w:type="dxa"/>
          </w:tcPr>
          <w:p w14:paraId="171309CD" w14:textId="77777777" w:rsidR="002F6DDE" w:rsidRDefault="002F6DDE" w:rsidP="00C60DBE">
            <w:pPr>
              <w:pBdr>
                <w:top w:val="nil"/>
                <w:left w:val="nil"/>
                <w:bottom w:val="nil"/>
                <w:right w:val="nil"/>
                <w:between w:val="nil"/>
              </w:pBdr>
              <w:spacing w:line="48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Zinc chloride</w:t>
            </w:r>
          </w:p>
        </w:tc>
        <w:tc>
          <w:tcPr>
            <w:tcW w:w="4675" w:type="dxa"/>
          </w:tcPr>
          <w:p w14:paraId="506BC15B" w14:textId="77777777" w:rsidR="002F6DDE" w:rsidRDefault="002F6DDE" w:rsidP="00C60DBE">
            <w:pPr>
              <w:pBdr>
                <w:top w:val="nil"/>
                <w:left w:val="nil"/>
                <w:bottom w:val="nil"/>
                <w:right w:val="nil"/>
                <w:between w:val="nil"/>
              </w:pBdr>
              <w:spacing w:line="48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2.1</w:t>
            </w:r>
          </w:p>
        </w:tc>
      </w:tr>
      <w:tr w:rsidR="002F6DDE" w14:paraId="27E9C7E5" w14:textId="77777777" w:rsidTr="00771266">
        <w:trPr>
          <w:jc w:val="center"/>
        </w:trPr>
        <w:tc>
          <w:tcPr>
            <w:tcW w:w="4675" w:type="dxa"/>
          </w:tcPr>
          <w:p w14:paraId="168F78BA" w14:textId="77777777" w:rsidR="002F6DDE" w:rsidRDefault="002F6DDE" w:rsidP="00C60DBE">
            <w:pPr>
              <w:pBdr>
                <w:top w:val="nil"/>
                <w:left w:val="nil"/>
                <w:bottom w:val="nil"/>
                <w:right w:val="nil"/>
                <w:between w:val="nil"/>
              </w:pBdr>
              <w:spacing w:line="48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Cobalt chloride</w:t>
            </w:r>
          </w:p>
        </w:tc>
        <w:tc>
          <w:tcPr>
            <w:tcW w:w="4675" w:type="dxa"/>
          </w:tcPr>
          <w:p w14:paraId="191724C1" w14:textId="77777777" w:rsidR="002F6DDE" w:rsidRDefault="002F6DDE" w:rsidP="00C60DBE">
            <w:pPr>
              <w:pBdr>
                <w:top w:val="nil"/>
                <w:left w:val="nil"/>
                <w:bottom w:val="nil"/>
                <w:right w:val="nil"/>
                <w:between w:val="nil"/>
              </w:pBdr>
              <w:spacing w:line="48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2.0</w:t>
            </w:r>
          </w:p>
        </w:tc>
      </w:tr>
      <w:tr w:rsidR="002F6DDE" w14:paraId="49499C80" w14:textId="77777777" w:rsidTr="00771266">
        <w:trPr>
          <w:jc w:val="center"/>
        </w:trPr>
        <w:tc>
          <w:tcPr>
            <w:tcW w:w="4675" w:type="dxa"/>
          </w:tcPr>
          <w:p w14:paraId="4EA6767B" w14:textId="77777777" w:rsidR="002F6DDE" w:rsidRDefault="002F6DDE" w:rsidP="00C60DBE">
            <w:pPr>
              <w:pBdr>
                <w:top w:val="nil"/>
                <w:left w:val="nil"/>
                <w:bottom w:val="nil"/>
                <w:right w:val="nil"/>
                <w:between w:val="nil"/>
              </w:pBdr>
              <w:spacing w:line="48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Ammomium molybdate</w:t>
            </w:r>
          </w:p>
        </w:tc>
        <w:tc>
          <w:tcPr>
            <w:tcW w:w="4675" w:type="dxa"/>
          </w:tcPr>
          <w:p w14:paraId="631C21CD" w14:textId="77777777" w:rsidR="002F6DDE" w:rsidRDefault="002F6DDE" w:rsidP="00C60DBE">
            <w:pPr>
              <w:pBdr>
                <w:top w:val="nil"/>
                <w:left w:val="nil"/>
                <w:bottom w:val="nil"/>
                <w:right w:val="nil"/>
                <w:between w:val="nil"/>
              </w:pBdr>
              <w:spacing w:line="48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0.9</w:t>
            </w:r>
          </w:p>
        </w:tc>
      </w:tr>
      <w:tr w:rsidR="002F6DDE" w14:paraId="5FFAABD9" w14:textId="77777777" w:rsidTr="00771266">
        <w:trPr>
          <w:jc w:val="center"/>
        </w:trPr>
        <w:tc>
          <w:tcPr>
            <w:tcW w:w="4675" w:type="dxa"/>
          </w:tcPr>
          <w:p w14:paraId="2805AAFA" w14:textId="77777777" w:rsidR="002F6DDE" w:rsidRDefault="002F6DDE" w:rsidP="00C60DBE">
            <w:pPr>
              <w:pBdr>
                <w:top w:val="nil"/>
                <w:left w:val="nil"/>
                <w:bottom w:val="nil"/>
                <w:right w:val="nil"/>
                <w:between w:val="nil"/>
              </w:pBdr>
              <w:spacing w:line="48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Copper sulphate</w:t>
            </w:r>
          </w:p>
        </w:tc>
        <w:tc>
          <w:tcPr>
            <w:tcW w:w="4675" w:type="dxa"/>
          </w:tcPr>
          <w:p w14:paraId="7C7CEF71" w14:textId="77777777" w:rsidR="002F6DDE" w:rsidRDefault="002F6DDE" w:rsidP="00C60DBE">
            <w:pPr>
              <w:pBdr>
                <w:top w:val="nil"/>
                <w:left w:val="nil"/>
                <w:bottom w:val="nil"/>
                <w:right w:val="nil"/>
                <w:between w:val="nil"/>
              </w:pBdr>
              <w:spacing w:line="480" w:lineRule="auto"/>
              <w:jc w:val="center"/>
              <w:rPr>
                <w:rFonts w:ascii="Times New Roman" w:eastAsia="Times New Roman" w:hAnsi="Times New Roman"/>
                <w:color w:val="000000"/>
                <w:sz w:val="24"/>
                <w:szCs w:val="24"/>
              </w:rPr>
            </w:pPr>
            <w:r>
              <w:rPr>
                <w:rFonts w:ascii="Times New Roman" w:eastAsia="Times New Roman" w:hAnsi="Times New Roman"/>
                <w:color w:val="000000"/>
                <w:sz w:val="24"/>
                <w:szCs w:val="24"/>
              </w:rPr>
              <w:t>2.0</w:t>
            </w:r>
          </w:p>
        </w:tc>
      </w:tr>
    </w:tbl>
    <w:p w14:paraId="6B47223D" w14:textId="77777777" w:rsidR="002F6DDE" w:rsidRDefault="002F6DDE" w:rsidP="00C60DBE">
      <w:pPr>
        <w:pBdr>
          <w:top w:val="nil"/>
          <w:left w:val="nil"/>
          <w:bottom w:val="nil"/>
          <w:right w:val="nil"/>
          <w:between w:val="nil"/>
        </w:pBdr>
        <w:spacing w:after="0" w:line="480" w:lineRule="auto"/>
        <w:rPr>
          <w:rFonts w:ascii="Times New Roman" w:eastAsia="Times New Roman" w:hAnsi="Times New Roman"/>
          <w:b/>
          <w:color w:val="000000"/>
          <w:sz w:val="24"/>
          <w:szCs w:val="24"/>
        </w:rPr>
      </w:pPr>
    </w:p>
    <w:p w14:paraId="22F98170" w14:textId="2FCEAAF1" w:rsidR="002F6DDE" w:rsidRDefault="002F6DDE" w:rsidP="00C60DBE">
      <w:pPr>
        <w:pBdr>
          <w:top w:val="nil"/>
          <w:left w:val="nil"/>
          <w:bottom w:val="nil"/>
          <w:right w:val="nil"/>
          <w:between w:val="nil"/>
        </w:pBdr>
        <w:spacing w:after="0" w:line="480" w:lineRule="auto"/>
        <w:rPr>
          <w:rFonts w:ascii="Times New Roman" w:eastAsia="Times New Roman" w:hAnsi="Times New Roman"/>
          <w:b/>
          <w:color w:val="000000"/>
          <w:sz w:val="24"/>
          <w:szCs w:val="24"/>
        </w:rPr>
      </w:pPr>
      <w:r>
        <w:rPr>
          <w:rFonts w:ascii="Times New Roman" w:eastAsia="Times New Roman" w:hAnsi="Times New Roman"/>
          <w:b/>
          <w:color w:val="000000"/>
          <w:sz w:val="24"/>
          <w:szCs w:val="24"/>
        </w:rPr>
        <w:lastRenderedPageBreak/>
        <w:t>Table S2.2 Preparation of stock 2 per 100ml</w:t>
      </w:r>
    </w:p>
    <w:tbl>
      <w:tblPr>
        <w:tblStyle w:val="2"/>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2F6DDE" w14:paraId="79A533BA" w14:textId="77777777" w:rsidTr="00771266">
        <w:trPr>
          <w:jc w:val="center"/>
        </w:trPr>
        <w:tc>
          <w:tcPr>
            <w:tcW w:w="4675" w:type="dxa"/>
          </w:tcPr>
          <w:p w14:paraId="58E76227" w14:textId="77777777" w:rsidR="002F6DDE" w:rsidRDefault="002F6DDE" w:rsidP="00C60DBE">
            <w:pPr>
              <w:spacing w:line="480" w:lineRule="auto"/>
              <w:jc w:val="center"/>
              <w:rPr>
                <w:rFonts w:ascii="Times New Roman" w:eastAsia="Times New Roman" w:hAnsi="Times New Roman"/>
                <w:b/>
                <w:sz w:val="24"/>
                <w:szCs w:val="24"/>
              </w:rPr>
            </w:pPr>
            <w:r>
              <w:rPr>
                <w:rFonts w:ascii="Times New Roman" w:eastAsia="Times New Roman" w:hAnsi="Times New Roman"/>
                <w:b/>
                <w:sz w:val="24"/>
                <w:szCs w:val="24"/>
              </w:rPr>
              <w:t>Chemicals</w:t>
            </w:r>
          </w:p>
        </w:tc>
        <w:tc>
          <w:tcPr>
            <w:tcW w:w="4675" w:type="dxa"/>
          </w:tcPr>
          <w:p w14:paraId="3FAD6269" w14:textId="77777777" w:rsidR="002F6DDE" w:rsidRDefault="002F6DDE" w:rsidP="00C60DBE">
            <w:pPr>
              <w:spacing w:line="480" w:lineRule="auto"/>
              <w:jc w:val="center"/>
              <w:rPr>
                <w:rFonts w:ascii="Times New Roman" w:eastAsia="Times New Roman" w:hAnsi="Times New Roman"/>
                <w:b/>
                <w:sz w:val="24"/>
                <w:szCs w:val="24"/>
              </w:rPr>
            </w:pPr>
            <w:r>
              <w:rPr>
                <w:rFonts w:ascii="Times New Roman" w:eastAsia="Times New Roman" w:hAnsi="Times New Roman"/>
                <w:b/>
                <w:sz w:val="24"/>
                <w:szCs w:val="24"/>
              </w:rPr>
              <w:t>Milligrams</w:t>
            </w:r>
          </w:p>
        </w:tc>
      </w:tr>
      <w:tr w:rsidR="002F6DDE" w14:paraId="457FB5A9" w14:textId="77777777" w:rsidTr="00771266">
        <w:trPr>
          <w:jc w:val="center"/>
        </w:trPr>
        <w:tc>
          <w:tcPr>
            <w:tcW w:w="4675" w:type="dxa"/>
          </w:tcPr>
          <w:p w14:paraId="51BE61C0"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Vitamin B12</w:t>
            </w:r>
          </w:p>
        </w:tc>
        <w:tc>
          <w:tcPr>
            <w:tcW w:w="4675" w:type="dxa"/>
          </w:tcPr>
          <w:p w14:paraId="0FB8F445"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10</w:t>
            </w:r>
          </w:p>
        </w:tc>
      </w:tr>
      <w:tr w:rsidR="002F6DDE" w14:paraId="0BEAFF95" w14:textId="77777777" w:rsidTr="00771266">
        <w:trPr>
          <w:jc w:val="center"/>
        </w:trPr>
        <w:tc>
          <w:tcPr>
            <w:tcW w:w="4675" w:type="dxa"/>
          </w:tcPr>
          <w:p w14:paraId="4F68EFE2"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Vitamin B6</w:t>
            </w:r>
          </w:p>
        </w:tc>
        <w:tc>
          <w:tcPr>
            <w:tcW w:w="4675" w:type="dxa"/>
          </w:tcPr>
          <w:p w14:paraId="07C782A1"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10</w:t>
            </w:r>
          </w:p>
        </w:tc>
      </w:tr>
    </w:tbl>
    <w:p w14:paraId="515BA73B" w14:textId="77777777" w:rsidR="002F6DDE" w:rsidRDefault="002F6DDE" w:rsidP="00C60DBE">
      <w:pPr>
        <w:spacing w:line="480" w:lineRule="auto"/>
        <w:rPr>
          <w:rFonts w:ascii="Times New Roman" w:eastAsia="Times New Roman" w:hAnsi="Times New Roman"/>
          <w:sz w:val="24"/>
          <w:szCs w:val="24"/>
        </w:rPr>
      </w:pPr>
    </w:p>
    <w:p w14:paraId="442B73CD" w14:textId="2E517A6B" w:rsidR="002F6DDE" w:rsidRDefault="002F6DDE" w:rsidP="00C60DBE">
      <w:pPr>
        <w:spacing w:line="480" w:lineRule="auto"/>
        <w:rPr>
          <w:rFonts w:ascii="Times New Roman" w:eastAsia="Times New Roman" w:hAnsi="Times New Roman"/>
          <w:b/>
          <w:sz w:val="24"/>
          <w:szCs w:val="24"/>
        </w:rPr>
      </w:pPr>
      <w:r>
        <w:rPr>
          <w:rFonts w:ascii="Times New Roman" w:eastAsia="Times New Roman" w:hAnsi="Times New Roman"/>
          <w:b/>
          <w:sz w:val="24"/>
          <w:szCs w:val="24"/>
        </w:rPr>
        <w:t>Table S2.3 Preparation of stock 3 per L</w:t>
      </w:r>
    </w:p>
    <w:tbl>
      <w:tblPr>
        <w:tblStyle w:val="1"/>
        <w:tblW w:w="935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675"/>
        <w:gridCol w:w="4675"/>
      </w:tblGrid>
      <w:tr w:rsidR="002F6DDE" w14:paraId="6C6918A2" w14:textId="77777777" w:rsidTr="00771266">
        <w:trPr>
          <w:jc w:val="center"/>
        </w:trPr>
        <w:tc>
          <w:tcPr>
            <w:tcW w:w="4675" w:type="dxa"/>
          </w:tcPr>
          <w:p w14:paraId="5206527E" w14:textId="77777777" w:rsidR="002F6DDE" w:rsidRDefault="002F6DDE" w:rsidP="00C60DBE">
            <w:pPr>
              <w:spacing w:line="480" w:lineRule="auto"/>
              <w:jc w:val="center"/>
              <w:rPr>
                <w:rFonts w:ascii="Times New Roman" w:eastAsia="Times New Roman" w:hAnsi="Times New Roman"/>
                <w:b/>
                <w:sz w:val="24"/>
                <w:szCs w:val="24"/>
              </w:rPr>
            </w:pPr>
            <w:r>
              <w:rPr>
                <w:rFonts w:ascii="Times New Roman" w:eastAsia="Times New Roman" w:hAnsi="Times New Roman"/>
                <w:b/>
                <w:sz w:val="24"/>
                <w:szCs w:val="24"/>
              </w:rPr>
              <w:t>Chemicals</w:t>
            </w:r>
          </w:p>
        </w:tc>
        <w:tc>
          <w:tcPr>
            <w:tcW w:w="4675" w:type="dxa"/>
          </w:tcPr>
          <w:p w14:paraId="57978F80" w14:textId="77777777" w:rsidR="002F6DDE" w:rsidRDefault="002F6DDE" w:rsidP="00C60DBE">
            <w:pPr>
              <w:spacing w:line="480" w:lineRule="auto"/>
              <w:jc w:val="center"/>
              <w:rPr>
                <w:rFonts w:ascii="Times New Roman" w:eastAsia="Times New Roman" w:hAnsi="Times New Roman"/>
                <w:b/>
                <w:sz w:val="24"/>
                <w:szCs w:val="24"/>
              </w:rPr>
            </w:pPr>
            <w:r>
              <w:rPr>
                <w:rFonts w:ascii="Times New Roman" w:eastAsia="Times New Roman" w:hAnsi="Times New Roman"/>
                <w:b/>
                <w:sz w:val="24"/>
                <w:szCs w:val="24"/>
              </w:rPr>
              <w:t>Grams</w:t>
            </w:r>
          </w:p>
        </w:tc>
      </w:tr>
      <w:tr w:rsidR="002F6DDE" w14:paraId="3EDC7B74" w14:textId="77777777" w:rsidTr="00771266">
        <w:trPr>
          <w:jc w:val="center"/>
        </w:trPr>
        <w:tc>
          <w:tcPr>
            <w:tcW w:w="4675" w:type="dxa"/>
          </w:tcPr>
          <w:p w14:paraId="16E2F7B7"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Iron chloride hexahydrate</w:t>
            </w:r>
          </w:p>
        </w:tc>
        <w:tc>
          <w:tcPr>
            <w:tcW w:w="4675" w:type="dxa"/>
          </w:tcPr>
          <w:p w14:paraId="1C45DA82"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1.3</w:t>
            </w:r>
          </w:p>
        </w:tc>
      </w:tr>
      <w:tr w:rsidR="002F6DDE" w14:paraId="79CF9780" w14:textId="77777777" w:rsidTr="00771266">
        <w:trPr>
          <w:jc w:val="center"/>
        </w:trPr>
        <w:tc>
          <w:tcPr>
            <w:tcW w:w="4675" w:type="dxa"/>
          </w:tcPr>
          <w:p w14:paraId="2B78DCE5"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Manganese chloride</w:t>
            </w:r>
          </w:p>
        </w:tc>
        <w:tc>
          <w:tcPr>
            <w:tcW w:w="4675" w:type="dxa"/>
          </w:tcPr>
          <w:p w14:paraId="56BF092B"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0.36</w:t>
            </w:r>
          </w:p>
        </w:tc>
      </w:tr>
      <w:tr w:rsidR="002F6DDE" w14:paraId="2F5EB0F7" w14:textId="77777777" w:rsidTr="00771266">
        <w:trPr>
          <w:jc w:val="center"/>
        </w:trPr>
        <w:tc>
          <w:tcPr>
            <w:tcW w:w="4675" w:type="dxa"/>
          </w:tcPr>
          <w:p w14:paraId="2BF40462"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Boric chloride</w:t>
            </w:r>
          </w:p>
        </w:tc>
        <w:tc>
          <w:tcPr>
            <w:tcW w:w="4675" w:type="dxa"/>
          </w:tcPr>
          <w:p w14:paraId="4B58F93F"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33.6</w:t>
            </w:r>
          </w:p>
        </w:tc>
      </w:tr>
      <w:tr w:rsidR="002F6DDE" w14:paraId="7D649249" w14:textId="77777777" w:rsidTr="00771266">
        <w:trPr>
          <w:jc w:val="center"/>
        </w:trPr>
        <w:tc>
          <w:tcPr>
            <w:tcW w:w="4675" w:type="dxa"/>
          </w:tcPr>
          <w:p w14:paraId="5EB7CDB8"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Ethylenediaminetetraacetic acid</w:t>
            </w:r>
          </w:p>
        </w:tc>
        <w:tc>
          <w:tcPr>
            <w:tcW w:w="4675" w:type="dxa"/>
          </w:tcPr>
          <w:p w14:paraId="4C5BEB74"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45.0</w:t>
            </w:r>
          </w:p>
        </w:tc>
      </w:tr>
      <w:tr w:rsidR="002F6DDE" w14:paraId="648AC2B9" w14:textId="77777777" w:rsidTr="00771266">
        <w:trPr>
          <w:jc w:val="center"/>
        </w:trPr>
        <w:tc>
          <w:tcPr>
            <w:tcW w:w="4675" w:type="dxa"/>
          </w:tcPr>
          <w:p w14:paraId="164CEFDC"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Sodium dihydrogen phosphate dehydrate</w:t>
            </w:r>
          </w:p>
        </w:tc>
        <w:tc>
          <w:tcPr>
            <w:tcW w:w="4675" w:type="dxa"/>
          </w:tcPr>
          <w:p w14:paraId="209A8FC9"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20.0</w:t>
            </w:r>
          </w:p>
        </w:tc>
      </w:tr>
      <w:tr w:rsidR="002F6DDE" w14:paraId="78D3B793" w14:textId="77777777" w:rsidTr="00771266">
        <w:trPr>
          <w:jc w:val="center"/>
        </w:trPr>
        <w:tc>
          <w:tcPr>
            <w:tcW w:w="4675" w:type="dxa"/>
          </w:tcPr>
          <w:p w14:paraId="3A5D0F98"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Sodium nitrate</w:t>
            </w:r>
          </w:p>
        </w:tc>
        <w:tc>
          <w:tcPr>
            <w:tcW w:w="4675" w:type="dxa"/>
          </w:tcPr>
          <w:p w14:paraId="1F2C12A3" w14:textId="77777777" w:rsidR="002F6DDE" w:rsidRDefault="002F6DDE" w:rsidP="00C60DBE">
            <w:pPr>
              <w:spacing w:line="480" w:lineRule="auto"/>
              <w:jc w:val="center"/>
              <w:rPr>
                <w:rFonts w:ascii="Times New Roman" w:eastAsia="Times New Roman" w:hAnsi="Times New Roman"/>
                <w:sz w:val="24"/>
                <w:szCs w:val="24"/>
              </w:rPr>
            </w:pPr>
            <w:r>
              <w:rPr>
                <w:rFonts w:ascii="Times New Roman" w:eastAsia="Times New Roman" w:hAnsi="Times New Roman"/>
                <w:sz w:val="24"/>
                <w:szCs w:val="24"/>
              </w:rPr>
              <w:t>100</w:t>
            </w:r>
          </w:p>
        </w:tc>
      </w:tr>
    </w:tbl>
    <w:p w14:paraId="6D3683BA" w14:textId="1BB43CCA" w:rsidR="002F6DDE" w:rsidRDefault="002F6DDE" w:rsidP="00C60DBE">
      <w:pPr>
        <w:spacing w:line="480" w:lineRule="auto"/>
        <w:jc w:val="both"/>
        <w:rPr>
          <w:rFonts w:ascii="Times New Roman" w:hAnsi="Times New Roman"/>
          <w:b/>
          <w:sz w:val="24"/>
          <w:szCs w:val="24"/>
          <w:lang w:val="en-GB"/>
        </w:rPr>
      </w:pPr>
      <w:r>
        <w:rPr>
          <w:rFonts w:ascii="Times New Roman" w:hAnsi="Times New Roman"/>
          <w:b/>
          <w:sz w:val="24"/>
          <w:szCs w:val="24"/>
          <w:lang w:val="en-GB"/>
        </w:rPr>
        <w:t xml:space="preserve">                        </w:t>
      </w:r>
    </w:p>
    <w:p w14:paraId="163E6661" w14:textId="77777777" w:rsidR="002F6DDE" w:rsidRDefault="002F6DDE" w:rsidP="00C60DBE">
      <w:pPr>
        <w:spacing w:line="480" w:lineRule="auto"/>
        <w:jc w:val="both"/>
        <w:rPr>
          <w:rFonts w:ascii="Times New Roman" w:hAnsi="Times New Roman"/>
          <w:b/>
          <w:sz w:val="24"/>
          <w:szCs w:val="24"/>
          <w:lang w:val="en-GB"/>
        </w:rPr>
      </w:pPr>
    </w:p>
    <w:p w14:paraId="22B10F9A" w14:textId="77777777" w:rsidR="002F6DDE" w:rsidRDefault="002F6DDE" w:rsidP="00C60DBE">
      <w:pPr>
        <w:spacing w:line="480" w:lineRule="auto"/>
        <w:jc w:val="both"/>
        <w:rPr>
          <w:rFonts w:ascii="Times New Roman" w:hAnsi="Times New Roman"/>
          <w:b/>
          <w:sz w:val="24"/>
          <w:szCs w:val="24"/>
          <w:lang w:val="en-GB"/>
        </w:rPr>
      </w:pPr>
    </w:p>
    <w:p w14:paraId="2A0F2EED" w14:textId="77777777" w:rsidR="00A9665F" w:rsidRDefault="00A9665F" w:rsidP="00C60DBE">
      <w:pPr>
        <w:spacing w:line="480" w:lineRule="auto"/>
        <w:jc w:val="both"/>
        <w:rPr>
          <w:rFonts w:ascii="Times New Roman" w:hAnsi="Times New Roman"/>
          <w:b/>
          <w:sz w:val="24"/>
          <w:szCs w:val="24"/>
          <w:lang w:val="en-GB"/>
        </w:rPr>
      </w:pPr>
    </w:p>
    <w:p w14:paraId="680B9115" w14:textId="77777777" w:rsidR="00587D4A" w:rsidRDefault="00587D4A" w:rsidP="00C60DBE">
      <w:pPr>
        <w:spacing w:line="480" w:lineRule="auto"/>
        <w:jc w:val="both"/>
        <w:rPr>
          <w:rFonts w:ascii="Times New Roman" w:hAnsi="Times New Roman"/>
          <w:b/>
          <w:sz w:val="24"/>
          <w:szCs w:val="24"/>
          <w:lang w:val="en-GB"/>
        </w:rPr>
      </w:pPr>
    </w:p>
    <w:p w14:paraId="68B57004" w14:textId="5C9F584E" w:rsidR="002F6DDE" w:rsidRDefault="002F6DDE" w:rsidP="00C60DBE">
      <w:pPr>
        <w:spacing w:line="480" w:lineRule="auto"/>
        <w:jc w:val="both"/>
        <w:rPr>
          <w:rFonts w:ascii="Times New Roman" w:hAnsi="Times New Roman"/>
          <w:b/>
          <w:sz w:val="24"/>
          <w:szCs w:val="24"/>
          <w:lang w:val="en-GB"/>
        </w:rPr>
      </w:pPr>
      <w:r w:rsidRPr="00050BC9">
        <w:rPr>
          <w:rFonts w:ascii="Times New Roman" w:hAnsi="Times New Roman"/>
          <w:b/>
          <w:sz w:val="24"/>
          <w:szCs w:val="24"/>
          <w:lang w:val="en-GB"/>
        </w:rPr>
        <w:lastRenderedPageBreak/>
        <w:t>Materials and Methods</w:t>
      </w:r>
    </w:p>
    <w:p w14:paraId="13972F35" w14:textId="77777777" w:rsidR="002F6DDE" w:rsidRDefault="002F6DDE" w:rsidP="00C60DBE">
      <w:pPr>
        <w:spacing w:line="480" w:lineRule="auto"/>
        <w:jc w:val="both"/>
        <w:rPr>
          <w:rFonts w:ascii="Times New Roman" w:hAnsi="Times New Roman"/>
          <w:b/>
          <w:sz w:val="24"/>
          <w:szCs w:val="24"/>
          <w:lang w:val="en-GB"/>
        </w:rPr>
      </w:pPr>
      <w:r>
        <w:rPr>
          <w:rFonts w:ascii="Times New Roman" w:hAnsi="Times New Roman"/>
          <w:b/>
          <w:sz w:val="24"/>
          <w:szCs w:val="24"/>
          <w:lang w:val="en-GB"/>
        </w:rPr>
        <w:t xml:space="preserve">Methods S1: Chemical used </w:t>
      </w:r>
    </w:p>
    <w:p w14:paraId="7F0105FF" w14:textId="2F2CA63A" w:rsidR="00A9665F" w:rsidRDefault="00A9665F" w:rsidP="00C60DBE">
      <w:pPr>
        <w:spacing w:line="480" w:lineRule="auto"/>
        <w:jc w:val="both"/>
        <w:rPr>
          <w:rFonts w:ascii="Times New Roman" w:hAnsi="Times New Roman"/>
          <w:bCs/>
          <w:sz w:val="24"/>
          <w:szCs w:val="24"/>
          <w:lang w:val="en-GB"/>
        </w:rPr>
      </w:pPr>
      <w:r w:rsidRPr="00A9665F">
        <w:rPr>
          <w:rFonts w:ascii="Times New Roman" w:hAnsi="Times New Roman"/>
          <w:bCs/>
          <w:sz w:val="24"/>
          <w:szCs w:val="24"/>
          <w:lang w:val="en-GB"/>
        </w:rPr>
        <w:t xml:space="preserve"> Titanium dioxide nanoparticles (Aeroxide P25) with a particle size of 21 nm (as determined by TEM), possessing a trace metals basis of ≥</w:t>
      </w:r>
      <w:r w:rsidR="00FB5FEB">
        <w:rPr>
          <w:rFonts w:ascii="Times New Roman" w:hAnsi="Times New Roman"/>
          <w:bCs/>
          <w:sz w:val="24"/>
          <w:szCs w:val="24"/>
          <w:lang w:val="en-GB"/>
        </w:rPr>
        <w:t xml:space="preserve"> </w:t>
      </w:r>
      <w:r w:rsidRPr="00A9665F">
        <w:rPr>
          <w:rFonts w:ascii="Times New Roman" w:hAnsi="Times New Roman"/>
          <w:bCs/>
          <w:sz w:val="24"/>
          <w:szCs w:val="24"/>
          <w:lang w:val="en-GB"/>
        </w:rPr>
        <w:t>99.5% and registered under CAS No: 13463-67-7. These were obtained from Sigma-Aldrich, located in Missouri, USA. 2′, 7′-dichlorofluorescein diacetates (DCFH-DA), also obtained from Sigma-Aldrich in Missouri, USA. Polystyrene microplastics of varying functionalization, including aminated polystyrene (NH</w:t>
      </w:r>
      <w:r w:rsidRPr="00BC684E">
        <w:rPr>
          <w:rFonts w:ascii="Times New Roman" w:hAnsi="Times New Roman"/>
          <w:bCs/>
          <w:sz w:val="24"/>
          <w:szCs w:val="24"/>
          <w:vertAlign w:val="subscript"/>
          <w:lang w:val="en-GB"/>
        </w:rPr>
        <w:t>2</w:t>
      </w:r>
      <w:r w:rsidRPr="00A9665F">
        <w:rPr>
          <w:rFonts w:ascii="Times New Roman" w:hAnsi="Times New Roman"/>
          <w:bCs/>
          <w:sz w:val="24"/>
          <w:szCs w:val="24"/>
          <w:lang w:val="en-GB"/>
        </w:rPr>
        <w:t>-PS</w:t>
      </w:r>
      <w:r w:rsidR="00BC684E">
        <w:rPr>
          <w:rFonts w:ascii="Times New Roman" w:hAnsi="Times New Roman"/>
          <w:bCs/>
          <w:sz w:val="24"/>
          <w:szCs w:val="24"/>
          <w:lang w:val="en-GB"/>
        </w:rPr>
        <w:t>MPs</w:t>
      </w:r>
      <w:r w:rsidRPr="00A9665F">
        <w:rPr>
          <w:rFonts w:ascii="Times New Roman" w:hAnsi="Times New Roman"/>
          <w:bCs/>
          <w:sz w:val="24"/>
          <w:szCs w:val="24"/>
          <w:lang w:val="en-GB"/>
        </w:rPr>
        <w:t>) and carboxylated polystyrene (COOH-PS</w:t>
      </w:r>
      <w:r w:rsidR="00BC684E">
        <w:rPr>
          <w:rFonts w:ascii="Times New Roman" w:hAnsi="Times New Roman"/>
          <w:bCs/>
          <w:sz w:val="24"/>
          <w:szCs w:val="24"/>
          <w:lang w:val="en-GB"/>
        </w:rPr>
        <w:t>MPs</w:t>
      </w:r>
      <w:r w:rsidRPr="00A9665F">
        <w:rPr>
          <w:rFonts w:ascii="Times New Roman" w:hAnsi="Times New Roman"/>
          <w:bCs/>
          <w:sz w:val="24"/>
          <w:szCs w:val="24"/>
          <w:lang w:val="en-GB"/>
        </w:rPr>
        <w:t>), with a particle size of 1 μm. These were purchased from Corpuscular, Inc., based in the USA.Trichloroacetic acid (TCA) and thiobarbituric acid (TBA), acquired from Hi-Media Pvt. Ltd, Mumbai, India.</w:t>
      </w:r>
    </w:p>
    <w:p w14:paraId="33F24F1E" w14:textId="5DF8F109" w:rsidR="00A9665F" w:rsidRDefault="00A9665F" w:rsidP="00C60DBE">
      <w:pPr>
        <w:spacing w:line="480" w:lineRule="auto"/>
        <w:jc w:val="both"/>
        <w:rPr>
          <w:rFonts w:ascii="Times New Roman" w:hAnsi="Times New Roman"/>
          <w:b/>
          <w:sz w:val="24"/>
          <w:szCs w:val="24"/>
          <w:lang w:val="en-GB"/>
        </w:rPr>
      </w:pPr>
      <w:r w:rsidRPr="00A9665F">
        <w:rPr>
          <w:rFonts w:ascii="Times New Roman" w:hAnsi="Times New Roman"/>
          <w:b/>
          <w:sz w:val="24"/>
          <w:szCs w:val="24"/>
          <w:lang w:val="en-GB"/>
        </w:rPr>
        <w:t>Methods S2:</w:t>
      </w:r>
      <w:r>
        <w:rPr>
          <w:rFonts w:ascii="Times New Roman" w:hAnsi="Times New Roman"/>
          <w:b/>
          <w:sz w:val="24"/>
          <w:szCs w:val="24"/>
          <w:lang w:val="en-GB"/>
        </w:rPr>
        <w:t xml:space="preserve"> Growth inhibition </w:t>
      </w:r>
    </w:p>
    <w:p w14:paraId="700D7739" w14:textId="66A1DC53" w:rsidR="00A9665F" w:rsidRDefault="00A9665F" w:rsidP="00C60DBE">
      <w:pPr>
        <w:spacing w:line="480" w:lineRule="auto"/>
        <w:jc w:val="both"/>
        <w:rPr>
          <w:rFonts w:ascii="Times New Roman" w:hAnsi="Times New Roman"/>
          <w:bCs/>
          <w:sz w:val="24"/>
          <w:szCs w:val="24"/>
          <w:lang w:val="en-GB"/>
        </w:rPr>
      </w:pPr>
      <w:r w:rsidRPr="00A9665F">
        <w:rPr>
          <w:rFonts w:ascii="Times New Roman" w:hAnsi="Times New Roman"/>
          <w:bCs/>
          <w:sz w:val="24"/>
          <w:szCs w:val="24"/>
          <w:lang w:val="en-GB"/>
        </w:rPr>
        <w:t>Following a 72-hour incubation period, cell counting was performed using the Neubauer chamber. About 10 μl sample was observed under an optical microscope to identify undamaged algal cells. The percentage of growth inhibition in algal cultures was determined by comparing them to a control group. Mathematically, the percentage of growth inhibition was calculated using the formula</w:t>
      </w:r>
      <w:r w:rsidR="00BC684E">
        <w:rPr>
          <w:rFonts w:ascii="Times New Roman" w:hAnsi="Times New Roman"/>
          <w:bCs/>
          <w:sz w:val="24"/>
          <w:szCs w:val="24"/>
          <w:lang w:val="en-GB"/>
        </w:rPr>
        <w:t xml:space="preserve"> given below </w:t>
      </w:r>
      <w:r w:rsidR="00BC684E">
        <w:rPr>
          <w:rFonts w:ascii="Times New Roman" w:hAnsi="Times New Roman"/>
          <w:bCs/>
          <w:sz w:val="24"/>
          <w:szCs w:val="24"/>
          <w:lang w:val="en-GB"/>
        </w:rPr>
        <w:fldChar w:fldCharType="begin" w:fldLock="1"/>
      </w:r>
      <w:r w:rsidR="00BC684E">
        <w:rPr>
          <w:rFonts w:ascii="Times New Roman" w:hAnsi="Times New Roman"/>
          <w:bCs/>
          <w:sz w:val="24"/>
          <w:szCs w:val="24"/>
          <w:lang w:val="en-GB"/>
        </w:rPr>
        <w:instrText>ADDIN CSL_CITATION {"citationItems":[{"id":"ITEM-1","itemData":{"ISSN":"0048-9697","author":[{"dropping-particle":"","family":"Thiagarajan","given":"Vignesh","non-dropping-particle":"","parse-names":false,"suffix":""},{"dropping-particle":"","family":"Alex","given":"Sruthi Ann","non-dropping-particle":"","parse-names":false,"suffix":""},{"dropping-particle":"","family":"Seenivasan","given":"R","non-dropping-particle":"","parse-names":false,"suffix":""},{"dropping-particle":"","family":"Chandrasekaran","given":"N","non-dropping-particle":"","parse-names":false,"suffix":""},{"dropping-particle":"","family":"Mukherjee","given":"Amitava","non-dropping-particle":"","parse-names":false,"suffix":""}],"container-title":"Science of the Total Environment","id":"ITEM-1","issued":{"date-parts":[["2021"]]},"page":"147262","publisher":"Elsevier","title":"Toxicity evaluation of nano-TiO2 in the presence of functionalized microplastics at two trophic levels: Algae and crustaceans","type":"article-journal","volume":"784"},"uris":["http://www.mendeley.com/documents/?uuid=550514bd-45a1-4f39-b3b2-6403265fa87b"]}],"mendeley":{"formattedCitation":"(Thiagarajan et al., 2021)","plainTextFormattedCitation":"(Thiagarajan et al., 2021)","previouslyFormattedCitation":"(Thiagarajan et al., 2021)"},"properties":{"noteIndex":0},"schema":"https://github.com/citation-style-language/schema/raw/master/csl-citation.json"}</w:instrText>
      </w:r>
      <w:r w:rsidR="00BC684E">
        <w:rPr>
          <w:rFonts w:ascii="Times New Roman" w:hAnsi="Times New Roman"/>
          <w:bCs/>
          <w:sz w:val="24"/>
          <w:szCs w:val="24"/>
          <w:lang w:val="en-GB"/>
        </w:rPr>
        <w:fldChar w:fldCharType="separate"/>
      </w:r>
      <w:r w:rsidR="00BC684E" w:rsidRPr="00BC684E">
        <w:rPr>
          <w:rFonts w:ascii="Times New Roman" w:hAnsi="Times New Roman"/>
          <w:bCs/>
          <w:noProof/>
          <w:sz w:val="24"/>
          <w:szCs w:val="24"/>
          <w:lang w:val="en-GB"/>
        </w:rPr>
        <w:t>(Thiagarajan et al., 2021)</w:t>
      </w:r>
      <w:r w:rsidR="00BC684E">
        <w:rPr>
          <w:rFonts w:ascii="Times New Roman" w:hAnsi="Times New Roman"/>
          <w:bCs/>
          <w:sz w:val="24"/>
          <w:szCs w:val="24"/>
          <w:lang w:val="en-GB"/>
        </w:rPr>
        <w:fldChar w:fldCharType="end"/>
      </w:r>
      <w:r w:rsidR="00BC684E">
        <w:rPr>
          <w:rFonts w:ascii="Times New Roman" w:hAnsi="Times New Roman"/>
          <w:bCs/>
          <w:sz w:val="24"/>
          <w:szCs w:val="24"/>
          <w:lang w:val="en-GB"/>
        </w:rPr>
        <w:t>.</w:t>
      </w:r>
    </w:p>
    <w:p w14:paraId="2B54CC98" w14:textId="5D9BEC05" w:rsidR="00A9665F" w:rsidRDefault="00A9665F" w:rsidP="00C60DBE">
      <w:pPr>
        <w:spacing w:line="480" w:lineRule="auto"/>
        <w:jc w:val="both"/>
        <w:rPr>
          <w:rFonts w:ascii="Times New Roman" w:hAnsi="Times New Roman"/>
          <w:bCs/>
          <w:sz w:val="24"/>
          <w:szCs w:val="24"/>
          <w:lang w:val="en-GB"/>
        </w:rPr>
      </w:pPr>
      <w:r w:rsidRPr="00A9665F">
        <w:rPr>
          <w:rFonts w:ascii="Times New Roman" w:hAnsi="Times New Roman"/>
          <w:bCs/>
          <w:sz w:val="24"/>
          <w:szCs w:val="24"/>
          <w:lang w:val="en-GB"/>
        </w:rPr>
        <w:t>%</w:t>
      </w:r>
      <w:r>
        <w:rPr>
          <w:rFonts w:ascii="Times New Roman" w:hAnsi="Times New Roman"/>
          <w:bCs/>
          <w:sz w:val="24"/>
          <w:szCs w:val="24"/>
          <w:lang w:val="en-GB"/>
        </w:rPr>
        <w:t xml:space="preserve"> Growth inhibition </w:t>
      </w:r>
      <w:r w:rsidR="00D222D2">
        <w:rPr>
          <w:rFonts w:ascii="Times New Roman" w:hAnsi="Times New Roman"/>
          <w:bCs/>
          <w:sz w:val="24"/>
          <w:szCs w:val="24"/>
          <w:lang w:val="en-GB"/>
        </w:rPr>
        <w:t>=</w:t>
      </w:r>
      <w:r w:rsidRPr="00A9665F">
        <w:rPr>
          <w:rFonts w:ascii="Times New Roman" w:hAnsi="Times New Roman"/>
          <w:bCs/>
          <w:sz w:val="24"/>
          <w:szCs w:val="24"/>
          <w:lang w:val="en-GB"/>
        </w:rPr>
        <w:t xml:space="preserve"> (Control</w:t>
      </w:r>
      <w:r>
        <w:rPr>
          <w:rFonts w:ascii="Times New Roman" w:hAnsi="Times New Roman"/>
          <w:bCs/>
          <w:sz w:val="24"/>
          <w:szCs w:val="24"/>
          <w:lang w:val="en-GB"/>
        </w:rPr>
        <w:t>-</w:t>
      </w:r>
      <w:r w:rsidRPr="00A9665F">
        <w:rPr>
          <w:rFonts w:ascii="Times New Roman" w:hAnsi="Times New Roman"/>
          <w:bCs/>
          <w:sz w:val="24"/>
          <w:szCs w:val="24"/>
          <w:lang w:val="en-GB"/>
        </w:rPr>
        <w:t>Test)</w:t>
      </w:r>
      <w:r>
        <w:rPr>
          <w:rFonts w:ascii="Times New Roman" w:hAnsi="Times New Roman"/>
          <w:bCs/>
          <w:sz w:val="24"/>
          <w:szCs w:val="24"/>
          <w:lang w:val="en-GB"/>
        </w:rPr>
        <w:t xml:space="preserve"> / </w:t>
      </w:r>
      <w:r w:rsidRPr="00A9665F">
        <w:rPr>
          <w:rFonts w:ascii="Times New Roman" w:hAnsi="Times New Roman"/>
          <w:bCs/>
          <w:sz w:val="24"/>
          <w:szCs w:val="24"/>
          <w:lang w:val="en-GB"/>
        </w:rPr>
        <w:t>Control</w:t>
      </w:r>
      <w:r>
        <w:rPr>
          <w:rFonts w:ascii="Times New Roman" w:hAnsi="Times New Roman"/>
          <w:bCs/>
          <w:sz w:val="24"/>
          <w:szCs w:val="24"/>
          <w:lang w:val="en-GB"/>
        </w:rPr>
        <w:t xml:space="preserve"> × 100</w:t>
      </w:r>
    </w:p>
    <w:p w14:paraId="0674D340" w14:textId="45FF1A94" w:rsidR="00A9665F" w:rsidRDefault="00A9665F" w:rsidP="00C60DBE">
      <w:pPr>
        <w:spacing w:line="480" w:lineRule="auto"/>
        <w:jc w:val="both"/>
        <w:rPr>
          <w:rFonts w:ascii="Times New Roman" w:hAnsi="Times New Roman"/>
          <w:b/>
          <w:sz w:val="24"/>
          <w:szCs w:val="24"/>
          <w:lang w:val="en-GB"/>
        </w:rPr>
      </w:pPr>
      <w:r w:rsidRPr="00A9665F">
        <w:rPr>
          <w:rFonts w:ascii="Times New Roman" w:hAnsi="Times New Roman"/>
          <w:b/>
          <w:sz w:val="24"/>
          <w:szCs w:val="24"/>
          <w:lang w:val="en-GB"/>
        </w:rPr>
        <w:t>Methods S</w:t>
      </w:r>
      <w:r>
        <w:rPr>
          <w:rFonts w:ascii="Times New Roman" w:hAnsi="Times New Roman"/>
          <w:b/>
          <w:sz w:val="24"/>
          <w:szCs w:val="24"/>
          <w:lang w:val="en-GB"/>
        </w:rPr>
        <w:t>3</w:t>
      </w:r>
      <w:r w:rsidRPr="00A9665F">
        <w:rPr>
          <w:rFonts w:ascii="Times New Roman" w:hAnsi="Times New Roman"/>
          <w:b/>
          <w:sz w:val="24"/>
          <w:szCs w:val="24"/>
          <w:lang w:val="en-GB"/>
        </w:rPr>
        <w:t>:</w:t>
      </w:r>
      <w:r>
        <w:rPr>
          <w:rFonts w:ascii="Times New Roman" w:hAnsi="Times New Roman"/>
          <w:b/>
          <w:sz w:val="24"/>
          <w:szCs w:val="24"/>
          <w:lang w:val="en-GB"/>
        </w:rPr>
        <w:t xml:space="preserve"> Independent action modelling /Abbot modelling </w:t>
      </w:r>
    </w:p>
    <w:p w14:paraId="5DC9456F" w14:textId="6C6807E2" w:rsidR="00A9665F" w:rsidRDefault="00A9665F" w:rsidP="00C60DBE">
      <w:pPr>
        <w:spacing w:line="480" w:lineRule="auto"/>
        <w:ind w:firstLine="720"/>
        <w:jc w:val="both"/>
        <w:rPr>
          <w:rFonts w:ascii="Times New Roman" w:hAnsi="Times New Roman"/>
          <w:bCs/>
          <w:sz w:val="24"/>
          <w:szCs w:val="24"/>
          <w:lang w:val="en-GB"/>
        </w:rPr>
      </w:pPr>
      <w:r w:rsidRPr="00A9665F">
        <w:rPr>
          <w:rFonts w:ascii="Times New Roman" w:hAnsi="Times New Roman"/>
          <w:bCs/>
          <w:sz w:val="24"/>
          <w:szCs w:val="24"/>
          <w:lang w:val="en-GB"/>
        </w:rPr>
        <w:t>The expected toxicity (C</w:t>
      </w:r>
      <w:r w:rsidRPr="00A9665F">
        <w:rPr>
          <w:rFonts w:ascii="Times New Roman" w:hAnsi="Times New Roman"/>
          <w:bCs/>
          <w:sz w:val="24"/>
          <w:szCs w:val="24"/>
          <w:vertAlign w:val="subscript"/>
          <w:lang w:val="en-GB"/>
        </w:rPr>
        <w:t>Exp</w:t>
      </w:r>
      <w:r w:rsidRPr="00A9665F">
        <w:rPr>
          <w:rFonts w:ascii="Times New Roman" w:hAnsi="Times New Roman"/>
          <w:bCs/>
          <w:sz w:val="24"/>
          <w:szCs w:val="24"/>
          <w:lang w:val="en-GB"/>
        </w:rPr>
        <w:t xml:space="preserve">) of the mixture was determined by combining the individual toxicities of nTiO2 and MPs using </w:t>
      </w:r>
      <w:r>
        <w:rPr>
          <w:rFonts w:ascii="Times New Roman" w:hAnsi="Times New Roman"/>
          <w:bCs/>
          <w:sz w:val="24"/>
          <w:szCs w:val="24"/>
          <w:lang w:val="en-GB"/>
        </w:rPr>
        <w:t>e</w:t>
      </w:r>
      <w:r w:rsidRPr="00A9665F">
        <w:rPr>
          <w:rFonts w:ascii="Times New Roman" w:hAnsi="Times New Roman"/>
          <w:bCs/>
          <w:sz w:val="24"/>
          <w:szCs w:val="24"/>
          <w:lang w:val="en-GB"/>
        </w:rPr>
        <w:t xml:space="preserve">quation </w:t>
      </w:r>
      <w:r>
        <w:rPr>
          <w:rFonts w:ascii="Times New Roman" w:hAnsi="Times New Roman"/>
          <w:bCs/>
          <w:sz w:val="24"/>
          <w:szCs w:val="24"/>
          <w:lang w:val="en-GB"/>
        </w:rPr>
        <w:t>(</w:t>
      </w:r>
      <w:r w:rsidRPr="00A9665F">
        <w:rPr>
          <w:rFonts w:ascii="Times New Roman" w:hAnsi="Times New Roman"/>
          <w:bCs/>
          <w:sz w:val="24"/>
          <w:szCs w:val="24"/>
          <w:lang w:val="en-GB"/>
        </w:rPr>
        <w:t>1</w:t>
      </w:r>
      <w:r>
        <w:rPr>
          <w:rFonts w:ascii="Times New Roman" w:hAnsi="Times New Roman"/>
          <w:bCs/>
          <w:sz w:val="24"/>
          <w:szCs w:val="24"/>
          <w:lang w:val="en-GB"/>
        </w:rPr>
        <w:t>)</w:t>
      </w:r>
      <w:r w:rsidRPr="00A9665F">
        <w:rPr>
          <w:rFonts w:ascii="Times New Roman" w:hAnsi="Times New Roman"/>
          <w:bCs/>
          <w:sz w:val="24"/>
          <w:szCs w:val="24"/>
          <w:lang w:val="en-GB"/>
        </w:rPr>
        <w:t>.</w:t>
      </w:r>
    </w:p>
    <w:p w14:paraId="2F384DDE" w14:textId="1022804A" w:rsidR="00A9665F" w:rsidRPr="00A9665F" w:rsidRDefault="00D222D2" w:rsidP="00C60DBE">
      <w:pPr>
        <w:spacing w:line="480" w:lineRule="auto"/>
        <w:jc w:val="both"/>
        <w:rPr>
          <w:rFonts w:ascii="Times New Roman" w:hAnsi="Times New Roman"/>
          <w:bCs/>
          <w:sz w:val="24"/>
          <w:szCs w:val="24"/>
          <w:lang w:val="en-GB"/>
        </w:rPr>
      </w:pPr>
      <w:r>
        <w:rPr>
          <w:rFonts w:ascii="Times New Roman" w:eastAsiaTheme="minorHAnsi" w:hAnsi="Times New Roman"/>
          <w:sz w:val="24"/>
          <w:szCs w:val="24"/>
          <w:lang w:val="en-US"/>
          <w14:ligatures w14:val="standardContextual"/>
        </w:rPr>
        <w:t xml:space="preserve">    </w:t>
      </w:r>
      <w:r w:rsidR="00A9665F" w:rsidRPr="00A9665F">
        <w:rPr>
          <w:rFonts w:ascii="Times New Roman" w:eastAsiaTheme="minorHAnsi" w:hAnsi="Times New Roman"/>
          <w:sz w:val="24"/>
          <w:szCs w:val="24"/>
          <w:lang w:val="en-US"/>
          <w14:ligatures w14:val="standardContextual"/>
        </w:rPr>
        <w:t>C</w:t>
      </w:r>
      <w:r w:rsidR="00A9665F" w:rsidRPr="00A9665F">
        <w:rPr>
          <w:rFonts w:ascii="Times New Roman" w:eastAsiaTheme="minorHAnsi" w:hAnsi="Times New Roman"/>
          <w:sz w:val="24"/>
          <w:szCs w:val="24"/>
          <w:vertAlign w:val="subscript"/>
          <w:lang w:val="en-US"/>
          <w14:ligatures w14:val="standardContextual"/>
        </w:rPr>
        <w:t>Exp</w:t>
      </w:r>
      <w:r w:rsidR="00A9665F" w:rsidRPr="00A9665F">
        <w:rPr>
          <w:rFonts w:ascii="Times New Roman" w:eastAsiaTheme="minorHAnsi" w:hAnsi="Times New Roman"/>
          <w:sz w:val="24"/>
          <w:szCs w:val="24"/>
          <w:lang w:val="en-US"/>
          <w14:ligatures w14:val="standardContextual"/>
        </w:rPr>
        <w:t xml:space="preserve"> = T+M </w:t>
      </w:r>
      <w:r w:rsidR="00A9665F" w:rsidRPr="00A9665F">
        <w:rPr>
          <w:rFonts w:ascii="Times New Roman" w:eastAsia="AdvOT596495f2+20" w:hAnsi="Times New Roman"/>
          <w:sz w:val="24"/>
          <w:szCs w:val="24"/>
          <w:lang w:val="en-US"/>
          <w14:ligatures w14:val="standardContextual"/>
        </w:rPr>
        <w:t xml:space="preserve">– </w:t>
      </w:r>
      <w:r w:rsidR="00A9665F" w:rsidRPr="00A9665F">
        <w:rPr>
          <w:rFonts w:ascii="Times New Roman" w:eastAsiaTheme="minorHAnsi" w:hAnsi="Times New Roman"/>
          <w:sz w:val="24"/>
          <w:szCs w:val="24"/>
          <w:lang w:val="en-US"/>
          <w14:ligatures w14:val="standardContextual"/>
        </w:rPr>
        <w:t>(T*M/100)</w:t>
      </w:r>
      <w:r w:rsidR="00A9665F">
        <w:rPr>
          <w:rFonts w:ascii="Times New Roman" w:eastAsiaTheme="minorHAnsi" w:hAnsi="Times New Roman"/>
          <w:sz w:val="24"/>
          <w:szCs w:val="24"/>
          <w:lang w:val="en-US"/>
          <w14:ligatures w14:val="standardContextual"/>
        </w:rPr>
        <w:t xml:space="preserve">                          (1)</w:t>
      </w:r>
    </w:p>
    <w:p w14:paraId="6559EF46" w14:textId="77777777" w:rsidR="00A9665F" w:rsidRDefault="00A9665F" w:rsidP="00C60DBE">
      <w:pPr>
        <w:spacing w:line="480" w:lineRule="auto"/>
        <w:jc w:val="both"/>
        <w:rPr>
          <w:rFonts w:ascii="Times New Roman" w:hAnsi="Times New Roman"/>
          <w:bCs/>
          <w:sz w:val="24"/>
          <w:szCs w:val="24"/>
          <w:lang w:val="en-GB"/>
        </w:rPr>
      </w:pPr>
    </w:p>
    <w:p w14:paraId="34014570" w14:textId="1D62E7D5" w:rsidR="00A9665F" w:rsidRDefault="00A9665F" w:rsidP="00C60DBE">
      <w:pPr>
        <w:spacing w:line="480" w:lineRule="auto"/>
        <w:jc w:val="both"/>
        <w:rPr>
          <w:rFonts w:ascii="Times New Roman" w:hAnsi="Times New Roman"/>
          <w:bCs/>
          <w:sz w:val="24"/>
          <w:szCs w:val="24"/>
          <w:lang w:val="en-GB"/>
        </w:rPr>
      </w:pPr>
      <w:r w:rsidRPr="00A9665F">
        <w:rPr>
          <w:rFonts w:ascii="Times New Roman" w:hAnsi="Times New Roman"/>
          <w:bCs/>
          <w:sz w:val="24"/>
          <w:szCs w:val="24"/>
          <w:lang w:val="en-GB"/>
        </w:rPr>
        <w:t xml:space="preserve">In the equation, T and M represent the respective toxicity induced by </w:t>
      </w:r>
      <w:r>
        <w:rPr>
          <w:rFonts w:ascii="Times New Roman" w:hAnsi="Times New Roman"/>
          <w:bCs/>
          <w:sz w:val="24"/>
          <w:szCs w:val="24"/>
          <w:lang w:val="en-GB"/>
        </w:rPr>
        <w:t>n</w:t>
      </w:r>
      <w:r w:rsidRPr="00A9665F">
        <w:rPr>
          <w:rFonts w:ascii="Times New Roman" w:hAnsi="Times New Roman"/>
          <w:bCs/>
          <w:sz w:val="24"/>
          <w:szCs w:val="24"/>
          <w:lang w:val="en-GB"/>
        </w:rPr>
        <w:t>TiO</w:t>
      </w:r>
      <w:r w:rsidRPr="00A9665F">
        <w:rPr>
          <w:rFonts w:ascii="Times New Roman" w:hAnsi="Times New Roman"/>
          <w:bCs/>
          <w:sz w:val="24"/>
          <w:szCs w:val="24"/>
          <w:vertAlign w:val="subscript"/>
          <w:lang w:val="en-GB"/>
        </w:rPr>
        <w:t xml:space="preserve">2 </w:t>
      </w:r>
      <w:r w:rsidRPr="00A9665F">
        <w:rPr>
          <w:rFonts w:ascii="Times New Roman" w:hAnsi="Times New Roman"/>
          <w:bCs/>
          <w:sz w:val="24"/>
          <w:szCs w:val="24"/>
          <w:lang w:val="en-GB"/>
        </w:rPr>
        <w:t>and</w:t>
      </w:r>
      <w:r>
        <w:rPr>
          <w:rFonts w:ascii="Times New Roman" w:hAnsi="Times New Roman"/>
          <w:bCs/>
          <w:sz w:val="24"/>
          <w:szCs w:val="24"/>
          <w:lang w:val="en-GB"/>
        </w:rPr>
        <w:t xml:space="preserve"> MPs</w:t>
      </w:r>
      <w:r w:rsidRPr="00A9665F">
        <w:rPr>
          <w:rFonts w:ascii="Times New Roman" w:hAnsi="Times New Roman"/>
          <w:bCs/>
          <w:sz w:val="24"/>
          <w:szCs w:val="24"/>
          <w:lang w:val="en-GB"/>
        </w:rPr>
        <w:t>. Once C</w:t>
      </w:r>
      <w:r w:rsidRPr="00A9665F">
        <w:rPr>
          <w:rFonts w:ascii="Times New Roman" w:hAnsi="Times New Roman"/>
          <w:bCs/>
          <w:sz w:val="24"/>
          <w:szCs w:val="24"/>
          <w:vertAlign w:val="subscript"/>
          <w:lang w:val="en-GB"/>
        </w:rPr>
        <w:t>Exp</w:t>
      </w:r>
      <w:r w:rsidRPr="00A9665F">
        <w:rPr>
          <w:rFonts w:ascii="Times New Roman" w:hAnsi="Times New Roman"/>
          <w:bCs/>
          <w:sz w:val="24"/>
          <w:szCs w:val="24"/>
          <w:lang w:val="en-GB"/>
        </w:rPr>
        <w:t xml:space="preserve"> is calculated, the ratio of inhibition (R</w:t>
      </w:r>
      <w:r w:rsidRPr="00A9665F">
        <w:rPr>
          <w:rFonts w:ascii="Times New Roman" w:hAnsi="Times New Roman"/>
          <w:bCs/>
          <w:sz w:val="24"/>
          <w:szCs w:val="24"/>
          <w:vertAlign w:val="subscript"/>
          <w:lang w:val="en-GB"/>
        </w:rPr>
        <w:t>I</w:t>
      </w:r>
      <w:r w:rsidRPr="00A9665F">
        <w:rPr>
          <w:rFonts w:ascii="Times New Roman" w:hAnsi="Times New Roman"/>
          <w:bCs/>
          <w:sz w:val="24"/>
          <w:szCs w:val="24"/>
          <w:lang w:val="en-GB"/>
        </w:rPr>
        <w:t>) is determined using the provided equation</w:t>
      </w:r>
      <w:r>
        <w:rPr>
          <w:rFonts w:ascii="Times New Roman" w:hAnsi="Times New Roman"/>
          <w:bCs/>
          <w:sz w:val="24"/>
          <w:szCs w:val="24"/>
          <w:lang w:val="en-GB"/>
        </w:rPr>
        <w:t xml:space="preserve"> (2)</w:t>
      </w:r>
      <w:r w:rsidRPr="00A9665F">
        <w:rPr>
          <w:rFonts w:ascii="Times New Roman" w:hAnsi="Times New Roman"/>
          <w:bCs/>
          <w:sz w:val="24"/>
          <w:szCs w:val="24"/>
          <w:lang w:val="en-GB"/>
        </w:rPr>
        <w:t>.</w:t>
      </w:r>
      <w:r>
        <w:rPr>
          <w:rFonts w:ascii="Times New Roman" w:hAnsi="Times New Roman"/>
          <w:bCs/>
          <w:sz w:val="24"/>
          <w:szCs w:val="24"/>
          <w:lang w:val="en-GB"/>
        </w:rPr>
        <w:t xml:space="preserve"> </w:t>
      </w:r>
    </w:p>
    <w:p w14:paraId="4F941966" w14:textId="4D66C831" w:rsidR="00A9665F" w:rsidRPr="00A9665F" w:rsidRDefault="00A9665F" w:rsidP="00C60DBE">
      <w:pPr>
        <w:spacing w:line="480" w:lineRule="auto"/>
        <w:jc w:val="both"/>
        <w:rPr>
          <w:rFonts w:ascii="Times New Roman" w:hAnsi="Times New Roman"/>
          <w:bCs/>
          <w:sz w:val="24"/>
          <w:szCs w:val="24"/>
          <w:lang w:val="en-GB"/>
        </w:rPr>
      </w:pPr>
      <w:r w:rsidRPr="00A9665F">
        <w:rPr>
          <w:rFonts w:ascii="Times New Roman" w:eastAsiaTheme="minorHAnsi" w:hAnsi="Times New Roman"/>
          <w:sz w:val="24"/>
          <w:szCs w:val="24"/>
          <w:lang w:val="en-US"/>
          <w14:ligatures w14:val="standardContextual"/>
        </w:rPr>
        <w:t>R</w:t>
      </w:r>
      <w:r w:rsidRPr="00A9665F">
        <w:rPr>
          <w:rFonts w:ascii="Times New Roman" w:eastAsiaTheme="minorHAnsi" w:hAnsi="Times New Roman"/>
          <w:sz w:val="24"/>
          <w:szCs w:val="24"/>
          <w:vertAlign w:val="subscript"/>
          <w:lang w:val="en-US"/>
          <w14:ligatures w14:val="standardContextual"/>
        </w:rPr>
        <w:t>I</w:t>
      </w:r>
      <w:r w:rsidRPr="00A9665F">
        <w:rPr>
          <w:rFonts w:ascii="Times New Roman" w:eastAsiaTheme="minorHAnsi" w:hAnsi="Times New Roman"/>
          <w:sz w:val="24"/>
          <w:szCs w:val="24"/>
          <w:lang w:val="en-US"/>
          <w14:ligatures w14:val="standardContextual"/>
        </w:rPr>
        <w:t xml:space="preserve"> = Observed Toxicity (C</w:t>
      </w:r>
      <w:r w:rsidRPr="00A9665F">
        <w:rPr>
          <w:rFonts w:ascii="Times New Roman" w:eastAsiaTheme="minorHAnsi" w:hAnsi="Times New Roman"/>
          <w:sz w:val="24"/>
          <w:szCs w:val="24"/>
          <w:vertAlign w:val="subscript"/>
          <w:lang w:val="en-US"/>
          <w14:ligatures w14:val="standardContextual"/>
        </w:rPr>
        <w:t>Obs</w:t>
      </w:r>
      <w:r w:rsidRPr="00A9665F">
        <w:rPr>
          <w:rFonts w:ascii="Times New Roman" w:eastAsiaTheme="minorHAnsi" w:hAnsi="Times New Roman"/>
          <w:sz w:val="24"/>
          <w:szCs w:val="24"/>
          <w:lang w:val="en-US"/>
          <w14:ligatures w14:val="standardContextual"/>
        </w:rPr>
        <w:t>) / Expected Toxicity (C</w:t>
      </w:r>
      <w:r w:rsidRPr="00A9665F">
        <w:rPr>
          <w:rFonts w:ascii="Times New Roman" w:eastAsiaTheme="minorHAnsi" w:hAnsi="Times New Roman"/>
          <w:sz w:val="24"/>
          <w:szCs w:val="24"/>
          <w:vertAlign w:val="subscript"/>
          <w:lang w:val="en-US"/>
          <w14:ligatures w14:val="standardContextual"/>
        </w:rPr>
        <w:t>Exp</w:t>
      </w:r>
      <w:r w:rsidRPr="00A9665F">
        <w:rPr>
          <w:rFonts w:ascii="Times New Roman" w:eastAsiaTheme="minorHAnsi" w:hAnsi="Times New Roman"/>
          <w:sz w:val="24"/>
          <w:szCs w:val="24"/>
          <w:lang w:val="en-US"/>
          <w14:ligatures w14:val="standardContextual"/>
        </w:rPr>
        <w:t>)</w:t>
      </w:r>
      <w:r>
        <w:rPr>
          <w:rFonts w:ascii="Times New Roman" w:eastAsiaTheme="minorHAnsi" w:hAnsi="Times New Roman"/>
          <w:sz w:val="24"/>
          <w:szCs w:val="24"/>
          <w:lang w:val="en-US"/>
          <w14:ligatures w14:val="standardContextual"/>
        </w:rPr>
        <w:t xml:space="preserve">      (2)</w:t>
      </w:r>
    </w:p>
    <w:p w14:paraId="7408843D" w14:textId="404A9603" w:rsidR="00A9665F" w:rsidRPr="00A9665F" w:rsidRDefault="00A9665F" w:rsidP="00C60DBE">
      <w:pPr>
        <w:spacing w:line="480" w:lineRule="auto"/>
        <w:ind w:firstLine="720"/>
        <w:jc w:val="both"/>
        <w:rPr>
          <w:rFonts w:ascii="Times New Roman" w:hAnsi="Times New Roman"/>
          <w:bCs/>
          <w:sz w:val="24"/>
          <w:szCs w:val="24"/>
          <w:lang w:val="en-GB"/>
        </w:rPr>
      </w:pPr>
      <w:r w:rsidRPr="00A9665F">
        <w:rPr>
          <w:rFonts w:ascii="Times New Roman" w:hAnsi="Times New Roman"/>
          <w:bCs/>
          <w:sz w:val="24"/>
          <w:szCs w:val="24"/>
          <w:lang w:val="en-GB"/>
        </w:rPr>
        <w:t>Where C</w:t>
      </w:r>
      <w:r w:rsidRPr="00A9665F">
        <w:rPr>
          <w:rFonts w:ascii="Times New Roman" w:hAnsi="Times New Roman"/>
          <w:bCs/>
          <w:sz w:val="24"/>
          <w:szCs w:val="24"/>
          <w:vertAlign w:val="subscript"/>
          <w:lang w:val="en-GB"/>
        </w:rPr>
        <w:t>Obs</w:t>
      </w:r>
      <w:r w:rsidRPr="00A9665F">
        <w:rPr>
          <w:rFonts w:ascii="Times New Roman" w:hAnsi="Times New Roman"/>
          <w:bCs/>
          <w:sz w:val="24"/>
          <w:szCs w:val="24"/>
          <w:lang w:val="en-GB"/>
        </w:rPr>
        <w:t xml:space="preserve"> represent the observed toxicity resulting from the combination of </w:t>
      </w:r>
      <w:r>
        <w:rPr>
          <w:rFonts w:ascii="Times New Roman" w:hAnsi="Times New Roman"/>
          <w:bCs/>
          <w:sz w:val="24"/>
          <w:szCs w:val="24"/>
          <w:lang w:val="en-GB"/>
        </w:rPr>
        <w:t>n</w:t>
      </w:r>
      <w:r w:rsidRPr="00A9665F">
        <w:rPr>
          <w:rFonts w:ascii="Times New Roman" w:hAnsi="Times New Roman"/>
          <w:bCs/>
          <w:sz w:val="24"/>
          <w:szCs w:val="24"/>
          <w:lang w:val="en-GB"/>
        </w:rPr>
        <w:t>TiO</w:t>
      </w:r>
      <w:r w:rsidRPr="00A9665F">
        <w:rPr>
          <w:rFonts w:ascii="Times New Roman" w:hAnsi="Times New Roman"/>
          <w:bCs/>
          <w:sz w:val="24"/>
          <w:szCs w:val="24"/>
          <w:vertAlign w:val="subscript"/>
          <w:lang w:val="en-GB"/>
        </w:rPr>
        <w:t>2</w:t>
      </w:r>
      <w:r w:rsidRPr="00A9665F">
        <w:rPr>
          <w:rFonts w:ascii="Times New Roman" w:hAnsi="Times New Roman"/>
          <w:bCs/>
          <w:sz w:val="24"/>
          <w:szCs w:val="24"/>
          <w:lang w:val="en-GB"/>
        </w:rPr>
        <w:t xml:space="preserve"> and </w:t>
      </w:r>
      <w:r>
        <w:rPr>
          <w:rFonts w:ascii="Times New Roman" w:hAnsi="Times New Roman"/>
          <w:bCs/>
          <w:sz w:val="24"/>
          <w:szCs w:val="24"/>
          <w:lang w:val="en-GB"/>
        </w:rPr>
        <w:t>PSMPs</w:t>
      </w:r>
      <w:r w:rsidRPr="00A9665F">
        <w:rPr>
          <w:rFonts w:ascii="Times New Roman" w:hAnsi="Times New Roman"/>
          <w:bCs/>
          <w:sz w:val="24"/>
          <w:szCs w:val="24"/>
          <w:lang w:val="en-GB"/>
        </w:rPr>
        <w:t>. The nature of interaction is determined based on the computed value of R</w:t>
      </w:r>
      <w:r w:rsidRPr="00A9665F">
        <w:rPr>
          <w:rFonts w:ascii="Times New Roman" w:hAnsi="Times New Roman"/>
          <w:bCs/>
          <w:sz w:val="24"/>
          <w:szCs w:val="24"/>
          <w:vertAlign w:val="subscript"/>
          <w:lang w:val="en-GB"/>
        </w:rPr>
        <w:t>I</w:t>
      </w:r>
      <w:r w:rsidRPr="00A9665F">
        <w:rPr>
          <w:rFonts w:ascii="Times New Roman" w:hAnsi="Times New Roman"/>
          <w:bCs/>
          <w:sz w:val="24"/>
          <w:szCs w:val="24"/>
          <w:lang w:val="en-GB"/>
        </w:rPr>
        <w:t>. If the R</w:t>
      </w:r>
      <w:r w:rsidRPr="00A9665F">
        <w:rPr>
          <w:rFonts w:ascii="Times New Roman" w:hAnsi="Times New Roman"/>
          <w:bCs/>
          <w:sz w:val="24"/>
          <w:szCs w:val="24"/>
          <w:vertAlign w:val="subscript"/>
          <w:lang w:val="en-GB"/>
        </w:rPr>
        <w:t>I</w:t>
      </w:r>
      <w:r w:rsidRPr="00A9665F">
        <w:rPr>
          <w:rFonts w:ascii="Times New Roman" w:hAnsi="Times New Roman"/>
          <w:bCs/>
          <w:sz w:val="24"/>
          <w:szCs w:val="24"/>
          <w:lang w:val="en-GB"/>
        </w:rPr>
        <w:t xml:space="preserve"> value is equal to 1, the interaction is considered additive. If the calculated R</w:t>
      </w:r>
      <w:r w:rsidRPr="00A9665F">
        <w:rPr>
          <w:rFonts w:ascii="Times New Roman" w:hAnsi="Times New Roman"/>
          <w:bCs/>
          <w:sz w:val="24"/>
          <w:szCs w:val="24"/>
          <w:vertAlign w:val="subscript"/>
          <w:lang w:val="en-GB"/>
        </w:rPr>
        <w:t xml:space="preserve">I </w:t>
      </w:r>
      <w:r w:rsidRPr="00A9665F">
        <w:rPr>
          <w:rFonts w:ascii="Times New Roman" w:hAnsi="Times New Roman"/>
          <w:bCs/>
          <w:sz w:val="24"/>
          <w:szCs w:val="24"/>
          <w:lang w:val="en-GB"/>
        </w:rPr>
        <w:t>value is less than 1, the interaction is deemed antagonistic. Conversely, if the R</w:t>
      </w:r>
      <w:r w:rsidRPr="00A9665F">
        <w:rPr>
          <w:rFonts w:ascii="Times New Roman" w:hAnsi="Times New Roman"/>
          <w:bCs/>
          <w:sz w:val="24"/>
          <w:szCs w:val="24"/>
          <w:vertAlign w:val="subscript"/>
          <w:lang w:val="en-GB"/>
        </w:rPr>
        <w:t>I</w:t>
      </w:r>
      <w:r w:rsidRPr="00A9665F">
        <w:rPr>
          <w:rFonts w:ascii="Times New Roman" w:hAnsi="Times New Roman"/>
          <w:bCs/>
          <w:sz w:val="24"/>
          <w:szCs w:val="24"/>
          <w:lang w:val="en-GB"/>
        </w:rPr>
        <w:t xml:space="preserve"> value obtained is greater than 1, the interaction is characterized as synergistic.</w:t>
      </w:r>
    </w:p>
    <w:p w14:paraId="4A085D38" w14:textId="3D886EF9" w:rsidR="00A9665F" w:rsidRDefault="00A9665F" w:rsidP="00C60DBE">
      <w:pPr>
        <w:spacing w:line="480" w:lineRule="auto"/>
        <w:ind w:firstLine="720"/>
        <w:jc w:val="both"/>
        <w:rPr>
          <w:rFonts w:ascii="Times New Roman" w:hAnsi="Times New Roman"/>
          <w:sz w:val="24"/>
          <w:szCs w:val="24"/>
        </w:rPr>
      </w:pPr>
      <w:r w:rsidRPr="00A9665F">
        <w:rPr>
          <w:rFonts w:ascii="Times New Roman" w:hAnsi="Times New Roman"/>
          <w:bCs/>
          <w:sz w:val="24"/>
          <w:szCs w:val="24"/>
          <w:lang w:val="en-GB"/>
        </w:rPr>
        <w:t>To validate the computed R</w:t>
      </w:r>
      <w:r w:rsidRPr="00A9665F">
        <w:rPr>
          <w:rFonts w:ascii="Times New Roman" w:hAnsi="Times New Roman"/>
          <w:bCs/>
          <w:sz w:val="24"/>
          <w:szCs w:val="24"/>
          <w:vertAlign w:val="subscript"/>
          <w:lang w:val="en-GB"/>
        </w:rPr>
        <w:t>I</w:t>
      </w:r>
      <w:r w:rsidRPr="00A9665F">
        <w:rPr>
          <w:rFonts w:ascii="Times New Roman" w:hAnsi="Times New Roman"/>
          <w:bCs/>
          <w:sz w:val="24"/>
          <w:szCs w:val="24"/>
          <w:lang w:val="en-GB"/>
        </w:rPr>
        <w:t xml:space="preserve"> value, statistical significance between C</w:t>
      </w:r>
      <w:r w:rsidRPr="00A9665F">
        <w:rPr>
          <w:rFonts w:ascii="Times New Roman" w:hAnsi="Times New Roman"/>
          <w:bCs/>
          <w:sz w:val="24"/>
          <w:szCs w:val="24"/>
          <w:vertAlign w:val="subscript"/>
          <w:lang w:val="en-GB"/>
        </w:rPr>
        <w:t xml:space="preserve">Obs </w:t>
      </w:r>
      <w:r w:rsidRPr="00A9665F">
        <w:rPr>
          <w:rFonts w:ascii="Times New Roman" w:hAnsi="Times New Roman"/>
          <w:bCs/>
          <w:sz w:val="24"/>
          <w:szCs w:val="24"/>
          <w:lang w:val="en-GB"/>
        </w:rPr>
        <w:t>and C</w:t>
      </w:r>
      <w:r w:rsidRPr="00A9665F">
        <w:rPr>
          <w:rFonts w:ascii="Times New Roman" w:hAnsi="Times New Roman"/>
          <w:bCs/>
          <w:sz w:val="24"/>
          <w:szCs w:val="24"/>
          <w:vertAlign w:val="subscript"/>
          <w:lang w:val="en-GB"/>
        </w:rPr>
        <w:t>Exp</w:t>
      </w:r>
      <w:r w:rsidRPr="00A9665F">
        <w:rPr>
          <w:rFonts w:ascii="Times New Roman" w:hAnsi="Times New Roman"/>
          <w:bCs/>
          <w:sz w:val="24"/>
          <w:szCs w:val="24"/>
          <w:lang w:val="en-GB"/>
        </w:rPr>
        <w:t xml:space="preserve"> values was assessed using Two-way ANOVA (Bonferroni post-test). Despite the obtained R</w:t>
      </w:r>
      <w:r w:rsidRPr="00A9665F">
        <w:rPr>
          <w:rFonts w:ascii="Times New Roman" w:hAnsi="Times New Roman"/>
          <w:bCs/>
          <w:sz w:val="24"/>
          <w:szCs w:val="24"/>
          <w:vertAlign w:val="subscript"/>
          <w:lang w:val="en-GB"/>
        </w:rPr>
        <w:t>I</w:t>
      </w:r>
      <w:r w:rsidRPr="00A9665F">
        <w:rPr>
          <w:rFonts w:ascii="Times New Roman" w:hAnsi="Times New Roman"/>
          <w:bCs/>
          <w:sz w:val="24"/>
          <w:szCs w:val="24"/>
          <w:lang w:val="en-GB"/>
        </w:rPr>
        <w:t xml:space="preserve"> values, the interaction between </w:t>
      </w:r>
      <w:r>
        <w:rPr>
          <w:rFonts w:ascii="Times New Roman" w:hAnsi="Times New Roman"/>
          <w:bCs/>
          <w:sz w:val="24"/>
          <w:szCs w:val="24"/>
          <w:lang w:val="en-GB"/>
        </w:rPr>
        <w:t>nTiO</w:t>
      </w:r>
      <w:r w:rsidRPr="00A9665F">
        <w:rPr>
          <w:rFonts w:ascii="Times New Roman" w:hAnsi="Times New Roman"/>
          <w:bCs/>
          <w:sz w:val="24"/>
          <w:szCs w:val="24"/>
          <w:vertAlign w:val="subscript"/>
          <w:lang w:val="en-GB"/>
        </w:rPr>
        <w:t>2</w:t>
      </w:r>
      <w:r>
        <w:rPr>
          <w:rFonts w:ascii="Times New Roman" w:hAnsi="Times New Roman"/>
          <w:bCs/>
          <w:sz w:val="24"/>
          <w:szCs w:val="24"/>
          <w:lang w:val="en-GB"/>
        </w:rPr>
        <w:t xml:space="preserve"> </w:t>
      </w:r>
      <w:r w:rsidRPr="00A9665F">
        <w:rPr>
          <w:rFonts w:ascii="Times New Roman" w:hAnsi="Times New Roman"/>
          <w:bCs/>
          <w:sz w:val="24"/>
          <w:szCs w:val="24"/>
          <w:lang w:val="en-GB"/>
        </w:rPr>
        <w:t xml:space="preserve">and </w:t>
      </w:r>
      <w:r>
        <w:rPr>
          <w:rFonts w:ascii="Times New Roman" w:hAnsi="Times New Roman"/>
          <w:bCs/>
          <w:sz w:val="24"/>
          <w:szCs w:val="24"/>
          <w:lang w:val="en-GB"/>
        </w:rPr>
        <w:t xml:space="preserve">PSMPs </w:t>
      </w:r>
      <w:r w:rsidRPr="00A9665F">
        <w:rPr>
          <w:rFonts w:ascii="Times New Roman" w:hAnsi="Times New Roman"/>
          <w:bCs/>
          <w:sz w:val="24"/>
          <w:szCs w:val="24"/>
          <w:lang w:val="en-GB"/>
        </w:rPr>
        <w:t>was regarded as additive when the toxicity difference between C</w:t>
      </w:r>
      <w:r w:rsidRPr="00A9665F">
        <w:rPr>
          <w:rFonts w:ascii="Times New Roman" w:hAnsi="Times New Roman"/>
          <w:bCs/>
          <w:sz w:val="24"/>
          <w:szCs w:val="24"/>
          <w:vertAlign w:val="subscript"/>
          <w:lang w:val="en-GB"/>
        </w:rPr>
        <w:t>Obs</w:t>
      </w:r>
      <w:r w:rsidRPr="00A9665F">
        <w:rPr>
          <w:rFonts w:ascii="Times New Roman" w:hAnsi="Times New Roman"/>
          <w:bCs/>
          <w:sz w:val="24"/>
          <w:szCs w:val="24"/>
          <w:lang w:val="en-GB"/>
        </w:rPr>
        <w:t xml:space="preserve"> and C</w:t>
      </w:r>
      <w:r w:rsidRPr="00A9665F">
        <w:rPr>
          <w:rFonts w:ascii="Times New Roman" w:hAnsi="Times New Roman"/>
          <w:bCs/>
          <w:sz w:val="24"/>
          <w:szCs w:val="24"/>
          <w:vertAlign w:val="subscript"/>
          <w:lang w:val="en-GB"/>
        </w:rPr>
        <w:t>Exp</w:t>
      </w:r>
      <w:r w:rsidRPr="00A9665F">
        <w:rPr>
          <w:rFonts w:ascii="Times New Roman" w:hAnsi="Times New Roman"/>
          <w:bCs/>
          <w:sz w:val="24"/>
          <w:szCs w:val="24"/>
          <w:lang w:val="en-GB"/>
        </w:rPr>
        <w:t xml:space="preserve"> was statistically insignificant </w:t>
      </w:r>
      <w:r w:rsidRPr="00D5642B">
        <w:rPr>
          <w:rFonts w:ascii="Times New Roman" w:hAnsi="Times New Roman"/>
          <w:sz w:val="24"/>
          <w:szCs w:val="24"/>
        </w:rPr>
        <w:t>(p</w:t>
      </w:r>
      <w:r>
        <w:rPr>
          <w:rFonts w:ascii="Times New Roman" w:hAnsi="Times New Roman"/>
          <w:sz w:val="24"/>
          <w:szCs w:val="24"/>
        </w:rPr>
        <w:t xml:space="preserve"> </w:t>
      </w:r>
      <w:r w:rsidRPr="00D5642B">
        <w:rPr>
          <w:rFonts w:ascii="Times New Roman" w:hAnsi="Times New Roman"/>
          <w:sz w:val="24"/>
          <w:szCs w:val="24"/>
        </w:rPr>
        <w:t>&gt; 0.05)</w:t>
      </w:r>
      <w:r w:rsidR="009E16E5">
        <w:rPr>
          <w:rFonts w:ascii="Times New Roman" w:hAnsi="Times New Roman"/>
          <w:sz w:val="24"/>
          <w:szCs w:val="24"/>
        </w:rPr>
        <w:t xml:space="preserve"> </w:t>
      </w:r>
      <w:r w:rsidR="009E16E5" w:rsidRPr="00CF4AE8">
        <w:rPr>
          <w:rFonts w:ascii="Times New Roman" w:hAnsi="Times New Roman"/>
          <w:sz w:val="24"/>
          <w:szCs w:val="24"/>
        </w:rPr>
        <w:t xml:space="preserve">) </w:t>
      </w:r>
      <w:r w:rsidR="009E16E5" w:rsidRPr="00CF4AE8">
        <w:rPr>
          <w:rFonts w:ascii="Times New Roman" w:hAnsi="Times New Roman"/>
          <w:sz w:val="24"/>
          <w:szCs w:val="24"/>
        </w:rPr>
        <w:fldChar w:fldCharType="begin" w:fldLock="1"/>
      </w:r>
      <w:r w:rsidR="00C60DBE">
        <w:rPr>
          <w:rFonts w:ascii="Times New Roman" w:hAnsi="Times New Roman"/>
          <w:sz w:val="24"/>
          <w:szCs w:val="24"/>
        </w:rPr>
        <w:instrText>ADDIN CSL_CITATION {"citationItems":[{"id":"ITEM-1","itemData":{"DOI":"10.1016/j.aquatox.2018.12.014","ISSN":"18791514","PMID":"30638491","abstract":"Increased utilization of titanium dioxide nanoparticles (TiO2 NPs) for commercial as well as industrial purposes resulted in the accumulation of nanoparticles in the marine system. Microplastics being an emerging secondary pollutant in the marine ecosystem have an impact on the toxic effects of TiO2 NPs which has not been evaluated up to date. So it is important to assess the toxic effects of both these pollutants on the marine environment. The present study examines the impact of differently functionalized microplastics on the toxic effects of P25 TiO2 NPs to marine algae Chlorella sp. The tendency of nanoparticles to undergo aggregation in artificial seawater was observed with increase in time. The median effective concentration for TiO2 NPs was found to be 81 μM which indicates higher toxic effects of NPs toward algae. In contrast, microplastics irrespective of their difference in functionalization had minimal toxic effect of about 15% at their higher concentration tested, 1000 mg L−1. Plain and aminated polystyrene microplastics enhanced the TiO2 NPs toxicity which was further validated with oxidative stress determination studies like reactive oxygen species and lipid peroxidation assays. Negatively charged carboxylated polystyrene microplastics decreased the TiO2 NPs toxicity with possible hetero-aggregation between TiO2 NPs and microplastics in the system. The toxicity data obtained for the mixture was further corroborated with Abbott's mathematical model.","author":[{"dropping-particle":"","family":"Thiagarajan","given":"Vignesh","non-dropping-particle":"","parse-names":false,"suffix":""},{"dropping-particle":"","family":"Iswarya","given":"V.","non-dropping-particle":"","parse-names":false,"suffix":""},{"dropping-particle":"","family":"P.","given":"Abraham Julian","non-dropping-particle":"","parse-names":false,"suffix":""},{"dropping-particle":"","family":"Seenivasan","given":"R.","non-dropping-particle":"","parse-names":false,"suffix":""},{"dropping-particle":"","family":"Chandrasekaran","given":"N.","non-dropping-particle":"","parse-names":false,"suffix":""},{"dropping-particle":"","family":"Mukherjee","given":"Amitava","non-dropping-particle":"","parse-names":false,"suffix":""}],"container-title":"Aquatic Toxicology","id":"ITEM-1","issue":"December 2018","issued":{"date-parts":[["2019"]]},"page":"208-216","title":"Influence of differently functionalized polystyrene microplastics on the toxic effects of P25 TiO2 NPs towards marine algae Chlorella sp.","type":"article-journal","volume":"207"},"uris":["http://www.mendeley.com/documents/?uuid=29caa75d-d70f-4359-ba68-5bf192317c46"]}],"mendeley":{"formattedCitation":"(Thiagarajan et al., 2019a)","plainTextFormattedCitation":"(Thiagarajan et al., 2019a)","previouslyFormattedCitation":"(Thiagarajan et al., 2019a)"},"properties":{"noteIndex":0},"schema":"https://github.com/citation-style-language/schema/raw/master/csl-citation.json"}</w:instrText>
      </w:r>
      <w:r w:rsidR="009E16E5" w:rsidRPr="00CF4AE8">
        <w:rPr>
          <w:rFonts w:ascii="Times New Roman" w:hAnsi="Times New Roman"/>
          <w:sz w:val="24"/>
          <w:szCs w:val="24"/>
        </w:rPr>
        <w:fldChar w:fldCharType="separate"/>
      </w:r>
      <w:r w:rsidR="00BC684E" w:rsidRPr="00BC684E">
        <w:rPr>
          <w:rFonts w:ascii="Times New Roman" w:hAnsi="Times New Roman"/>
          <w:noProof/>
          <w:sz w:val="24"/>
          <w:szCs w:val="24"/>
        </w:rPr>
        <w:t>(Thiagarajan et al., 2019a)</w:t>
      </w:r>
      <w:r w:rsidR="009E16E5" w:rsidRPr="00CF4AE8">
        <w:rPr>
          <w:rFonts w:ascii="Times New Roman" w:hAnsi="Times New Roman"/>
          <w:sz w:val="24"/>
          <w:szCs w:val="24"/>
        </w:rPr>
        <w:fldChar w:fldCharType="end"/>
      </w:r>
      <w:r>
        <w:rPr>
          <w:rFonts w:ascii="Times New Roman" w:hAnsi="Times New Roman"/>
          <w:sz w:val="24"/>
          <w:szCs w:val="24"/>
        </w:rPr>
        <w:t>.</w:t>
      </w:r>
    </w:p>
    <w:p w14:paraId="282993B8" w14:textId="5F839C0A" w:rsidR="00A9665F" w:rsidRDefault="00A9665F" w:rsidP="00C60DBE">
      <w:pPr>
        <w:spacing w:line="480" w:lineRule="auto"/>
        <w:jc w:val="both"/>
        <w:rPr>
          <w:rFonts w:ascii="Times New Roman" w:hAnsi="Times New Roman"/>
          <w:b/>
          <w:bCs/>
          <w:sz w:val="24"/>
          <w:szCs w:val="24"/>
        </w:rPr>
      </w:pPr>
      <w:r w:rsidRPr="00A9665F">
        <w:rPr>
          <w:rFonts w:ascii="Times New Roman" w:hAnsi="Times New Roman"/>
          <w:b/>
          <w:bCs/>
          <w:sz w:val="24"/>
          <w:szCs w:val="24"/>
        </w:rPr>
        <w:t>Method S4</w:t>
      </w:r>
      <w:r w:rsidR="00C61248">
        <w:rPr>
          <w:rFonts w:ascii="Times New Roman" w:hAnsi="Times New Roman"/>
          <w:b/>
          <w:bCs/>
          <w:sz w:val="24"/>
          <w:szCs w:val="24"/>
        </w:rPr>
        <w:t>:</w:t>
      </w:r>
      <w:r>
        <w:rPr>
          <w:rFonts w:ascii="Times New Roman" w:hAnsi="Times New Roman"/>
          <w:b/>
          <w:bCs/>
          <w:sz w:val="24"/>
          <w:szCs w:val="24"/>
        </w:rPr>
        <w:t xml:space="preserve"> Estimation of </w:t>
      </w:r>
      <w:r w:rsidR="00C61248">
        <w:rPr>
          <w:rFonts w:ascii="Times New Roman" w:hAnsi="Times New Roman"/>
          <w:b/>
          <w:bCs/>
          <w:sz w:val="24"/>
          <w:szCs w:val="24"/>
        </w:rPr>
        <w:t>Total ROS</w:t>
      </w:r>
      <w:r>
        <w:rPr>
          <w:rFonts w:ascii="Times New Roman" w:hAnsi="Times New Roman"/>
          <w:b/>
          <w:bCs/>
          <w:sz w:val="24"/>
          <w:szCs w:val="24"/>
        </w:rPr>
        <w:t xml:space="preserve"> production</w:t>
      </w:r>
    </w:p>
    <w:p w14:paraId="1BF63ECF" w14:textId="0025464F" w:rsidR="00C61248" w:rsidRPr="00C61248" w:rsidRDefault="00C61248" w:rsidP="00C60DBE">
      <w:pPr>
        <w:spacing w:line="480" w:lineRule="auto"/>
        <w:jc w:val="both"/>
        <w:rPr>
          <w:rFonts w:ascii="Times New Roman" w:hAnsi="Times New Roman"/>
          <w:sz w:val="24"/>
          <w:szCs w:val="24"/>
          <w:lang w:val="en-GB"/>
        </w:rPr>
      </w:pPr>
      <w:r w:rsidRPr="00C61248">
        <w:rPr>
          <w:rFonts w:ascii="Times New Roman" w:hAnsi="Times New Roman"/>
          <w:sz w:val="24"/>
          <w:szCs w:val="24"/>
          <w:lang w:val="en-GB"/>
        </w:rPr>
        <w:t>DCFH-DA, a dye capable of permeating cells and serving as an indicator for reactive oxygen species (ROS), was employed to quantify the level of ROS production. The total ROS content was assessed in both the control and experimental groups. After a 72-hour period, a 10 ml suspension of algal cells was exposed to DCFH-DA (100 mM) in a light-restricted environment for 30 minutes. Subsequently, the fluorescence intensity of the samples was measured using a spectrofluorometer with excitation and emission wavelengths set at 485 nm and 530 nm, respectively. The quantity of ROS generated was then determined by comparing it to the fluorescence intensity of untreated algal cells</w:t>
      </w:r>
      <w:r w:rsidR="009E16E5">
        <w:rPr>
          <w:rFonts w:ascii="Times New Roman" w:hAnsi="Times New Roman"/>
          <w:sz w:val="24"/>
          <w:szCs w:val="24"/>
          <w:lang w:val="en-GB"/>
        </w:rPr>
        <w:t xml:space="preserve"> </w:t>
      </w:r>
      <w:r w:rsidR="009E16E5" w:rsidRPr="00CF4AE8">
        <w:rPr>
          <w:rFonts w:ascii="Times New Roman" w:hAnsi="Times New Roman"/>
          <w:sz w:val="24"/>
          <w:szCs w:val="24"/>
        </w:rPr>
        <w:fldChar w:fldCharType="begin" w:fldLock="1"/>
      </w:r>
      <w:r w:rsidR="009E16E5" w:rsidRPr="00CF4AE8">
        <w:rPr>
          <w:rFonts w:ascii="Times New Roman" w:hAnsi="Times New Roman"/>
          <w:sz w:val="24"/>
          <w:szCs w:val="24"/>
        </w:rPr>
        <w:instrText>ADDIN CSL_CITATION {"citationItems":[{"id":"ITEM-1","itemData":{"ISSN":"0013-9351","author":[{"dropping-particle":"","family":"Natarajan","given":"Lokeshwari","non-dropping-particle":"","parse-names":false,"suffix":""},{"dropping-particle":"","family":"Jenifer","given":"M Annie","non-dropping-particle":"","parse-names":false,"suffix":""},{"dropping-particle":"","family":"Chandrasekaran","given":"N","non-dropping-particle":"","parse-names":false,"suffix":""},{"dropping-particle":"","family":"Suraishkumar","given":"G K","non-dropping-particle":"","parse-names":false,"suffix":""},{"dropping-particle":"","family":"Mukherjee","given":"Amitava","non-dropping-particle":"","parse-names":false,"suffix":""}],"container-title":"Environmental Research","id":"ITEM-1","issued":{"date-parts":[["2022"]]},"page":"112400","publisher":"Elsevier","title":"Polystyrene nanoplastics diminish the toxic effects of Nano-TiO2 in marine algae Chlorella sp.","type":"article-journal","volume":"204"},"uris":["http://www.mendeley.com/documents/?uuid=bb9f4baf-a856-4c13-9de5-fcef425a0b0e"]}],"mendeley":{"formattedCitation":"(Natarajan et al., 2022)","plainTextFormattedCitation":"(Natarajan et al., 2022)","previouslyFormattedCitation":"(Natarajan et al., 2022)"},"properties":{"noteIndex":0},"schema":"https://github.com/citation-style-language/schema/raw/master/csl-citation.json"}</w:instrText>
      </w:r>
      <w:r w:rsidR="009E16E5" w:rsidRPr="00CF4AE8">
        <w:rPr>
          <w:rFonts w:ascii="Times New Roman" w:hAnsi="Times New Roman"/>
          <w:sz w:val="24"/>
          <w:szCs w:val="24"/>
        </w:rPr>
        <w:fldChar w:fldCharType="separate"/>
      </w:r>
      <w:r w:rsidR="009E16E5" w:rsidRPr="00CF4AE8">
        <w:rPr>
          <w:rFonts w:ascii="Times New Roman" w:hAnsi="Times New Roman"/>
          <w:noProof/>
          <w:sz w:val="24"/>
          <w:szCs w:val="24"/>
        </w:rPr>
        <w:t>(Natarajan et al., 2022)</w:t>
      </w:r>
      <w:r w:rsidR="009E16E5" w:rsidRPr="00CF4AE8">
        <w:rPr>
          <w:rFonts w:ascii="Times New Roman" w:hAnsi="Times New Roman"/>
          <w:sz w:val="24"/>
          <w:szCs w:val="24"/>
        </w:rPr>
        <w:fldChar w:fldCharType="end"/>
      </w:r>
      <w:r w:rsidRPr="00C61248">
        <w:rPr>
          <w:rFonts w:ascii="Times New Roman" w:hAnsi="Times New Roman"/>
          <w:sz w:val="24"/>
          <w:szCs w:val="24"/>
          <w:lang w:val="en-GB"/>
        </w:rPr>
        <w:t>.</w:t>
      </w:r>
    </w:p>
    <w:p w14:paraId="7DECA642" w14:textId="77777777" w:rsidR="00C61248" w:rsidRDefault="00C61248" w:rsidP="00C60DBE">
      <w:pPr>
        <w:spacing w:line="480" w:lineRule="auto"/>
        <w:jc w:val="both"/>
        <w:rPr>
          <w:rFonts w:ascii="Times New Roman" w:hAnsi="Times New Roman"/>
          <w:b/>
          <w:bCs/>
          <w:sz w:val="24"/>
          <w:szCs w:val="24"/>
        </w:rPr>
      </w:pPr>
      <w:r w:rsidRPr="00C61248">
        <w:rPr>
          <w:rFonts w:ascii="Times New Roman" w:hAnsi="Times New Roman"/>
          <w:b/>
          <w:bCs/>
          <w:sz w:val="24"/>
          <w:szCs w:val="24"/>
        </w:rPr>
        <w:lastRenderedPageBreak/>
        <w:t>Method S5:</w:t>
      </w:r>
      <w:r>
        <w:rPr>
          <w:rFonts w:ascii="Times New Roman" w:hAnsi="Times New Roman"/>
          <w:b/>
          <w:bCs/>
          <w:sz w:val="24"/>
          <w:szCs w:val="24"/>
        </w:rPr>
        <w:t xml:space="preserve"> Estimation of MDA content </w:t>
      </w:r>
    </w:p>
    <w:p w14:paraId="3E56C70C" w14:textId="3F8CF6FB" w:rsidR="003B63FA" w:rsidRDefault="00C61248" w:rsidP="00C60DBE">
      <w:pPr>
        <w:spacing w:line="480" w:lineRule="auto"/>
        <w:jc w:val="both"/>
        <w:rPr>
          <w:rFonts w:ascii="Times New Roman" w:hAnsi="Times New Roman"/>
          <w:sz w:val="24"/>
          <w:szCs w:val="24"/>
        </w:rPr>
      </w:pPr>
      <w:r w:rsidRPr="00C61248">
        <w:rPr>
          <w:rFonts w:ascii="Times New Roman" w:hAnsi="Times New Roman"/>
          <w:sz w:val="24"/>
          <w:szCs w:val="24"/>
        </w:rPr>
        <w:t>After a 72-hour incubation period, the treated samples underwent centrifugation at 4 °C for 10 minutes at a speed of 7000 rpm. The resulting cell pellets were subsequently subjected to treatment with a 0.25% solution of TBA (prepared in a 10% TCA solution) and placed in a water bath at 95 °C for 30 minutes. To halt the reaction, the heated sample mixtures were rapidly transferred to an ice bath and then centrifuged at 7000 rpm for 10 minutes. The absorbance of the supernatant containing the MDA enzyme released was measured at 530 nm. By subtracting the absorbance at 600 nm, the desired measurement was obtained</w:t>
      </w:r>
      <w:r w:rsidR="009E16E5">
        <w:rPr>
          <w:rFonts w:ascii="Times New Roman" w:hAnsi="Times New Roman"/>
          <w:sz w:val="24"/>
          <w:szCs w:val="24"/>
        </w:rPr>
        <w:t xml:space="preserve"> </w:t>
      </w:r>
      <w:r w:rsidR="009E16E5" w:rsidRPr="00CF4AE8">
        <w:rPr>
          <w:rFonts w:ascii="Times New Roman" w:hAnsi="Times New Roman"/>
          <w:sz w:val="24"/>
          <w:szCs w:val="24"/>
        </w:rPr>
        <w:fldChar w:fldCharType="begin" w:fldLock="1"/>
      </w:r>
      <w:r w:rsidR="00BC684E">
        <w:rPr>
          <w:rFonts w:ascii="Times New Roman" w:hAnsi="Times New Roman"/>
          <w:sz w:val="24"/>
          <w:szCs w:val="24"/>
        </w:rPr>
        <w:instrText>ADDIN CSL_CITATION {"citationItems":[{"id":"ITEM-1","itemData":{"DOI":"https://doi.org/10.1016/j.envres.2019.108808","ISSN":"0013-9351","abstract":"Pollutants such as n-TiO2 and tetracycline enter the marine environment through various sources starting from their production until disposal. Hence, it is vital to determine the interactive effect of one pollutant with the other when they coexist in the environment. In the present study, the effect of antibiotic – tetracycline (TC) on the toxicity of P25 n-TiO2 was studied with marine microalgae, Chlorella sp. The impact of TC (1 mg L−1) on five different concentrations of n-TiO2 (0.25, 0.5, 1, 2 and 4 mg L−1) under both visible and UV-A illuminations was evaluated. Effective diameter of n-TiO2 in ASW at 0th h increased from 690.69 ± 19.55 nm (0.25 mg L−1) to 1183.04 ± 37.10 nm (0.25 mg L−1 + 1 mg L−1) and 971.51 ± 14.61 nm (4 mg L−1) to 1324.12 ± 11.59 nm (4 mg L−1 + 1 mg L−1) in presence of TC. A significant increase in the toxicity of 4 mg L−1 n-TiO2 upon the addition of TC (68.16 ± 0.37% under visible and 80.21 ± 0.3% under UV-A condition) was observed. No significant difference in toxicity was observed between visible and UV-A illuminations. Further the toxicity data was corroborated through the measurement of oxidative stress and antioxidant enzyme activities. Independent action model showed antagonistic effect for lower concentrations of n-TiO2 and additive effect for higher concentrations of n-TiO2 when present in mixture with TC under both illuminations. For the higher mixture concentration of 4 mg L−1 n-TiO2 and 1 mg L−1 TC, the percentage TC removal was about 55.29% and 30% and the corresponding TOC removal was found to be 54.29% and 31.04% under visible and UV-A illuminations respectively. The site of ROS generation in Chlorella sp. was identified with electron transfer chain inhibitors. Both mitochondria and chloroplast acted as the site for the ROS generation in Chlorella sp. The SEM images of the algal cells upon exposure to n-TiO2 and mixture revealed the aggregation of cells and distortion of cell membrane.","author":[{"dropping-particle":"","family":"Thiagarajan","given":"Vignesh","non-dropping-particle":"","parse-names":false,"suffix":""},{"dropping-particle":"","family":"Natarajan","given":"Lokeshwari","non-dropping-particle":"","parse-names":false,"suffix":""},{"dropping-particle":"","family":"Seenivasan","given":"R","non-dropping-particle":"","parse-names":false,"suffix":""},{"dropping-particle":"","family":"Chandrasekaran","given":"N","non-dropping-particle":"","parse-names":false,"suffix":""},{"dropping-particle":"","family":"Mukherjee","given":"Amitava","non-dropping-particle":"","parse-names":false,"suffix":""}],"container-title":"Environmental Research","id":"ITEM-1","issued":{"date-parts":[["2019"]]},"page":"108808","title":"Tetracycline affects the toxicity of P25 n-TiO2 towards marine microalgae Chlorella sp.","type":"article-journal","volume":"179"},"uris":["http://www.mendeley.com/documents/?uuid=76a7ddb2-c62f-49f2-a7dd-a8b351407432"]}],"mendeley":{"formattedCitation":"(Thiagarajan et al., 2019b)","plainTextFormattedCitation":"(Thiagarajan et al., 2019b)","previouslyFormattedCitation":"(Thiagarajan et al., 2019b)"},"properties":{"noteIndex":0},"schema":"https://github.com/citation-style-language/schema/raw/master/csl-citation.json"}</w:instrText>
      </w:r>
      <w:r w:rsidR="009E16E5" w:rsidRPr="00CF4AE8">
        <w:rPr>
          <w:rFonts w:ascii="Times New Roman" w:hAnsi="Times New Roman"/>
          <w:sz w:val="24"/>
          <w:szCs w:val="24"/>
        </w:rPr>
        <w:fldChar w:fldCharType="separate"/>
      </w:r>
      <w:r w:rsidR="00BC684E" w:rsidRPr="00BC684E">
        <w:rPr>
          <w:rFonts w:ascii="Times New Roman" w:hAnsi="Times New Roman"/>
          <w:noProof/>
          <w:sz w:val="24"/>
          <w:szCs w:val="24"/>
        </w:rPr>
        <w:t>(Thiagarajan et al., 2019b)</w:t>
      </w:r>
      <w:r w:rsidR="009E16E5" w:rsidRPr="00CF4AE8">
        <w:rPr>
          <w:rFonts w:ascii="Times New Roman" w:hAnsi="Times New Roman"/>
          <w:sz w:val="24"/>
          <w:szCs w:val="24"/>
        </w:rPr>
        <w:fldChar w:fldCharType="end"/>
      </w:r>
      <w:r w:rsidRPr="00C61248">
        <w:rPr>
          <w:rFonts w:ascii="Times New Roman" w:hAnsi="Times New Roman"/>
          <w:sz w:val="24"/>
          <w:szCs w:val="24"/>
        </w:rPr>
        <w:t>.</w:t>
      </w:r>
    </w:p>
    <w:p w14:paraId="531A9DB5" w14:textId="77777777" w:rsidR="003B63FA" w:rsidRPr="003B63FA" w:rsidRDefault="003B63FA" w:rsidP="00C60DBE">
      <w:pPr>
        <w:spacing w:line="480" w:lineRule="auto"/>
        <w:jc w:val="both"/>
        <w:rPr>
          <w:rFonts w:ascii="Times New Roman" w:hAnsi="Times New Roman"/>
          <w:b/>
          <w:bCs/>
          <w:sz w:val="24"/>
          <w:szCs w:val="24"/>
        </w:rPr>
      </w:pPr>
      <w:r w:rsidRPr="003B63FA">
        <w:rPr>
          <w:rFonts w:ascii="Times New Roman" w:hAnsi="Times New Roman"/>
          <w:b/>
          <w:bCs/>
          <w:sz w:val="24"/>
          <w:szCs w:val="24"/>
        </w:rPr>
        <w:t>Method S6: Estimation of photosynthetic pigment production</w:t>
      </w:r>
    </w:p>
    <w:p w14:paraId="71EFDEDF" w14:textId="4C0D7834" w:rsidR="00A9665F" w:rsidRDefault="003B63FA" w:rsidP="00C60DBE">
      <w:pPr>
        <w:spacing w:line="480" w:lineRule="auto"/>
        <w:jc w:val="both"/>
        <w:rPr>
          <w:rFonts w:ascii="Times New Roman" w:hAnsi="Times New Roman"/>
          <w:sz w:val="24"/>
          <w:szCs w:val="24"/>
        </w:rPr>
      </w:pPr>
      <w:r w:rsidRPr="003B63FA">
        <w:rPr>
          <w:rFonts w:ascii="Times New Roman" w:hAnsi="Times New Roman"/>
          <w:sz w:val="24"/>
          <w:szCs w:val="24"/>
        </w:rPr>
        <w:t>To measure the concentrations of photosynthetic pigments, namely chlorophyll a, chlorophyll b, and carotenoids, a spectrophotometric method was employed with 95% ethanol serving as the reference. After a 72-hour incubation period, both control and test samples were subjected to centrifugation at 4000 rpm for 15 minutes. The supernatant was carefully removed, and the pellet was resuspended in 3 ml of 95% ethanol. The suspension was vortexed and then centrifuged for 3 minutes at 4000 rpm. The absorbance of the resulting supernatant was promptly measured at wavelengths of 665 nm, 649 nm, and 470 nm</w:t>
      </w:r>
      <w:r w:rsidR="007E514B">
        <w:rPr>
          <w:rFonts w:ascii="Times New Roman" w:hAnsi="Times New Roman"/>
          <w:sz w:val="24"/>
          <w:szCs w:val="24"/>
        </w:rPr>
        <w:t xml:space="preserve"> </w:t>
      </w:r>
      <w:r w:rsidR="007E514B">
        <w:rPr>
          <w:rFonts w:ascii="Times New Roman" w:hAnsi="Times New Roman"/>
          <w:sz w:val="24"/>
          <w:szCs w:val="24"/>
        </w:rPr>
        <w:fldChar w:fldCharType="begin" w:fldLock="1"/>
      </w:r>
      <w:r w:rsidR="00BC684E">
        <w:rPr>
          <w:rFonts w:ascii="Times New Roman" w:hAnsi="Times New Roman"/>
          <w:sz w:val="24"/>
          <w:szCs w:val="24"/>
        </w:rPr>
        <w:instrText>ADDIN CSL_CITATION {"citationItems":[{"id":"ITEM-1","itemData":{"ISSN":"0981-9428","author":[{"dropping-particle":"","family":"Giri","given":"Sayani","non-dropping-particle":"","parse-names":false,"suffix":""},{"dropping-particle":"","family":"Christudoss","given":"Abisha Christy","non-dropping-particle":"","parse-names":false,"suffix":""},{"dropping-particle":"","family":"Chandrasekaran","given":"Natarajan","non-dropping-particle":"","parse-names":false,"suffix":""},{"dropping-particle":"","family":"Peijnenburg","given":"Willie J G M","non-dropping-particle":"","parse-names":false,"suffix":""},{"dropping-particle":"","family":"Mukherjee","given":"Amitava","non-dropping-particle":"","parse-names":false,"suffix":""}],"container-title":"Plant Physiology and Biochemistry","id":"ITEM-1","issued":{"date-parts":[["2023"]]},"page":"107664","publisher":"Elsevier","title":"The role of algal EPS in reducing the combined toxicity of BPA and polystyrene nanoparticles to the freshwater algae Scenedesmus obliquus","type":"article-journal","volume":"197"},"uris":["http://www.mendeley.com/documents/?uuid=c95ec9dc-2f7b-4478-b4f5-6692e247834f"]}],"mendeley":{"formattedCitation":"(Giri et al., 2023)","plainTextFormattedCitation":"(Giri et al., 2023)","previouslyFormattedCitation":"(Giri et al., 2023)"},"properties":{"noteIndex":0},"schema":"https://github.com/citation-style-language/schema/raw/master/csl-citation.json"}</w:instrText>
      </w:r>
      <w:r w:rsidR="007E514B">
        <w:rPr>
          <w:rFonts w:ascii="Times New Roman" w:hAnsi="Times New Roman"/>
          <w:sz w:val="24"/>
          <w:szCs w:val="24"/>
        </w:rPr>
        <w:fldChar w:fldCharType="separate"/>
      </w:r>
      <w:r w:rsidR="007E514B" w:rsidRPr="007E514B">
        <w:rPr>
          <w:rFonts w:ascii="Times New Roman" w:hAnsi="Times New Roman"/>
          <w:noProof/>
          <w:sz w:val="24"/>
          <w:szCs w:val="24"/>
        </w:rPr>
        <w:t>(Giri et al., 2023)</w:t>
      </w:r>
      <w:r w:rsidR="007E514B">
        <w:rPr>
          <w:rFonts w:ascii="Times New Roman" w:hAnsi="Times New Roman"/>
          <w:sz w:val="24"/>
          <w:szCs w:val="24"/>
        </w:rPr>
        <w:fldChar w:fldCharType="end"/>
      </w:r>
      <w:r w:rsidRPr="003B63FA">
        <w:rPr>
          <w:rFonts w:ascii="Times New Roman" w:hAnsi="Times New Roman"/>
          <w:sz w:val="24"/>
          <w:szCs w:val="24"/>
        </w:rPr>
        <w:t xml:space="preserve">. </w:t>
      </w:r>
      <w:r w:rsidR="007E514B" w:rsidRPr="007E514B">
        <w:rPr>
          <w:rFonts w:ascii="Times New Roman" w:hAnsi="Times New Roman"/>
          <w:sz w:val="24"/>
          <w:szCs w:val="24"/>
        </w:rPr>
        <w:t>The pigment concentrations were calculated using the equations</w:t>
      </w:r>
      <w:r w:rsidR="007E514B">
        <w:rPr>
          <w:rFonts w:ascii="Times New Roman" w:hAnsi="Times New Roman"/>
          <w:sz w:val="24"/>
          <w:szCs w:val="24"/>
        </w:rPr>
        <w:t xml:space="preserve"> given below. </w:t>
      </w:r>
    </w:p>
    <w:p w14:paraId="569D4EA1" w14:textId="60BF91E5" w:rsidR="007E514B" w:rsidRPr="007E514B" w:rsidRDefault="00D222D2" w:rsidP="00C60DBE">
      <w:pPr>
        <w:spacing w:line="480" w:lineRule="auto"/>
        <w:jc w:val="both"/>
        <w:rPr>
          <w:rFonts w:ascii="Times New Roman" w:hAnsi="Times New Roman"/>
          <w:sz w:val="24"/>
          <w:szCs w:val="24"/>
        </w:rPr>
      </w:pPr>
      <w:r>
        <w:rPr>
          <w:rFonts w:ascii="Times New Roman" w:hAnsi="Times New Roman"/>
          <w:sz w:val="24"/>
          <w:szCs w:val="24"/>
        </w:rPr>
        <w:t>C</w:t>
      </w:r>
      <w:r w:rsidR="007E514B" w:rsidRPr="007E514B">
        <w:rPr>
          <w:rFonts w:ascii="Times New Roman" w:hAnsi="Times New Roman"/>
          <w:sz w:val="24"/>
          <w:szCs w:val="24"/>
        </w:rPr>
        <w:t xml:space="preserve">hlorophyll </w:t>
      </w:r>
      <w:r w:rsidR="007E514B" w:rsidRPr="007E514B">
        <w:rPr>
          <w:rFonts w:ascii="Times New Roman" w:hAnsi="Times New Roman"/>
          <w:i/>
          <w:iCs/>
          <w:sz w:val="24"/>
          <w:szCs w:val="24"/>
        </w:rPr>
        <w:t xml:space="preserve">a </w:t>
      </w:r>
      <w:r w:rsidR="007E514B" w:rsidRPr="007E514B">
        <w:rPr>
          <w:rFonts w:ascii="Times New Roman" w:hAnsi="Times New Roman"/>
          <w:sz w:val="24"/>
          <w:szCs w:val="24"/>
        </w:rPr>
        <w:t>(Chl A) = 13.95 A665–6.88 A649;</w:t>
      </w:r>
    </w:p>
    <w:p w14:paraId="4C1288CC" w14:textId="13528B2E" w:rsidR="007E514B" w:rsidRPr="007E514B" w:rsidRDefault="007E514B" w:rsidP="00C60DBE">
      <w:pPr>
        <w:spacing w:line="480" w:lineRule="auto"/>
        <w:jc w:val="both"/>
        <w:rPr>
          <w:rFonts w:ascii="Times New Roman" w:hAnsi="Times New Roman"/>
          <w:sz w:val="24"/>
          <w:szCs w:val="24"/>
        </w:rPr>
      </w:pPr>
      <w:r w:rsidRPr="007E514B">
        <w:rPr>
          <w:rFonts w:ascii="Times New Roman" w:hAnsi="Times New Roman"/>
          <w:sz w:val="24"/>
          <w:szCs w:val="24"/>
        </w:rPr>
        <w:t xml:space="preserve"> </w:t>
      </w:r>
      <w:r w:rsidR="00D222D2">
        <w:rPr>
          <w:rFonts w:ascii="Times New Roman" w:hAnsi="Times New Roman"/>
          <w:sz w:val="24"/>
          <w:szCs w:val="24"/>
        </w:rPr>
        <w:t>C</w:t>
      </w:r>
      <w:r w:rsidRPr="007E514B">
        <w:rPr>
          <w:rFonts w:ascii="Times New Roman" w:hAnsi="Times New Roman"/>
          <w:sz w:val="24"/>
          <w:szCs w:val="24"/>
        </w:rPr>
        <w:t xml:space="preserve">hlorophyll </w:t>
      </w:r>
      <w:r w:rsidRPr="007E514B">
        <w:rPr>
          <w:rFonts w:ascii="Times New Roman" w:hAnsi="Times New Roman"/>
          <w:i/>
          <w:iCs/>
          <w:sz w:val="24"/>
          <w:szCs w:val="24"/>
        </w:rPr>
        <w:t xml:space="preserve">b </w:t>
      </w:r>
      <w:r w:rsidRPr="007E514B">
        <w:rPr>
          <w:rFonts w:ascii="Times New Roman" w:hAnsi="Times New Roman"/>
          <w:sz w:val="24"/>
          <w:szCs w:val="24"/>
        </w:rPr>
        <w:t>(Chl B) = 24.96 A649–7.32 A665;</w:t>
      </w:r>
    </w:p>
    <w:p w14:paraId="435742C3" w14:textId="2779DA9A" w:rsidR="007E514B" w:rsidRPr="007E514B" w:rsidRDefault="007E514B" w:rsidP="00C60DBE">
      <w:pPr>
        <w:spacing w:line="480" w:lineRule="auto"/>
        <w:jc w:val="both"/>
        <w:rPr>
          <w:rFonts w:ascii="Times New Roman" w:hAnsi="Times New Roman"/>
          <w:sz w:val="40"/>
          <w:szCs w:val="40"/>
          <w:lang w:val="en-GB"/>
        </w:rPr>
      </w:pPr>
      <w:r w:rsidRPr="007E514B">
        <w:rPr>
          <w:rFonts w:ascii="Times New Roman" w:hAnsi="Times New Roman"/>
          <w:sz w:val="24"/>
          <w:szCs w:val="24"/>
        </w:rPr>
        <w:t xml:space="preserve"> </w:t>
      </w:r>
      <w:r w:rsidR="00D222D2">
        <w:rPr>
          <w:rFonts w:ascii="Times New Roman" w:hAnsi="Times New Roman"/>
          <w:sz w:val="24"/>
          <w:szCs w:val="24"/>
        </w:rPr>
        <w:t>C</w:t>
      </w:r>
      <w:r w:rsidRPr="007E514B">
        <w:rPr>
          <w:rFonts w:ascii="Times New Roman" w:hAnsi="Times New Roman"/>
          <w:sz w:val="24"/>
          <w:szCs w:val="24"/>
        </w:rPr>
        <w:t xml:space="preserve">arotenoids (Car) = (1000 A470–2.05 Chl </w:t>
      </w:r>
      <w:r w:rsidR="00D222D2">
        <w:rPr>
          <w:rFonts w:ascii="Times New Roman" w:hAnsi="Times New Roman"/>
          <w:sz w:val="24"/>
          <w:szCs w:val="24"/>
        </w:rPr>
        <w:t>A</w:t>
      </w:r>
      <w:r w:rsidRPr="007E514B">
        <w:rPr>
          <w:rFonts w:ascii="Times New Roman" w:hAnsi="Times New Roman"/>
          <w:sz w:val="24"/>
          <w:szCs w:val="24"/>
        </w:rPr>
        <w:t xml:space="preserve">–114.8 Chl </w:t>
      </w:r>
      <w:r w:rsidR="00D222D2">
        <w:rPr>
          <w:rFonts w:ascii="Times New Roman" w:hAnsi="Times New Roman"/>
          <w:sz w:val="24"/>
          <w:szCs w:val="24"/>
        </w:rPr>
        <w:t>B</w:t>
      </w:r>
      <w:r w:rsidRPr="007E514B">
        <w:rPr>
          <w:rFonts w:ascii="Times New Roman" w:hAnsi="Times New Roman"/>
          <w:sz w:val="24"/>
          <w:szCs w:val="24"/>
        </w:rPr>
        <w:t>)/245;</w:t>
      </w:r>
    </w:p>
    <w:p w14:paraId="153DFF38" w14:textId="77777777" w:rsidR="00A9665F" w:rsidRPr="00C61248" w:rsidRDefault="00A9665F" w:rsidP="00C60DBE">
      <w:pPr>
        <w:spacing w:line="480" w:lineRule="auto"/>
        <w:jc w:val="both"/>
        <w:rPr>
          <w:rFonts w:ascii="Times New Roman" w:hAnsi="Times New Roman"/>
          <w:sz w:val="24"/>
          <w:szCs w:val="24"/>
          <w:lang w:val="en-GB"/>
        </w:rPr>
      </w:pPr>
    </w:p>
    <w:p w14:paraId="270F2054" w14:textId="1C1E7B8C" w:rsidR="00A9665F" w:rsidRDefault="00BC684E" w:rsidP="00C60DBE">
      <w:pPr>
        <w:spacing w:line="480" w:lineRule="auto"/>
        <w:jc w:val="both"/>
        <w:rPr>
          <w:rFonts w:ascii="Times New Roman" w:hAnsi="Times New Roman"/>
          <w:b/>
          <w:bCs/>
          <w:sz w:val="24"/>
          <w:szCs w:val="24"/>
          <w:u w:val="single"/>
          <w:lang w:val="en-GB"/>
        </w:rPr>
      </w:pPr>
      <w:r w:rsidRPr="00BC684E">
        <w:rPr>
          <w:rFonts w:ascii="Times New Roman" w:hAnsi="Times New Roman"/>
          <w:b/>
          <w:bCs/>
          <w:sz w:val="24"/>
          <w:szCs w:val="24"/>
          <w:u w:val="single"/>
          <w:lang w:val="en-GB"/>
        </w:rPr>
        <w:lastRenderedPageBreak/>
        <w:t>Figures</w:t>
      </w:r>
    </w:p>
    <w:p w14:paraId="050D5493" w14:textId="1A0EC6A3" w:rsidR="000226CC" w:rsidRPr="00BC684E" w:rsidRDefault="00D222D2" w:rsidP="00C60DBE">
      <w:pPr>
        <w:spacing w:line="480" w:lineRule="auto"/>
        <w:jc w:val="both"/>
        <w:rPr>
          <w:rFonts w:ascii="Times New Roman" w:hAnsi="Times New Roman"/>
          <w:b/>
          <w:bCs/>
          <w:sz w:val="24"/>
          <w:szCs w:val="24"/>
          <w:u w:val="single"/>
          <w:lang w:val="en-GB"/>
        </w:rPr>
      </w:pPr>
      <w:r>
        <w:rPr>
          <w:noProof/>
        </w:rPr>
        <w:drawing>
          <wp:inline distT="0" distB="0" distL="0" distR="0" wp14:anchorId="0709F81C" wp14:editId="73647027">
            <wp:extent cx="5943600" cy="2087880"/>
            <wp:effectExtent l="0" t="0" r="0" b="7620"/>
            <wp:docPr id="15609381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2087880"/>
                    </a:xfrm>
                    <a:prstGeom prst="rect">
                      <a:avLst/>
                    </a:prstGeom>
                    <a:noFill/>
                    <a:ln>
                      <a:noFill/>
                    </a:ln>
                  </pic:spPr>
                </pic:pic>
              </a:graphicData>
            </a:graphic>
          </wp:inline>
        </w:drawing>
      </w:r>
    </w:p>
    <w:p w14:paraId="35B21C3C" w14:textId="31B0919B" w:rsidR="00A9665F" w:rsidRPr="00C61248" w:rsidRDefault="00A9665F" w:rsidP="00C60DBE">
      <w:pPr>
        <w:spacing w:line="480" w:lineRule="auto"/>
        <w:jc w:val="both"/>
        <w:rPr>
          <w:rFonts w:ascii="Times New Roman" w:hAnsi="Times New Roman"/>
          <w:sz w:val="24"/>
          <w:szCs w:val="24"/>
          <w:lang w:val="en-GB"/>
        </w:rPr>
      </w:pPr>
    </w:p>
    <w:p w14:paraId="4071CC3F" w14:textId="7751F614" w:rsidR="002F6DDE" w:rsidRDefault="00E800D7" w:rsidP="00C60DBE">
      <w:pPr>
        <w:spacing w:line="480" w:lineRule="auto"/>
        <w:jc w:val="center"/>
        <w:rPr>
          <w:rFonts w:ascii="Times New Roman" w:hAnsi="Times New Roman"/>
          <w:sz w:val="24"/>
          <w:szCs w:val="24"/>
          <w:lang w:val="en-GB"/>
        </w:rPr>
      </w:pPr>
      <w:r w:rsidRPr="00E800D7">
        <w:rPr>
          <w:rFonts w:ascii="Times New Roman" w:hAnsi="Times New Roman"/>
          <w:b/>
          <w:bCs/>
          <w:sz w:val="24"/>
          <w:szCs w:val="24"/>
          <w:lang w:val="en-GB"/>
        </w:rPr>
        <w:t>Fig</w:t>
      </w:r>
      <w:r w:rsidR="00393BD7">
        <w:rPr>
          <w:rFonts w:ascii="Times New Roman" w:hAnsi="Times New Roman"/>
          <w:b/>
          <w:bCs/>
          <w:sz w:val="24"/>
          <w:szCs w:val="24"/>
          <w:lang w:val="en-GB"/>
        </w:rPr>
        <w:t>.</w:t>
      </w:r>
      <w:r w:rsidRPr="00E800D7">
        <w:rPr>
          <w:rFonts w:ascii="Times New Roman" w:hAnsi="Times New Roman"/>
          <w:b/>
          <w:bCs/>
          <w:sz w:val="24"/>
          <w:szCs w:val="24"/>
          <w:lang w:val="en-GB"/>
        </w:rPr>
        <w:t xml:space="preserve"> S1</w:t>
      </w:r>
      <w:r>
        <w:rPr>
          <w:rFonts w:ascii="Times New Roman" w:hAnsi="Times New Roman"/>
          <w:sz w:val="24"/>
          <w:szCs w:val="24"/>
          <w:lang w:val="en-GB"/>
        </w:rPr>
        <w:t>: FTIR analysis of PSMPs (A) NH</w:t>
      </w:r>
      <w:r w:rsidRPr="00E800D7">
        <w:rPr>
          <w:rFonts w:ascii="Times New Roman" w:hAnsi="Times New Roman"/>
          <w:sz w:val="24"/>
          <w:szCs w:val="24"/>
          <w:vertAlign w:val="subscript"/>
          <w:lang w:val="en-GB"/>
        </w:rPr>
        <w:t>2</w:t>
      </w:r>
      <w:r>
        <w:rPr>
          <w:rFonts w:ascii="Times New Roman" w:hAnsi="Times New Roman"/>
          <w:sz w:val="24"/>
          <w:szCs w:val="24"/>
          <w:vertAlign w:val="subscript"/>
          <w:lang w:val="en-GB"/>
        </w:rPr>
        <w:t xml:space="preserve"> </w:t>
      </w:r>
      <w:r>
        <w:rPr>
          <w:rFonts w:ascii="Times New Roman" w:hAnsi="Times New Roman"/>
          <w:sz w:val="24"/>
          <w:szCs w:val="24"/>
          <w:lang w:val="en-GB"/>
        </w:rPr>
        <w:t>PSMPs, (B) COOH PSMPs</w:t>
      </w:r>
    </w:p>
    <w:p w14:paraId="039C7D20" w14:textId="77777777" w:rsidR="005D5AB8" w:rsidRDefault="005D5AB8" w:rsidP="00C60DBE">
      <w:pPr>
        <w:spacing w:line="480" w:lineRule="auto"/>
        <w:jc w:val="center"/>
        <w:rPr>
          <w:rFonts w:ascii="Times New Roman" w:hAnsi="Times New Roman"/>
          <w:sz w:val="24"/>
          <w:szCs w:val="24"/>
          <w:lang w:val="en-GB"/>
        </w:rPr>
      </w:pPr>
    </w:p>
    <w:p w14:paraId="2B41B58C" w14:textId="77777777" w:rsidR="005D5AB8" w:rsidRDefault="005D5AB8" w:rsidP="00C60DBE">
      <w:pPr>
        <w:spacing w:line="480" w:lineRule="auto"/>
        <w:jc w:val="center"/>
        <w:rPr>
          <w:rFonts w:ascii="Times New Roman" w:hAnsi="Times New Roman"/>
          <w:sz w:val="24"/>
          <w:szCs w:val="24"/>
          <w:lang w:val="en-GB"/>
        </w:rPr>
      </w:pPr>
    </w:p>
    <w:p w14:paraId="005B431E" w14:textId="77777777" w:rsidR="005D5AB8" w:rsidRDefault="005D5AB8" w:rsidP="00C60DBE">
      <w:pPr>
        <w:spacing w:line="480" w:lineRule="auto"/>
        <w:jc w:val="center"/>
        <w:rPr>
          <w:rFonts w:ascii="Times New Roman" w:hAnsi="Times New Roman"/>
          <w:sz w:val="24"/>
          <w:szCs w:val="24"/>
          <w:lang w:val="en-GB"/>
        </w:rPr>
      </w:pPr>
    </w:p>
    <w:p w14:paraId="21F94428" w14:textId="77777777" w:rsidR="005D5AB8" w:rsidRDefault="005D5AB8" w:rsidP="00C60DBE">
      <w:pPr>
        <w:spacing w:line="480" w:lineRule="auto"/>
        <w:jc w:val="center"/>
        <w:rPr>
          <w:rFonts w:ascii="Times New Roman" w:hAnsi="Times New Roman"/>
          <w:sz w:val="24"/>
          <w:szCs w:val="24"/>
          <w:lang w:val="en-GB"/>
        </w:rPr>
      </w:pPr>
    </w:p>
    <w:p w14:paraId="282B2105" w14:textId="77777777" w:rsidR="005D5AB8" w:rsidRDefault="005D5AB8" w:rsidP="00C60DBE">
      <w:pPr>
        <w:spacing w:line="480" w:lineRule="auto"/>
        <w:jc w:val="center"/>
        <w:rPr>
          <w:rFonts w:ascii="Times New Roman" w:hAnsi="Times New Roman"/>
          <w:sz w:val="24"/>
          <w:szCs w:val="24"/>
          <w:lang w:val="en-GB"/>
        </w:rPr>
      </w:pPr>
    </w:p>
    <w:p w14:paraId="71601B39" w14:textId="77777777" w:rsidR="005D5AB8" w:rsidRDefault="005D5AB8" w:rsidP="00C60DBE">
      <w:pPr>
        <w:spacing w:line="480" w:lineRule="auto"/>
        <w:jc w:val="center"/>
        <w:rPr>
          <w:rFonts w:ascii="Times New Roman" w:hAnsi="Times New Roman"/>
          <w:sz w:val="24"/>
          <w:szCs w:val="24"/>
          <w:lang w:val="en-GB"/>
        </w:rPr>
      </w:pPr>
    </w:p>
    <w:p w14:paraId="3E177D1B" w14:textId="77777777" w:rsidR="005D5AB8" w:rsidRDefault="005D5AB8" w:rsidP="00C60DBE">
      <w:pPr>
        <w:spacing w:line="480" w:lineRule="auto"/>
        <w:jc w:val="center"/>
        <w:rPr>
          <w:rFonts w:ascii="Times New Roman" w:hAnsi="Times New Roman"/>
          <w:sz w:val="24"/>
          <w:szCs w:val="24"/>
          <w:lang w:val="en-GB"/>
        </w:rPr>
      </w:pPr>
    </w:p>
    <w:p w14:paraId="4A018A82" w14:textId="77777777" w:rsidR="005D5AB8" w:rsidRDefault="005D5AB8" w:rsidP="00C60DBE">
      <w:pPr>
        <w:spacing w:line="480" w:lineRule="auto"/>
        <w:jc w:val="center"/>
        <w:rPr>
          <w:rFonts w:ascii="Times New Roman" w:hAnsi="Times New Roman"/>
          <w:sz w:val="24"/>
          <w:szCs w:val="24"/>
          <w:lang w:val="en-GB"/>
        </w:rPr>
      </w:pPr>
    </w:p>
    <w:p w14:paraId="749DCEB3" w14:textId="77777777" w:rsidR="005D5AB8" w:rsidRDefault="005D5AB8" w:rsidP="00C60DBE">
      <w:pPr>
        <w:spacing w:line="480" w:lineRule="auto"/>
        <w:jc w:val="center"/>
        <w:rPr>
          <w:rFonts w:ascii="Times New Roman" w:hAnsi="Times New Roman"/>
          <w:sz w:val="24"/>
          <w:szCs w:val="24"/>
          <w:lang w:val="en-GB"/>
        </w:rPr>
      </w:pPr>
    </w:p>
    <w:p w14:paraId="25ADE4AB" w14:textId="77777777" w:rsidR="005D5AB8" w:rsidRDefault="005D5AB8" w:rsidP="00C60DBE">
      <w:pPr>
        <w:spacing w:line="480" w:lineRule="auto"/>
        <w:jc w:val="center"/>
        <w:rPr>
          <w:rFonts w:ascii="Times New Roman" w:hAnsi="Times New Roman"/>
          <w:sz w:val="24"/>
          <w:szCs w:val="24"/>
          <w:lang w:val="en-GB"/>
        </w:rPr>
      </w:pPr>
    </w:p>
    <w:p w14:paraId="3C15808E" w14:textId="77777777" w:rsidR="005D5AB8" w:rsidRDefault="005D5AB8" w:rsidP="00C60DBE">
      <w:pPr>
        <w:spacing w:line="480" w:lineRule="auto"/>
        <w:jc w:val="center"/>
        <w:rPr>
          <w:rFonts w:ascii="Times New Roman" w:hAnsi="Times New Roman"/>
          <w:sz w:val="24"/>
          <w:szCs w:val="24"/>
          <w:lang w:val="en-GB"/>
        </w:rPr>
      </w:pPr>
    </w:p>
    <w:p w14:paraId="136608CD" w14:textId="5519B453" w:rsidR="005D5AB8" w:rsidRPr="00E800D7" w:rsidRDefault="00393BD7" w:rsidP="00C60DBE">
      <w:pPr>
        <w:spacing w:line="480" w:lineRule="auto"/>
        <w:jc w:val="center"/>
        <w:rPr>
          <w:rFonts w:ascii="Times New Roman" w:hAnsi="Times New Roman"/>
          <w:sz w:val="24"/>
          <w:szCs w:val="24"/>
          <w:lang w:val="en-GB"/>
        </w:rPr>
      </w:pPr>
      <w:r>
        <w:rPr>
          <w:rFonts w:ascii="Times New Roman" w:hAnsi="Times New Roman"/>
          <w:noProof/>
          <w:sz w:val="24"/>
          <w:szCs w:val="24"/>
          <w:lang w:val="en-GB"/>
          <w14:ligatures w14:val="standardContextual"/>
        </w:rPr>
        <w:drawing>
          <wp:inline distT="0" distB="0" distL="0" distR="0" wp14:anchorId="5627ACA4" wp14:editId="01DE666C">
            <wp:extent cx="4654061" cy="5419794"/>
            <wp:effectExtent l="0" t="0" r="0" b="0"/>
            <wp:docPr id="462234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234711" name="Picture 46223471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659378" cy="5425986"/>
                    </a:xfrm>
                    <a:prstGeom prst="rect">
                      <a:avLst/>
                    </a:prstGeom>
                  </pic:spPr>
                </pic:pic>
              </a:graphicData>
            </a:graphic>
          </wp:inline>
        </w:drawing>
      </w:r>
    </w:p>
    <w:p w14:paraId="48705F74" w14:textId="251041B0" w:rsidR="000A55DC" w:rsidRPr="00393BD7" w:rsidRDefault="005D5AB8" w:rsidP="00393BD7">
      <w:pPr>
        <w:spacing w:line="480" w:lineRule="auto"/>
        <w:jc w:val="both"/>
        <w:rPr>
          <w:rFonts w:ascii="Times New Roman" w:hAnsi="Times New Roman"/>
          <w:b/>
          <w:bCs/>
          <w:sz w:val="24"/>
          <w:szCs w:val="24"/>
        </w:rPr>
      </w:pPr>
      <w:r>
        <w:rPr>
          <w:rFonts w:ascii="Times New Roman" w:hAnsi="Times New Roman"/>
          <w:b/>
          <w:bCs/>
          <w:sz w:val="24"/>
          <w:szCs w:val="24"/>
        </w:rPr>
        <w:t>Fig</w:t>
      </w:r>
      <w:r w:rsidR="00393BD7">
        <w:rPr>
          <w:rFonts w:ascii="Times New Roman" w:hAnsi="Times New Roman"/>
          <w:b/>
          <w:bCs/>
          <w:sz w:val="24"/>
          <w:szCs w:val="24"/>
        </w:rPr>
        <w:t>.</w:t>
      </w:r>
      <w:r>
        <w:rPr>
          <w:rFonts w:ascii="Times New Roman" w:hAnsi="Times New Roman"/>
          <w:b/>
          <w:bCs/>
          <w:sz w:val="24"/>
          <w:szCs w:val="24"/>
        </w:rPr>
        <w:t xml:space="preserve"> S2 </w:t>
      </w:r>
      <w:r>
        <w:rPr>
          <w:rFonts w:ascii="Times New Roman" w:hAnsi="Times New Roman"/>
          <w:sz w:val="24"/>
          <w:szCs w:val="24"/>
        </w:rPr>
        <w:t xml:space="preserve">Percentage of hetero-aggregation rate of algae with </w:t>
      </w:r>
      <w:r w:rsidRPr="00072D33">
        <w:rPr>
          <w:rFonts w:ascii="Times New Roman" w:hAnsi="Times New Roman"/>
          <w:sz w:val="24"/>
          <w:szCs w:val="24"/>
        </w:rPr>
        <w:t xml:space="preserve">for </w:t>
      </w:r>
      <w:r w:rsidR="00FB5FEB">
        <w:rPr>
          <w:rFonts w:ascii="Times New Roman" w:hAnsi="Times New Roman"/>
          <w:sz w:val="24"/>
          <w:szCs w:val="24"/>
        </w:rPr>
        <w:t>n</w:t>
      </w:r>
      <w:r w:rsidRPr="00072D33">
        <w:rPr>
          <w:rFonts w:ascii="Times New Roman" w:hAnsi="Times New Roman"/>
          <w:sz w:val="24"/>
          <w:szCs w:val="24"/>
        </w:rPr>
        <w:t>TiO</w:t>
      </w:r>
      <w:r w:rsidRPr="00072D33">
        <w:rPr>
          <w:rFonts w:ascii="Times New Roman" w:hAnsi="Times New Roman"/>
          <w:sz w:val="24"/>
          <w:szCs w:val="24"/>
          <w:vertAlign w:val="subscript"/>
        </w:rPr>
        <w:t>2</w:t>
      </w:r>
      <w:r w:rsidRPr="00072D33">
        <w:rPr>
          <w:rFonts w:ascii="Times New Roman" w:hAnsi="Times New Roman"/>
          <w:sz w:val="24"/>
          <w:szCs w:val="24"/>
        </w:rPr>
        <w:t>, PSMPs (NH</w:t>
      </w:r>
      <w:r w:rsidRPr="00072D33">
        <w:rPr>
          <w:rFonts w:ascii="Times New Roman" w:hAnsi="Times New Roman"/>
          <w:sz w:val="24"/>
          <w:szCs w:val="24"/>
          <w:vertAlign w:val="subscript"/>
        </w:rPr>
        <w:t>2</w:t>
      </w:r>
      <w:r w:rsidRPr="00072D33">
        <w:rPr>
          <w:rFonts w:ascii="Times New Roman" w:hAnsi="Times New Roman"/>
          <w:sz w:val="24"/>
          <w:szCs w:val="24"/>
        </w:rPr>
        <w:t xml:space="preserve"> and COOH), and their combination</w:t>
      </w:r>
      <w:r>
        <w:rPr>
          <w:rFonts w:ascii="Times New Roman" w:hAnsi="Times New Roman"/>
          <w:sz w:val="24"/>
          <w:szCs w:val="24"/>
        </w:rPr>
        <w:t xml:space="preserve"> </w:t>
      </w:r>
      <w:r w:rsidRPr="008F5332">
        <w:rPr>
          <w:rFonts w:ascii="Times New Roman" w:hAnsi="Times New Roman"/>
          <w:sz w:val="24"/>
          <w:szCs w:val="24"/>
        </w:rPr>
        <w:t>(</w:t>
      </w:r>
      <w:r w:rsidR="00393BD7">
        <w:rPr>
          <w:rFonts w:ascii="Times New Roman" w:hAnsi="Times New Roman"/>
          <w:sz w:val="24"/>
          <w:szCs w:val="24"/>
        </w:rPr>
        <w:t>a</w:t>
      </w:r>
      <w:r w:rsidRPr="008F5332">
        <w:rPr>
          <w:rFonts w:ascii="Times New Roman" w:hAnsi="Times New Roman"/>
          <w:sz w:val="24"/>
          <w:szCs w:val="24"/>
        </w:rPr>
        <w:t xml:space="preserve">) </w:t>
      </w:r>
      <w:r>
        <w:rPr>
          <w:rFonts w:ascii="Times New Roman" w:hAnsi="Times New Roman"/>
          <w:sz w:val="24"/>
          <w:szCs w:val="24"/>
        </w:rPr>
        <w:t xml:space="preserve">after 6 h under </w:t>
      </w:r>
      <w:r w:rsidRPr="008F5332">
        <w:rPr>
          <w:rFonts w:ascii="Times New Roman" w:hAnsi="Times New Roman"/>
          <w:sz w:val="24"/>
          <w:szCs w:val="24"/>
        </w:rPr>
        <w:t>visible-light conditions</w:t>
      </w:r>
      <w:r>
        <w:rPr>
          <w:rFonts w:ascii="Times New Roman" w:hAnsi="Times New Roman"/>
          <w:sz w:val="24"/>
          <w:szCs w:val="24"/>
        </w:rPr>
        <w:t>, (</w:t>
      </w:r>
      <w:r w:rsidR="00393BD7">
        <w:rPr>
          <w:rFonts w:ascii="Times New Roman" w:hAnsi="Times New Roman"/>
          <w:sz w:val="24"/>
          <w:szCs w:val="24"/>
        </w:rPr>
        <w:t>b</w:t>
      </w:r>
      <w:r>
        <w:rPr>
          <w:rFonts w:ascii="Times New Roman" w:hAnsi="Times New Roman"/>
          <w:sz w:val="24"/>
          <w:szCs w:val="24"/>
        </w:rPr>
        <w:t>)</w:t>
      </w:r>
      <w:r w:rsidRPr="00072D33">
        <w:rPr>
          <w:rFonts w:ascii="Times New Roman" w:hAnsi="Times New Roman"/>
          <w:sz w:val="24"/>
          <w:szCs w:val="24"/>
        </w:rPr>
        <w:t xml:space="preserve"> </w:t>
      </w:r>
      <w:r>
        <w:rPr>
          <w:rFonts w:ascii="Times New Roman" w:hAnsi="Times New Roman"/>
          <w:sz w:val="24"/>
          <w:szCs w:val="24"/>
        </w:rPr>
        <w:t>after 6 h under UV-A conditions, (</w:t>
      </w:r>
      <w:r w:rsidR="00393BD7">
        <w:rPr>
          <w:rFonts w:ascii="Times New Roman" w:hAnsi="Times New Roman"/>
          <w:sz w:val="24"/>
          <w:szCs w:val="24"/>
        </w:rPr>
        <w:t>c</w:t>
      </w:r>
      <w:r>
        <w:rPr>
          <w:rFonts w:ascii="Times New Roman" w:hAnsi="Times New Roman"/>
          <w:sz w:val="24"/>
          <w:szCs w:val="24"/>
        </w:rPr>
        <w:t xml:space="preserve">) after 12 h under </w:t>
      </w:r>
      <w:r w:rsidRPr="008F5332">
        <w:rPr>
          <w:rFonts w:ascii="Times New Roman" w:hAnsi="Times New Roman"/>
          <w:sz w:val="24"/>
          <w:szCs w:val="24"/>
        </w:rPr>
        <w:t>visible-light conditions</w:t>
      </w:r>
      <w:r>
        <w:rPr>
          <w:rFonts w:ascii="Times New Roman" w:hAnsi="Times New Roman"/>
          <w:sz w:val="24"/>
          <w:szCs w:val="24"/>
        </w:rPr>
        <w:t>, (</w:t>
      </w:r>
      <w:r w:rsidR="00393BD7">
        <w:rPr>
          <w:rFonts w:ascii="Times New Roman" w:hAnsi="Times New Roman"/>
          <w:sz w:val="24"/>
          <w:szCs w:val="24"/>
        </w:rPr>
        <w:t>d</w:t>
      </w:r>
      <w:r>
        <w:rPr>
          <w:rFonts w:ascii="Times New Roman" w:hAnsi="Times New Roman"/>
          <w:sz w:val="24"/>
          <w:szCs w:val="24"/>
        </w:rPr>
        <w:t>) after 12 h under UV-A conditions, (</w:t>
      </w:r>
      <w:r w:rsidR="00393BD7">
        <w:rPr>
          <w:rFonts w:ascii="Times New Roman" w:hAnsi="Times New Roman"/>
          <w:sz w:val="24"/>
          <w:szCs w:val="24"/>
        </w:rPr>
        <w:t>e</w:t>
      </w:r>
      <w:r>
        <w:rPr>
          <w:rFonts w:ascii="Times New Roman" w:hAnsi="Times New Roman"/>
          <w:sz w:val="24"/>
          <w:szCs w:val="24"/>
        </w:rPr>
        <w:t xml:space="preserve">) after 24 h under </w:t>
      </w:r>
      <w:r w:rsidRPr="008F5332">
        <w:rPr>
          <w:rFonts w:ascii="Times New Roman" w:hAnsi="Times New Roman"/>
          <w:sz w:val="24"/>
          <w:szCs w:val="24"/>
        </w:rPr>
        <w:t>visible-light conditions</w:t>
      </w:r>
      <w:r>
        <w:rPr>
          <w:rFonts w:ascii="Times New Roman" w:hAnsi="Times New Roman"/>
          <w:sz w:val="24"/>
          <w:szCs w:val="24"/>
        </w:rPr>
        <w:t xml:space="preserve"> and (</w:t>
      </w:r>
      <w:r w:rsidR="00393BD7">
        <w:rPr>
          <w:rFonts w:ascii="Times New Roman" w:hAnsi="Times New Roman"/>
          <w:sz w:val="24"/>
          <w:szCs w:val="24"/>
        </w:rPr>
        <w:t>f</w:t>
      </w:r>
      <w:r>
        <w:rPr>
          <w:rFonts w:ascii="Times New Roman" w:hAnsi="Times New Roman"/>
          <w:sz w:val="24"/>
          <w:szCs w:val="24"/>
        </w:rPr>
        <w:t>) after 24 h under UV-A conditions. (</w:t>
      </w:r>
      <w:r w:rsidRPr="00072D33">
        <w:rPr>
          <w:rFonts w:ascii="Times New Roman" w:hAnsi="Times New Roman"/>
          <w:sz w:val="24"/>
          <w:szCs w:val="24"/>
        </w:rPr>
        <w:t>Note:</w:t>
      </w:r>
      <w:r>
        <w:rPr>
          <w:rFonts w:ascii="Times New Roman" w:hAnsi="Times New Roman"/>
          <w:sz w:val="24"/>
          <w:szCs w:val="24"/>
        </w:rPr>
        <w:t xml:space="preserve"> </w:t>
      </w:r>
      <w:r w:rsidRPr="00072D33">
        <w:rPr>
          <w:rFonts w:ascii="Times New Roman" w:hAnsi="Times New Roman"/>
          <w:sz w:val="24"/>
          <w:szCs w:val="24"/>
        </w:rPr>
        <w:t xml:space="preserve">The symbol 'α' indicates a significant difference between the </w:t>
      </w:r>
      <w:r>
        <w:rPr>
          <w:rFonts w:ascii="Times New Roman" w:hAnsi="Times New Roman"/>
          <w:sz w:val="24"/>
          <w:szCs w:val="24"/>
        </w:rPr>
        <w:t>pristine PSMPs</w:t>
      </w:r>
      <w:r w:rsidRPr="00072D33">
        <w:rPr>
          <w:rFonts w:ascii="Times New Roman" w:hAnsi="Times New Roman"/>
          <w:sz w:val="24"/>
          <w:szCs w:val="24"/>
        </w:rPr>
        <w:t xml:space="preserve"> and the binary mixture (α = p &lt; 0.001)</w:t>
      </w:r>
    </w:p>
    <w:p w14:paraId="76EFCD0D" w14:textId="1D0663F0" w:rsidR="000A55DC" w:rsidRDefault="00FB5FEB" w:rsidP="00C60DBE">
      <w:pPr>
        <w:spacing w:line="480" w:lineRule="auto"/>
        <w:jc w:val="center"/>
        <w:rPr>
          <w:rFonts w:ascii="Times New Roman" w:hAnsi="Times New Roman"/>
          <w:sz w:val="24"/>
          <w:szCs w:val="24"/>
        </w:rPr>
      </w:pPr>
      <w:r>
        <w:rPr>
          <w:noProof/>
        </w:rPr>
        <w:lastRenderedPageBreak/>
        <w:drawing>
          <wp:inline distT="0" distB="0" distL="0" distR="0" wp14:anchorId="44AD5A77" wp14:editId="1D9A478F">
            <wp:extent cx="6429730" cy="4625340"/>
            <wp:effectExtent l="0" t="0" r="9525" b="3810"/>
            <wp:docPr id="89219560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49984" cy="4639910"/>
                    </a:xfrm>
                    <a:prstGeom prst="rect">
                      <a:avLst/>
                    </a:prstGeom>
                    <a:noFill/>
                    <a:ln>
                      <a:noFill/>
                    </a:ln>
                  </pic:spPr>
                </pic:pic>
              </a:graphicData>
            </a:graphic>
          </wp:inline>
        </w:drawing>
      </w:r>
    </w:p>
    <w:p w14:paraId="1CB582F0" w14:textId="063A9F56" w:rsidR="000A55DC" w:rsidRPr="00393BD7" w:rsidRDefault="000A55DC" w:rsidP="00C60DBE">
      <w:pPr>
        <w:spacing w:line="480" w:lineRule="auto"/>
        <w:jc w:val="both"/>
        <w:rPr>
          <w:rFonts w:ascii="Times New Roman" w:hAnsi="Times New Roman"/>
          <w:sz w:val="24"/>
          <w:szCs w:val="24"/>
          <w:lang w:val="en-US"/>
        </w:rPr>
      </w:pPr>
      <w:r w:rsidRPr="000A55DC">
        <w:rPr>
          <w:rFonts w:ascii="Times New Roman" w:hAnsi="Times New Roman"/>
          <w:b/>
          <w:bCs/>
          <w:sz w:val="24"/>
          <w:szCs w:val="24"/>
          <w:lang w:val="en-US"/>
        </w:rPr>
        <w:t>Fig</w:t>
      </w:r>
      <w:r w:rsidR="00393BD7">
        <w:rPr>
          <w:rFonts w:ascii="Times New Roman" w:hAnsi="Times New Roman"/>
          <w:b/>
          <w:bCs/>
          <w:sz w:val="24"/>
          <w:szCs w:val="24"/>
          <w:lang w:val="en-US"/>
        </w:rPr>
        <w:t>.</w:t>
      </w:r>
      <w:r w:rsidRPr="000A55DC">
        <w:rPr>
          <w:rFonts w:ascii="Times New Roman" w:hAnsi="Times New Roman"/>
          <w:b/>
          <w:bCs/>
          <w:sz w:val="24"/>
          <w:szCs w:val="24"/>
          <w:lang w:val="en-US"/>
        </w:rPr>
        <w:t xml:space="preserve"> S3: </w:t>
      </w:r>
      <w:r w:rsidRPr="00393BD7">
        <w:rPr>
          <w:rFonts w:ascii="Times New Roman" w:hAnsi="Times New Roman"/>
          <w:sz w:val="24"/>
          <w:szCs w:val="24"/>
          <w:lang w:val="en-US"/>
        </w:rPr>
        <w:t>FE-SEM image of algal cells</w:t>
      </w:r>
      <w:r w:rsidR="00FB5FEB" w:rsidRPr="00393BD7">
        <w:rPr>
          <w:rFonts w:ascii="Times New Roman" w:hAnsi="Times New Roman"/>
          <w:sz w:val="24"/>
          <w:szCs w:val="24"/>
          <w:lang w:val="en-US"/>
        </w:rPr>
        <w:t>; Yellow arrows: interaction of nTiO</w:t>
      </w:r>
      <w:r w:rsidR="00FB5FEB" w:rsidRPr="00393BD7">
        <w:rPr>
          <w:rFonts w:ascii="Times New Roman" w:hAnsi="Times New Roman"/>
          <w:sz w:val="24"/>
          <w:szCs w:val="24"/>
          <w:vertAlign w:val="subscript"/>
          <w:lang w:val="en-US"/>
        </w:rPr>
        <w:t>2</w:t>
      </w:r>
      <w:r w:rsidR="00FB5FEB" w:rsidRPr="00393BD7">
        <w:rPr>
          <w:rFonts w:ascii="Times New Roman" w:hAnsi="Times New Roman"/>
          <w:sz w:val="24"/>
          <w:szCs w:val="24"/>
          <w:lang w:val="en-US"/>
        </w:rPr>
        <w:t xml:space="preserve"> with algal cells; Blue arrow: Interaction of MPs with algal cell</w:t>
      </w:r>
    </w:p>
    <w:p w14:paraId="1BC9D3FC" w14:textId="77777777" w:rsidR="00C60DBE" w:rsidRDefault="00C60DBE" w:rsidP="00C60DBE">
      <w:pPr>
        <w:spacing w:line="480" w:lineRule="auto"/>
        <w:jc w:val="both"/>
        <w:rPr>
          <w:rFonts w:ascii="Times New Roman" w:hAnsi="Times New Roman"/>
          <w:b/>
          <w:bCs/>
          <w:sz w:val="24"/>
          <w:szCs w:val="24"/>
          <w:lang w:val="en-US"/>
        </w:rPr>
      </w:pPr>
    </w:p>
    <w:p w14:paraId="09F51BCE" w14:textId="77777777" w:rsidR="00C60DBE" w:rsidRDefault="00C60DBE" w:rsidP="00C60DBE">
      <w:pPr>
        <w:spacing w:line="480" w:lineRule="auto"/>
        <w:jc w:val="both"/>
        <w:rPr>
          <w:rFonts w:ascii="Times New Roman" w:hAnsi="Times New Roman"/>
          <w:b/>
          <w:bCs/>
          <w:sz w:val="24"/>
          <w:szCs w:val="24"/>
          <w:lang w:val="en-US"/>
        </w:rPr>
      </w:pPr>
    </w:p>
    <w:p w14:paraId="0539A37F" w14:textId="77777777" w:rsidR="00C60DBE" w:rsidRDefault="00C60DBE" w:rsidP="00C60DBE">
      <w:pPr>
        <w:spacing w:line="480" w:lineRule="auto"/>
        <w:jc w:val="both"/>
        <w:rPr>
          <w:rFonts w:ascii="Times New Roman" w:hAnsi="Times New Roman"/>
          <w:b/>
          <w:bCs/>
          <w:sz w:val="24"/>
          <w:szCs w:val="24"/>
          <w:lang w:val="en-US"/>
        </w:rPr>
      </w:pPr>
    </w:p>
    <w:p w14:paraId="05785168" w14:textId="77777777" w:rsidR="00C60DBE" w:rsidRDefault="00C60DBE" w:rsidP="00C60DBE">
      <w:pPr>
        <w:spacing w:line="480" w:lineRule="auto"/>
        <w:jc w:val="both"/>
        <w:rPr>
          <w:rFonts w:ascii="Times New Roman" w:hAnsi="Times New Roman"/>
          <w:b/>
          <w:bCs/>
          <w:sz w:val="24"/>
          <w:szCs w:val="24"/>
          <w:lang w:val="en-US"/>
        </w:rPr>
      </w:pPr>
    </w:p>
    <w:p w14:paraId="20781E27" w14:textId="77777777" w:rsidR="00C60DBE" w:rsidRDefault="00C60DBE" w:rsidP="00C60DBE">
      <w:pPr>
        <w:spacing w:line="480" w:lineRule="auto"/>
        <w:jc w:val="both"/>
        <w:rPr>
          <w:rFonts w:ascii="Times New Roman" w:hAnsi="Times New Roman"/>
          <w:b/>
          <w:bCs/>
          <w:sz w:val="24"/>
          <w:szCs w:val="24"/>
          <w:lang w:val="en-US"/>
        </w:rPr>
      </w:pPr>
    </w:p>
    <w:p w14:paraId="2ACCD023" w14:textId="77777777" w:rsidR="00393BD7" w:rsidRDefault="00393BD7" w:rsidP="00C60DBE">
      <w:pPr>
        <w:spacing w:line="480" w:lineRule="auto"/>
        <w:jc w:val="both"/>
        <w:rPr>
          <w:rFonts w:ascii="Times New Roman" w:hAnsi="Times New Roman"/>
          <w:b/>
          <w:bCs/>
          <w:sz w:val="24"/>
          <w:szCs w:val="24"/>
          <w:lang w:val="en-US"/>
        </w:rPr>
      </w:pPr>
    </w:p>
    <w:p w14:paraId="2AC0A183" w14:textId="57DBEAD5" w:rsidR="00C60DBE" w:rsidRDefault="00C60DBE" w:rsidP="00C60DBE">
      <w:pPr>
        <w:spacing w:line="480" w:lineRule="auto"/>
        <w:jc w:val="both"/>
        <w:rPr>
          <w:rFonts w:ascii="Times New Roman" w:hAnsi="Times New Roman"/>
          <w:b/>
          <w:bCs/>
          <w:sz w:val="24"/>
          <w:szCs w:val="24"/>
          <w:lang w:val="en-US"/>
        </w:rPr>
      </w:pPr>
      <w:r>
        <w:rPr>
          <w:rFonts w:ascii="Times New Roman" w:hAnsi="Times New Roman"/>
          <w:b/>
          <w:bCs/>
          <w:sz w:val="24"/>
          <w:szCs w:val="24"/>
          <w:lang w:val="en-US"/>
        </w:rPr>
        <w:lastRenderedPageBreak/>
        <w:t>References</w:t>
      </w:r>
    </w:p>
    <w:p w14:paraId="13129D3D" w14:textId="218A04CA" w:rsidR="00C60DBE" w:rsidRPr="00C60DBE" w:rsidRDefault="00C60DBE" w:rsidP="00C60DBE">
      <w:pPr>
        <w:widowControl w:val="0"/>
        <w:autoSpaceDE w:val="0"/>
        <w:autoSpaceDN w:val="0"/>
        <w:adjustRightInd w:val="0"/>
        <w:spacing w:line="480" w:lineRule="auto"/>
        <w:ind w:left="480" w:hanging="480"/>
        <w:rPr>
          <w:rFonts w:ascii="Times New Roman" w:hAnsi="Times New Roman"/>
          <w:noProof/>
          <w:sz w:val="24"/>
          <w:szCs w:val="24"/>
        </w:rPr>
      </w:pPr>
      <w:r>
        <w:rPr>
          <w:rFonts w:ascii="Times New Roman" w:hAnsi="Times New Roman"/>
          <w:b/>
          <w:bCs/>
          <w:sz w:val="24"/>
          <w:szCs w:val="24"/>
          <w:lang w:val="en-US"/>
        </w:rPr>
        <w:fldChar w:fldCharType="begin" w:fldLock="1"/>
      </w:r>
      <w:r>
        <w:rPr>
          <w:rFonts w:ascii="Times New Roman" w:hAnsi="Times New Roman"/>
          <w:b/>
          <w:bCs/>
          <w:sz w:val="24"/>
          <w:szCs w:val="24"/>
          <w:lang w:val="en-US"/>
        </w:rPr>
        <w:instrText xml:space="preserve">ADDIN Mendeley Bibliography CSL_BIBLIOGRAPHY </w:instrText>
      </w:r>
      <w:r>
        <w:rPr>
          <w:rFonts w:ascii="Times New Roman" w:hAnsi="Times New Roman"/>
          <w:b/>
          <w:bCs/>
          <w:sz w:val="24"/>
          <w:szCs w:val="24"/>
          <w:lang w:val="en-US"/>
        </w:rPr>
        <w:fldChar w:fldCharType="separate"/>
      </w:r>
      <w:r w:rsidRPr="00C60DBE">
        <w:rPr>
          <w:rFonts w:ascii="Times New Roman" w:hAnsi="Times New Roman"/>
          <w:noProof/>
          <w:sz w:val="24"/>
          <w:szCs w:val="24"/>
        </w:rPr>
        <w:t>Giri, S., Christudoss, A.C., Chandrasekaran, N., Peijnenburg, W.J.G.M., Mukherjee, A., 2023. The role of algal EPS in reducing the combined toxicity of BPA and polystyrene nanoparticles to the freshwater algae Scenedesmus obliquus. Plant Physiol. Biochem. 197, 107664.</w:t>
      </w:r>
    </w:p>
    <w:p w14:paraId="4C26DA91" w14:textId="77777777" w:rsidR="00C60DBE" w:rsidRPr="00C60DBE" w:rsidRDefault="00C60DBE" w:rsidP="00C60DBE">
      <w:pPr>
        <w:widowControl w:val="0"/>
        <w:autoSpaceDE w:val="0"/>
        <w:autoSpaceDN w:val="0"/>
        <w:adjustRightInd w:val="0"/>
        <w:spacing w:line="480" w:lineRule="auto"/>
        <w:ind w:left="480" w:hanging="480"/>
        <w:rPr>
          <w:rFonts w:ascii="Times New Roman" w:hAnsi="Times New Roman"/>
          <w:noProof/>
          <w:sz w:val="24"/>
          <w:szCs w:val="24"/>
        </w:rPr>
      </w:pPr>
      <w:r w:rsidRPr="00C60DBE">
        <w:rPr>
          <w:rFonts w:ascii="Times New Roman" w:hAnsi="Times New Roman"/>
          <w:noProof/>
          <w:sz w:val="24"/>
          <w:szCs w:val="24"/>
        </w:rPr>
        <w:t>Natarajan, L., Jenifer, M.A., Chandrasekaran, N., Suraishkumar, G.K., Mukherjee, A., 2022. Polystyrene nanoplastics diminish the toxic effects of Nano-TiO2 in marine algae Chlorella sp. Environ. Res. 204, 112400.</w:t>
      </w:r>
    </w:p>
    <w:p w14:paraId="099BC95E" w14:textId="77777777" w:rsidR="00C60DBE" w:rsidRPr="00C60DBE" w:rsidRDefault="00C60DBE" w:rsidP="00C60DBE">
      <w:pPr>
        <w:widowControl w:val="0"/>
        <w:autoSpaceDE w:val="0"/>
        <w:autoSpaceDN w:val="0"/>
        <w:adjustRightInd w:val="0"/>
        <w:spacing w:line="480" w:lineRule="auto"/>
        <w:ind w:left="480" w:hanging="480"/>
        <w:rPr>
          <w:rFonts w:ascii="Times New Roman" w:hAnsi="Times New Roman"/>
          <w:noProof/>
          <w:sz w:val="24"/>
          <w:szCs w:val="24"/>
        </w:rPr>
      </w:pPr>
      <w:r w:rsidRPr="00C60DBE">
        <w:rPr>
          <w:rFonts w:ascii="Times New Roman" w:hAnsi="Times New Roman"/>
          <w:noProof/>
          <w:sz w:val="24"/>
          <w:szCs w:val="24"/>
        </w:rPr>
        <w:t>Thiagarajan, V., Alex, S.A., Seenivasan, R., Chandrasekaran, N., Mukherjee, A., 2021. Toxicity evaluation of nano-TiO2 in the presence of functionalized microplastics at two trophic levels: Algae and crustaceans. Sci. Total Environ. 784, 147262.</w:t>
      </w:r>
    </w:p>
    <w:p w14:paraId="3888C2B6" w14:textId="77777777" w:rsidR="00C60DBE" w:rsidRPr="00C60DBE" w:rsidRDefault="00C60DBE" w:rsidP="00C60DBE">
      <w:pPr>
        <w:widowControl w:val="0"/>
        <w:autoSpaceDE w:val="0"/>
        <w:autoSpaceDN w:val="0"/>
        <w:adjustRightInd w:val="0"/>
        <w:spacing w:line="480" w:lineRule="auto"/>
        <w:ind w:left="480" w:hanging="480"/>
        <w:rPr>
          <w:rFonts w:ascii="Times New Roman" w:hAnsi="Times New Roman"/>
          <w:noProof/>
          <w:sz w:val="24"/>
          <w:szCs w:val="24"/>
        </w:rPr>
      </w:pPr>
      <w:r w:rsidRPr="00C60DBE">
        <w:rPr>
          <w:rFonts w:ascii="Times New Roman" w:hAnsi="Times New Roman"/>
          <w:noProof/>
          <w:sz w:val="24"/>
          <w:szCs w:val="24"/>
        </w:rPr>
        <w:t>Thiagarajan, V., Iswarya, V., P., A.J., Seenivasan, R., Chandrasekaran, N., Mukherjee, A., 2019a. Influence of differently functionalized polystyrene microplastics on the toxic effects of P25 TiO2 NPs towards marine algae Chlorella sp. Aquat. Toxicol. 207, 208–216. https://doi.org/10.1016/j.aquatox.2018.12.014</w:t>
      </w:r>
    </w:p>
    <w:p w14:paraId="71A2965B" w14:textId="77777777" w:rsidR="00C60DBE" w:rsidRPr="00C60DBE" w:rsidRDefault="00C60DBE" w:rsidP="00C60DBE">
      <w:pPr>
        <w:widowControl w:val="0"/>
        <w:autoSpaceDE w:val="0"/>
        <w:autoSpaceDN w:val="0"/>
        <w:adjustRightInd w:val="0"/>
        <w:spacing w:line="480" w:lineRule="auto"/>
        <w:ind w:left="480" w:hanging="480"/>
        <w:rPr>
          <w:rFonts w:ascii="Times New Roman" w:hAnsi="Times New Roman"/>
          <w:noProof/>
          <w:sz w:val="24"/>
        </w:rPr>
      </w:pPr>
      <w:r w:rsidRPr="00C60DBE">
        <w:rPr>
          <w:rFonts w:ascii="Times New Roman" w:hAnsi="Times New Roman"/>
          <w:noProof/>
          <w:sz w:val="24"/>
          <w:szCs w:val="24"/>
        </w:rPr>
        <w:t>Thiagarajan, V., Natarajan, L., Seenivasan, R., Chandrasekaran, N., Mukherjee, A., 2019b. Tetracycline affects the toxicity of P25 n-TiO2 towards marine microalgae Chlorella sp. Environ. Res. 179, 108808. https://doi.org/https://doi.org/10.1016/j.envres.2019.108808</w:t>
      </w:r>
    </w:p>
    <w:p w14:paraId="6974C450" w14:textId="59475B65" w:rsidR="00C60DBE" w:rsidRDefault="00C60DBE" w:rsidP="00C60DBE">
      <w:pPr>
        <w:spacing w:line="480" w:lineRule="auto"/>
        <w:jc w:val="both"/>
        <w:rPr>
          <w:rFonts w:ascii="Times New Roman" w:hAnsi="Times New Roman"/>
          <w:b/>
          <w:bCs/>
          <w:sz w:val="24"/>
          <w:szCs w:val="24"/>
          <w:lang w:val="en-US"/>
        </w:rPr>
      </w:pPr>
      <w:r>
        <w:rPr>
          <w:rFonts w:ascii="Times New Roman" w:hAnsi="Times New Roman"/>
          <w:b/>
          <w:bCs/>
          <w:sz w:val="24"/>
          <w:szCs w:val="24"/>
          <w:lang w:val="en-US"/>
        </w:rPr>
        <w:fldChar w:fldCharType="end"/>
      </w:r>
    </w:p>
    <w:p w14:paraId="749AC72A" w14:textId="77777777" w:rsidR="00C60DBE" w:rsidRPr="000A55DC" w:rsidRDefault="00C60DBE" w:rsidP="00C60DBE">
      <w:pPr>
        <w:spacing w:line="480" w:lineRule="auto"/>
        <w:jc w:val="both"/>
        <w:rPr>
          <w:rFonts w:ascii="Times New Roman" w:hAnsi="Times New Roman"/>
          <w:b/>
          <w:bCs/>
          <w:sz w:val="24"/>
          <w:szCs w:val="24"/>
          <w:lang w:val="en-US"/>
        </w:rPr>
      </w:pPr>
    </w:p>
    <w:sectPr w:rsidR="00C60DBE" w:rsidRPr="000A55DC" w:rsidSect="00C60DBE">
      <w:footerReference w:type="default" r:id="rId11"/>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3E4D55" w14:textId="77777777" w:rsidR="000D513B" w:rsidRDefault="000D513B" w:rsidP="00BC684E">
      <w:pPr>
        <w:spacing w:after="0" w:line="240" w:lineRule="auto"/>
      </w:pPr>
      <w:r>
        <w:separator/>
      </w:r>
    </w:p>
  </w:endnote>
  <w:endnote w:type="continuationSeparator" w:id="0">
    <w:p w14:paraId="3180694B" w14:textId="77777777" w:rsidR="000D513B" w:rsidRDefault="000D513B" w:rsidP="00BC68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vOT596495f2+20">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1756043"/>
      <w:docPartObj>
        <w:docPartGallery w:val="Page Numbers (Bottom of Page)"/>
        <w:docPartUnique/>
      </w:docPartObj>
    </w:sdtPr>
    <w:sdtEndPr>
      <w:rPr>
        <w:noProof/>
      </w:rPr>
    </w:sdtEndPr>
    <w:sdtContent>
      <w:p w14:paraId="39DC51D2" w14:textId="11C17671" w:rsidR="00BC684E" w:rsidRDefault="00BC684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FA42A95" w14:textId="77777777" w:rsidR="00BC684E" w:rsidRDefault="00BC68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FFA016" w14:textId="77777777" w:rsidR="000D513B" w:rsidRDefault="000D513B" w:rsidP="00BC684E">
      <w:pPr>
        <w:spacing w:after="0" w:line="240" w:lineRule="auto"/>
      </w:pPr>
      <w:r>
        <w:separator/>
      </w:r>
    </w:p>
  </w:footnote>
  <w:footnote w:type="continuationSeparator" w:id="0">
    <w:p w14:paraId="2A64BFC6" w14:textId="77777777" w:rsidR="000D513B" w:rsidRDefault="000D513B" w:rsidP="00BC68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AyMTexBLKMLI0tTZV0lIJTi4sz8/NACsxqAaZp0qosAAAA"/>
  </w:docVars>
  <w:rsids>
    <w:rsidRoot w:val="007C03F7"/>
    <w:rsid w:val="000226CC"/>
    <w:rsid w:val="000A55DC"/>
    <w:rsid w:val="000D513B"/>
    <w:rsid w:val="00243508"/>
    <w:rsid w:val="002952C3"/>
    <w:rsid w:val="002F6DDE"/>
    <w:rsid w:val="00373856"/>
    <w:rsid w:val="00393BD7"/>
    <w:rsid w:val="00397B96"/>
    <w:rsid w:val="003B63FA"/>
    <w:rsid w:val="004B1E1A"/>
    <w:rsid w:val="004C3C3F"/>
    <w:rsid w:val="00587D4A"/>
    <w:rsid w:val="005D5AB8"/>
    <w:rsid w:val="007C03F7"/>
    <w:rsid w:val="007E514B"/>
    <w:rsid w:val="009E16E5"/>
    <w:rsid w:val="00A82095"/>
    <w:rsid w:val="00A9665F"/>
    <w:rsid w:val="00AA0ED0"/>
    <w:rsid w:val="00BC684E"/>
    <w:rsid w:val="00C60DBE"/>
    <w:rsid w:val="00C61248"/>
    <w:rsid w:val="00CD4F6A"/>
    <w:rsid w:val="00CF07AE"/>
    <w:rsid w:val="00D222D2"/>
    <w:rsid w:val="00E03F88"/>
    <w:rsid w:val="00E2605E"/>
    <w:rsid w:val="00E800D7"/>
    <w:rsid w:val="00FB5F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80445B"/>
  <w15:chartTrackingRefBased/>
  <w15:docId w15:val="{F081C937-A002-484E-86C4-2C1D86A1E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F6DDE"/>
    <w:pPr>
      <w:spacing w:after="160" w:line="256" w:lineRule="auto"/>
    </w:pPr>
    <w:rPr>
      <w:rFonts w:ascii="Calibri" w:eastAsia="Calibri" w:hAnsi="Calibri" w:cs="Times New Roman"/>
      <w:kern w:val="0"/>
      <w:lang w:val="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4">
    <w:name w:val="4"/>
    <w:basedOn w:val="TableNormal"/>
    <w:rsid w:val="002F6DDE"/>
    <w:pPr>
      <w:spacing w:after="0" w:line="240" w:lineRule="auto"/>
    </w:pPr>
    <w:rPr>
      <w:rFonts w:ascii="Calibri" w:eastAsia="Calibri" w:hAnsi="Calibri" w:cs="Calibri"/>
      <w:kern w:val="0"/>
      <w14:ligatures w14:val="none"/>
    </w:rPr>
    <w:tblPr>
      <w:tblStyleRowBandSize w:val="1"/>
      <w:tblStyleColBandSize w:val="1"/>
    </w:tblPr>
  </w:style>
  <w:style w:type="table" w:customStyle="1" w:styleId="3">
    <w:name w:val="3"/>
    <w:basedOn w:val="TableNormal"/>
    <w:rsid w:val="002F6DDE"/>
    <w:pPr>
      <w:spacing w:after="0" w:line="240" w:lineRule="auto"/>
    </w:pPr>
    <w:rPr>
      <w:rFonts w:ascii="Calibri" w:eastAsia="Calibri" w:hAnsi="Calibri" w:cs="Calibri"/>
      <w:kern w:val="0"/>
      <w14:ligatures w14:val="none"/>
    </w:rPr>
    <w:tblPr>
      <w:tblStyleRowBandSize w:val="1"/>
      <w:tblStyleColBandSize w:val="1"/>
    </w:tblPr>
  </w:style>
  <w:style w:type="table" w:customStyle="1" w:styleId="2">
    <w:name w:val="2"/>
    <w:basedOn w:val="TableNormal"/>
    <w:rsid w:val="002F6DDE"/>
    <w:pPr>
      <w:spacing w:after="0" w:line="240" w:lineRule="auto"/>
    </w:pPr>
    <w:rPr>
      <w:rFonts w:ascii="Calibri" w:eastAsia="Calibri" w:hAnsi="Calibri" w:cs="Calibri"/>
      <w:kern w:val="0"/>
      <w14:ligatures w14:val="none"/>
    </w:rPr>
    <w:tblPr>
      <w:tblStyleRowBandSize w:val="1"/>
      <w:tblStyleColBandSize w:val="1"/>
    </w:tblPr>
  </w:style>
  <w:style w:type="table" w:customStyle="1" w:styleId="1">
    <w:name w:val="1"/>
    <w:basedOn w:val="TableNormal"/>
    <w:rsid w:val="002F6DDE"/>
    <w:pPr>
      <w:spacing w:after="0" w:line="240" w:lineRule="auto"/>
    </w:pPr>
    <w:rPr>
      <w:rFonts w:ascii="Calibri" w:eastAsia="Calibri" w:hAnsi="Calibri" w:cs="Calibri"/>
      <w:kern w:val="0"/>
      <w14:ligatures w14:val="none"/>
    </w:rPr>
    <w:tblPr>
      <w:tblStyleRowBandSize w:val="1"/>
      <w:tblStyleColBandSize w:val="1"/>
    </w:tblPr>
  </w:style>
  <w:style w:type="paragraph" w:styleId="Header">
    <w:name w:val="header"/>
    <w:basedOn w:val="Normal"/>
    <w:link w:val="HeaderChar"/>
    <w:uiPriority w:val="99"/>
    <w:unhideWhenUsed/>
    <w:rsid w:val="00BC68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684E"/>
    <w:rPr>
      <w:rFonts w:ascii="Calibri" w:eastAsia="Calibri" w:hAnsi="Calibri" w:cs="Times New Roman"/>
      <w:kern w:val="0"/>
      <w:lang w:val="en-IN"/>
      <w14:ligatures w14:val="none"/>
    </w:rPr>
  </w:style>
  <w:style w:type="paragraph" w:styleId="Footer">
    <w:name w:val="footer"/>
    <w:basedOn w:val="Normal"/>
    <w:link w:val="FooterChar"/>
    <w:uiPriority w:val="99"/>
    <w:unhideWhenUsed/>
    <w:rsid w:val="00BC68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684E"/>
    <w:rPr>
      <w:rFonts w:ascii="Calibri" w:eastAsia="Calibri" w:hAnsi="Calibri" w:cs="Times New Roman"/>
      <w:kern w:val="0"/>
      <w:lang w:val="en-IN"/>
      <w14:ligatures w14:val="none"/>
    </w:rPr>
  </w:style>
  <w:style w:type="paragraph" w:customStyle="1" w:styleId="Articletitle">
    <w:name w:val="Article title"/>
    <w:basedOn w:val="Normal"/>
    <w:next w:val="Normal"/>
    <w:qFormat/>
    <w:rsid w:val="00C60DBE"/>
    <w:pPr>
      <w:spacing w:after="120" w:line="360" w:lineRule="auto"/>
    </w:pPr>
    <w:rPr>
      <w:rFonts w:ascii="Times New Roman" w:eastAsia="Times New Roman" w:hAnsi="Times New Roman"/>
      <w:b/>
      <w:sz w:val="28"/>
      <w:szCs w:val="24"/>
      <w:lang w:val="en-GB" w:eastAsia="en-GB"/>
    </w:rPr>
  </w:style>
  <w:style w:type="paragraph" w:customStyle="1" w:styleId="Authornames">
    <w:name w:val="Author names"/>
    <w:basedOn w:val="Normal"/>
    <w:next w:val="Normal"/>
    <w:qFormat/>
    <w:rsid w:val="00C60DBE"/>
    <w:pPr>
      <w:spacing w:before="240" w:after="0" w:line="360" w:lineRule="auto"/>
    </w:pPr>
    <w:rPr>
      <w:rFonts w:ascii="Times New Roman" w:eastAsia="Times New Roman" w:hAnsi="Times New Roman"/>
      <w:sz w:val="28"/>
      <w:szCs w:val="24"/>
      <w:lang w:val="en-GB" w:eastAsia="en-GB"/>
    </w:rPr>
  </w:style>
  <w:style w:type="character" w:styleId="Hyperlink">
    <w:name w:val="Hyperlink"/>
    <w:basedOn w:val="DefaultParagraphFont"/>
    <w:uiPriority w:val="99"/>
    <w:unhideWhenUsed/>
    <w:rsid w:val="00C60DBE"/>
    <w:rPr>
      <w:color w:val="0000FF" w:themeColor="hyperlink"/>
      <w:u w:val="single"/>
    </w:rPr>
  </w:style>
  <w:style w:type="character" w:styleId="LineNumber">
    <w:name w:val="line number"/>
    <w:basedOn w:val="DefaultParagraphFont"/>
    <w:uiPriority w:val="99"/>
    <w:semiHidden/>
    <w:unhideWhenUsed/>
    <w:rsid w:val="00C60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mitav@vit.ac.in,%20amit.mookerjea@gmail.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DBF6F7-1186-4C1E-8FC3-D4A629A42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2852</Words>
  <Characters>16260</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 Rex M</dc:creator>
  <cp:keywords/>
  <dc:description/>
  <cp:lastModifiedBy>amitava mukherjee</cp:lastModifiedBy>
  <cp:revision>4</cp:revision>
  <dcterms:created xsi:type="dcterms:W3CDTF">2023-07-06T15:55:00Z</dcterms:created>
  <dcterms:modified xsi:type="dcterms:W3CDTF">2023-07-14T09:20:00Z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4266addb27646ecb38750b5cb1f69542c8f0dbf9a49d53cea83ac8890ab75f50</vt:lpwstr>
  </property>
  <property fmtid="{D5CDD505-2E9C-101B-9397-08002B2CF9AE}" pid="3" name="Mendeley Document_1">
    <vt:lpwstr>True</vt:lpwstr>
  </property>
  <property fmtid="{D5CDD505-2E9C-101B-9397-08002B2CF9AE}" pid="4" name="Mendeley Unique User Id_1">
    <vt:lpwstr>26426f1e-4132-33d7-bacf-850c55f9031d</vt:lpwstr>
  </property>
  <property fmtid="{D5CDD505-2E9C-101B-9397-08002B2CF9AE}" pid="5" name="Mendeley Citation Style_1">
    <vt:lpwstr>http://www.zotero.org/styles/water-research</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 11th edition</vt:lpwstr>
  </property>
  <property fmtid="{D5CDD505-2E9C-101B-9397-08002B2CF9AE}" pid="8" name="Mendeley Recent Style Id 1_1">
    <vt:lpwstr>http://www.zotero.org/styles/apa</vt:lpwstr>
  </property>
  <property fmtid="{D5CDD505-2E9C-101B-9397-08002B2CF9AE}" pid="9" name="Mendeley Recent Style Name 1_1">
    <vt:lpwstr>American Psychological Association 7th edition</vt:lpwstr>
  </property>
  <property fmtid="{D5CDD505-2E9C-101B-9397-08002B2CF9AE}" pid="10" name="Mendeley Recent Style Id 2_1">
    <vt:lpwstr>http://www.zotero.org/styles/american-sociological-association</vt:lpwstr>
  </property>
  <property fmtid="{D5CDD505-2E9C-101B-9397-08002B2CF9AE}" pid="11" name="Mendeley Recent Style Name 2_1">
    <vt:lpwstr>American Sociological Association 6th edition</vt:lpwstr>
  </property>
  <property fmtid="{D5CDD505-2E9C-101B-9397-08002B2CF9AE}" pid="12" name="Mendeley Recent Style Id 3_1">
    <vt:lpwstr>http://www.zotero.org/styles/begell-house-apa</vt:lpwstr>
  </property>
  <property fmtid="{D5CDD505-2E9C-101B-9397-08002B2CF9AE}" pid="13" name="Mendeley Recent Style Name 3_1">
    <vt:lpwstr>Begell House - APA</vt:lpwstr>
  </property>
  <property fmtid="{D5CDD505-2E9C-101B-9397-08002B2CF9AE}" pid="14" name="Mendeley Recent Style Id 4_1">
    <vt:lpwstr>http://www.zotero.org/styles/chicago-note-bibliography</vt:lpwstr>
  </property>
  <property fmtid="{D5CDD505-2E9C-101B-9397-08002B2CF9AE}" pid="15" name="Mendeley Recent Style Name 4_1">
    <vt:lpwstr>Chicago Manual of Style 17th edition (note)</vt:lpwstr>
  </property>
  <property fmtid="{D5CDD505-2E9C-101B-9397-08002B2CF9AE}" pid="16" name="Mendeley Recent Style Id 5_1">
    <vt:lpwstr>http://csl.mendeley.com/styles/218166631/PhD-Thesis-VIT</vt:lpwstr>
  </property>
  <property fmtid="{D5CDD505-2E9C-101B-9397-08002B2CF9AE}" pid="17" name="Mendeley Recent Style Name 5_1">
    <vt:lpwstr>PhD Thesis VIT - Lokesh Ravi</vt:lpwstr>
  </property>
  <property fmtid="{D5CDD505-2E9C-101B-9397-08002B2CF9AE}" pid="18" name="Mendeley Recent Style Id 6_1">
    <vt:lpwstr>http://www.zotero.org/styles/springer-vancouver</vt:lpwstr>
  </property>
  <property fmtid="{D5CDD505-2E9C-101B-9397-08002B2CF9AE}" pid="19" name="Mendeley Recent Style Name 6_1">
    <vt:lpwstr>Springer - Vancouver</vt:lpwstr>
  </property>
  <property fmtid="{D5CDD505-2E9C-101B-9397-08002B2CF9AE}" pid="20" name="Mendeley Recent Style Id 7_1">
    <vt:lpwstr>http://www.zotero.org/styles/vancouver</vt:lpwstr>
  </property>
  <property fmtid="{D5CDD505-2E9C-101B-9397-08002B2CF9AE}" pid="21" name="Mendeley Recent Style Name 7_1">
    <vt:lpwstr>Vancouver</vt:lpwstr>
  </property>
  <property fmtid="{D5CDD505-2E9C-101B-9397-08002B2CF9AE}" pid="22" name="Mendeley Recent Style Id 8_1">
    <vt:lpwstr>http://www.zotero.org/styles/vancouver-superscript-brackets-only-year</vt:lpwstr>
  </property>
  <property fmtid="{D5CDD505-2E9C-101B-9397-08002B2CF9AE}" pid="23" name="Mendeley Recent Style Name 8_1">
    <vt:lpwstr>Vancouver (superscript, brackets, only year in date)</vt:lpwstr>
  </property>
  <property fmtid="{D5CDD505-2E9C-101B-9397-08002B2CF9AE}" pid="24" name="Mendeley Recent Style Id 9_1">
    <vt:lpwstr>http://www.zotero.org/styles/water-research</vt:lpwstr>
  </property>
  <property fmtid="{D5CDD505-2E9C-101B-9397-08002B2CF9AE}" pid="25" name="Mendeley Recent Style Name 9_1">
    <vt:lpwstr>Water Research</vt:lpwstr>
  </property>
</Properties>
</file>