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72A8F" w14:textId="77777777" w:rsidR="004A1F09" w:rsidRDefault="004A1F09" w:rsidP="004A1F09">
      <w:pPr>
        <w:pStyle w:val="Heading2"/>
        <w:tabs>
          <w:tab w:val="center" w:pos="2964"/>
          <w:tab w:val="center" w:pos="4844"/>
        </w:tabs>
        <w:ind w:left="0" w:firstLine="0"/>
        <w:jc w:val="left"/>
      </w:pPr>
      <w:r>
        <w:t>SUPPLEMENTARY INFORMATION</w:t>
      </w:r>
    </w:p>
    <w:p w14:paraId="1F68782F" w14:textId="21A4E641" w:rsidR="004A1F09" w:rsidRDefault="004A1F09" w:rsidP="004A1F09">
      <w:pPr>
        <w:spacing w:after="376" w:line="240" w:lineRule="auto"/>
        <w:ind w:left="0" w:firstLine="0"/>
        <w:rPr>
          <w:rFonts w:ascii="Cambria" w:eastAsia="Cambria" w:hAnsi="Cambria" w:cs="Cambria"/>
          <w:b/>
          <w:sz w:val="20"/>
        </w:rPr>
      </w:pPr>
      <w:r>
        <w:rPr>
          <w:rFonts w:ascii="Cambria" w:eastAsia="Cambria" w:hAnsi="Cambria" w:cs="Cambria"/>
          <w:b/>
          <w:noProof/>
          <w:sz w:val="20"/>
        </w:rPr>
        <w:drawing>
          <wp:inline distT="0" distB="0" distL="0" distR="0" wp14:anchorId="17D5BA34" wp14:editId="363B7283">
            <wp:extent cx="5924550" cy="4143375"/>
            <wp:effectExtent l="0" t="0" r="0" b="9525"/>
            <wp:docPr id="7" name="Picture 7" descr="A collage of graphs and diagram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ollage of graphs and diagrams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75A73" w14:textId="77777777" w:rsidR="004A1F09" w:rsidRDefault="004A1F09" w:rsidP="004A1F09">
      <w:pPr>
        <w:spacing w:after="376" w:line="240" w:lineRule="auto"/>
        <w:ind w:left="0" w:firstLine="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Supplementary Fig. 1. </w:t>
      </w:r>
      <w:r>
        <w:rPr>
          <w:rFonts w:ascii="Cambria" w:eastAsia="Cambria" w:hAnsi="Cambria" w:cs="Cambria"/>
          <w:sz w:val="20"/>
        </w:rPr>
        <w:t xml:space="preserve">Verification of Protein Constructs of </w:t>
      </w:r>
      <w:proofErr w:type="spellStart"/>
      <w:r>
        <w:rPr>
          <w:rFonts w:ascii="Cambria" w:eastAsia="Cambria" w:hAnsi="Cambria" w:cs="Cambria"/>
          <w:sz w:val="20"/>
        </w:rPr>
        <w:t>GrsA</w:t>
      </w:r>
      <w:proofErr w:type="spellEnd"/>
      <w:r>
        <w:rPr>
          <w:rFonts w:ascii="Cambria" w:eastAsia="Cambria" w:hAnsi="Cambria" w:cs="Cambria"/>
          <w:sz w:val="20"/>
        </w:rPr>
        <w:t xml:space="preserve">. </w:t>
      </w:r>
      <w:r>
        <w:rPr>
          <w:rFonts w:ascii="Cambria" w:eastAsia="Cambria" w:hAnsi="Cambria" w:cs="Cambria"/>
          <w:b/>
          <w:sz w:val="20"/>
        </w:rPr>
        <w:t xml:space="preserve">A: </w:t>
      </w:r>
      <w:r>
        <w:rPr>
          <w:rFonts w:ascii="Cambria" w:eastAsia="Cambria" w:hAnsi="Cambria" w:cs="Cambria"/>
          <w:sz w:val="20"/>
        </w:rPr>
        <w:t xml:space="preserve">SDS-page shows purified </w:t>
      </w:r>
      <w:proofErr w:type="spellStart"/>
      <w:r>
        <w:rPr>
          <w:rFonts w:ascii="Cambria" w:eastAsia="Cambria" w:hAnsi="Cambria" w:cs="Cambria"/>
          <w:sz w:val="20"/>
        </w:rPr>
        <w:t>GrsA</w:t>
      </w:r>
      <w:proofErr w:type="spellEnd"/>
      <w:r>
        <w:rPr>
          <w:rFonts w:ascii="Cambria" w:eastAsia="Cambria" w:hAnsi="Cambria" w:cs="Cambria"/>
          <w:sz w:val="20"/>
        </w:rPr>
        <w:t xml:space="preserve">-WT, W239S and </w:t>
      </w:r>
      <w:proofErr w:type="spellStart"/>
      <w:r>
        <w:rPr>
          <w:rFonts w:ascii="Cambria" w:eastAsia="Cambria" w:hAnsi="Cambria" w:cs="Cambria"/>
          <w:sz w:val="20"/>
        </w:rPr>
        <w:t>GrsA</w:t>
      </w:r>
      <w:proofErr w:type="spellEnd"/>
      <w:r>
        <w:rPr>
          <w:rFonts w:ascii="Cambria" w:eastAsia="Cambria" w:hAnsi="Cambria" w:cs="Cambria"/>
          <w:sz w:val="20"/>
        </w:rPr>
        <w:t>-WT-A</w:t>
      </w:r>
      <w:r>
        <w:rPr>
          <w:rFonts w:ascii="Cambria" w:eastAsia="Cambria" w:hAnsi="Cambria" w:cs="Cambria"/>
          <w:sz w:val="20"/>
          <w:vertAlign w:val="subscript"/>
        </w:rPr>
        <w:t xml:space="preserve">N </w:t>
      </w:r>
      <w:r>
        <w:rPr>
          <w:rFonts w:ascii="Cambria" w:eastAsia="Cambria" w:hAnsi="Cambria" w:cs="Cambria"/>
          <w:sz w:val="20"/>
        </w:rPr>
        <w:t xml:space="preserve">in lanes 2, 3 and 4 compared against the NEB-Broad range protein standard, </w:t>
      </w:r>
      <w:r>
        <w:rPr>
          <w:rFonts w:ascii="Cambria" w:eastAsia="Cambria" w:hAnsi="Cambria" w:cs="Cambria"/>
          <w:b/>
          <w:sz w:val="20"/>
        </w:rPr>
        <w:t xml:space="preserve">B: </w:t>
      </w:r>
      <w:proofErr w:type="spellStart"/>
      <w:r>
        <w:rPr>
          <w:rFonts w:ascii="Cambria" w:eastAsia="Cambria" w:hAnsi="Cambria" w:cs="Cambria"/>
          <w:sz w:val="20"/>
        </w:rPr>
        <w:t>PP</w:t>
      </w:r>
      <w:r>
        <w:rPr>
          <w:rFonts w:ascii="Cambria" w:eastAsia="Cambria" w:hAnsi="Cambria" w:cs="Cambria"/>
          <w:sz w:val="20"/>
          <w:vertAlign w:val="subscript"/>
        </w:rPr>
        <w:t>i</w:t>
      </w:r>
      <w:proofErr w:type="spellEnd"/>
      <w:r>
        <w:rPr>
          <w:rFonts w:ascii="Cambria" w:eastAsia="Cambria" w:hAnsi="Cambria" w:cs="Cambria"/>
          <w:sz w:val="20"/>
        </w:rPr>
        <w:t xml:space="preserve">-exchange assay shows selective activation of cognate aa for each construct, </w:t>
      </w:r>
      <w:r>
        <w:rPr>
          <w:rFonts w:ascii="Cambria" w:eastAsia="Cambria" w:hAnsi="Cambria" w:cs="Cambria"/>
          <w:b/>
          <w:sz w:val="20"/>
        </w:rPr>
        <w:t xml:space="preserve">C: </w:t>
      </w:r>
      <w:r>
        <w:rPr>
          <w:rFonts w:ascii="Cambria" w:eastAsia="Cambria" w:hAnsi="Cambria" w:cs="Cambria"/>
          <w:sz w:val="20"/>
        </w:rPr>
        <w:t xml:space="preserve">CD-spectra verifies that there is no significant difference in the folding of W239S as compared to </w:t>
      </w:r>
      <w:proofErr w:type="spellStart"/>
      <w:r>
        <w:rPr>
          <w:rFonts w:ascii="Cambria" w:eastAsia="Cambria" w:hAnsi="Cambria" w:cs="Cambria"/>
          <w:sz w:val="20"/>
        </w:rPr>
        <w:t>GrsA</w:t>
      </w:r>
      <w:proofErr w:type="spellEnd"/>
      <w:r>
        <w:rPr>
          <w:rFonts w:ascii="Cambria" w:eastAsia="Cambria" w:hAnsi="Cambria" w:cs="Cambria"/>
          <w:sz w:val="20"/>
        </w:rPr>
        <w:t xml:space="preserve">-WT, </w:t>
      </w:r>
      <w:r>
        <w:rPr>
          <w:rFonts w:ascii="Cambria" w:eastAsia="Cambria" w:hAnsi="Cambria" w:cs="Cambria"/>
          <w:b/>
          <w:sz w:val="20"/>
        </w:rPr>
        <w:t xml:space="preserve">D: </w:t>
      </w:r>
      <w:r>
        <w:rPr>
          <w:rFonts w:ascii="Cambria" w:eastAsia="Cambria" w:hAnsi="Cambria" w:cs="Cambria"/>
          <w:sz w:val="20"/>
        </w:rPr>
        <w:t>Denaturation curves with CD spectra recorded at 220nm confirm similar unfolding characteristics for both constructs, with primary melting temperature ~52°C and a secondary denaturation event around ~59°C</w:t>
      </w:r>
    </w:p>
    <w:p w14:paraId="31B5AA2C" w14:textId="77777777" w:rsidR="004A1F09" w:rsidRDefault="004A1F09" w:rsidP="004A1F09">
      <w:pPr>
        <w:spacing w:after="376" w:line="240" w:lineRule="auto"/>
        <w:ind w:left="0" w:firstLine="0"/>
        <w:rPr>
          <w:rFonts w:ascii="Cambria" w:eastAsia="Cambria" w:hAnsi="Cambria" w:cs="Cambria"/>
          <w:sz w:val="20"/>
        </w:rPr>
      </w:pPr>
    </w:p>
    <w:p w14:paraId="214E1CE6" w14:textId="77777777" w:rsidR="004A1F09" w:rsidRDefault="004A1F09" w:rsidP="004A1F09">
      <w:pPr>
        <w:spacing w:after="376" w:line="240" w:lineRule="auto"/>
        <w:ind w:left="0" w:firstLine="0"/>
        <w:rPr>
          <w:rFonts w:ascii="Cambria" w:eastAsia="Cambria" w:hAnsi="Cambria" w:cs="Cambria"/>
          <w:sz w:val="20"/>
        </w:rPr>
      </w:pPr>
    </w:p>
    <w:p w14:paraId="4CB75EE6" w14:textId="77777777" w:rsidR="004A1F09" w:rsidRDefault="004A1F09" w:rsidP="004A1F09">
      <w:pPr>
        <w:spacing w:after="376" w:line="240" w:lineRule="auto"/>
        <w:ind w:left="0" w:firstLine="0"/>
        <w:rPr>
          <w:rFonts w:ascii="Cambria" w:eastAsia="Cambria" w:hAnsi="Cambria" w:cs="Cambria"/>
          <w:sz w:val="20"/>
        </w:rPr>
      </w:pPr>
    </w:p>
    <w:p w14:paraId="31C07200" w14:textId="77777777" w:rsidR="004A1F09" w:rsidRDefault="004A1F09" w:rsidP="004A1F09">
      <w:pPr>
        <w:spacing w:after="376" w:line="240" w:lineRule="auto"/>
        <w:ind w:left="0" w:firstLine="0"/>
        <w:rPr>
          <w:rFonts w:ascii="Cambria" w:eastAsia="Cambria" w:hAnsi="Cambria" w:cs="Cambria"/>
          <w:sz w:val="20"/>
        </w:rPr>
      </w:pPr>
    </w:p>
    <w:p w14:paraId="3EE238AD" w14:textId="77777777" w:rsidR="004A1F09" w:rsidRDefault="004A1F09" w:rsidP="004A1F09">
      <w:pPr>
        <w:spacing w:after="376" w:line="240" w:lineRule="auto"/>
        <w:ind w:left="0" w:firstLine="0"/>
        <w:rPr>
          <w:rFonts w:ascii="Cambria" w:eastAsia="Cambria" w:hAnsi="Cambria" w:cs="Cambria"/>
          <w:sz w:val="20"/>
        </w:rPr>
      </w:pPr>
    </w:p>
    <w:p w14:paraId="07A5140D" w14:textId="2165EFE5" w:rsidR="004A1F09" w:rsidRDefault="004A1F09" w:rsidP="004A1F09">
      <w:pPr>
        <w:spacing w:after="679" w:line="256" w:lineRule="auto"/>
        <w:ind w:left="1166" w:firstLine="0"/>
        <w:jc w:val="left"/>
      </w:pPr>
      <w:r>
        <w:rPr>
          <w:noProof/>
        </w:rPr>
        <w:lastRenderedPageBreak/>
        <w:drawing>
          <wp:inline distT="0" distB="0" distL="0" distR="0" wp14:anchorId="7D5518FB" wp14:editId="5F497DA4">
            <wp:extent cx="4448175" cy="5153025"/>
            <wp:effectExtent l="0" t="0" r="9525" b="9525"/>
            <wp:docPr id="6" name="Picture 6" descr="A picture containing text, screenshot, receipt,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3" descr="A picture containing text, screenshot, receipt, numb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EE9F9" w14:textId="77777777" w:rsidR="004A1F09" w:rsidRDefault="004A1F09" w:rsidP="004A1F09">
      <w:pPr>
        <w:spacing w:after="376" w:line="240" w:lineRule="auto"/>
        <w:ind w:left="-5" w:hanging="10"/>
      </w:pPr>
      <w:r>
        <w:rPr>
          <w:rFonts w:ascii="Cambria" w:eastAsia="Cambria" w:hAnsi="Cambria" w:cs="Cambria"/>
          <w:b/>
          <w:sz w:val="20"/>
        </w:rPr>
        <w:t xml:space="preserve">Supplementary Table. 1. </w:t>
      </w:r>
      <w:r>
        <w:rPr>
          <w:rFonts w:ascii="Cambria" w:eastAsia="Cambria" w:hAnsi="Cambria" w:cs="Cambria"/>
          <w:sz w:val="20"/>
        </w:rPr>
        <w:t>Data collection and analysis parameters for the in-line SEC-SAXS experiments performed at the SIBYLS beamline</w:t>
      </w:r>
    </w:p>
    <w:p w14:paraId="6862D896" w14:textId="77777777" w:rsidR="004A1F09" w:rsidRDefault="004A1F09" w:rsidP="004A1F09">
      <w:pPr>
        <w:spacing w:after="376" w:line="240" w:lineRule="auto"/>
        <w:ind w:left="0" w:firstLine="0"/>
        <w:rPr>
          <w:rFonts w:ascii="Cambria" w:eastAsia="Cambria" w:hAnsi="Cambria" w:cs="Cambria"/>
          <w:sz w:val="20"/>
        </w:rPr>
      </w:pPr>
    </w:p>
    <w:p w14:paraId="331BD83F" w14:textId="77777777" w:rsidR="004A1F09" w:rsidRDefault="004A1F09" w:rsidP="004A1F09">
      <w:pPr>
        <w:spacing w:after="376" w:line="240" w:lineRule="auto"/>
        <w:ind w:left="0" w:firstLine="0"/>
      </w:pPr>
    </w:p>
    <w:p w14:paraId="4E43B5FD" w14:textId="77777777" w:rsidR="004A1F09" w:rsidRDefault="004A1F09" w:rsidP="004A1F09">
      <w:pPr>
        <w:spacing w:after="679" w:line="256" w:lineRule="auto"/>
        <w:ind w:left="0" w:firstLine="0"/>
        <w:jc w:val="left"/>
      </w:pPr>
    </w:p>
    <w:p w14:paraId="16A9813B" w14:textId="222523E2" w:rsidR="004A1F09" w:rsidRDefault="004A1F09" w:rsidP="004A1F09">
      <w:pPr>
        <w:spacing w:after="376" w:line="240" w:lineRule="auto"/>
        <w:ind w:left="-5" w:hanging="1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noProof/>
          <w:sz w:val="20"/>
        </w:rPr>
        <w:lastRenderedPageBreak/>
        <w:drawing>
          <wp:inline distT="0" distB="0" distL="0" distR="0" wp14:anchorId="44AC48F3" wp14:editId="685F113C">
            <wp:extent cx="5943600" cy="4160520"/>
            <wp:effectExtent l="0" t="0" r="0" b="0"/>
            <wp:docPr id="5" name="Picture 5" descr="A screenshot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 screenshot of a tes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b/>
          <w:sz w:val="20"/>
        </w:rPr>
        <w:t xml:space="preserve">Supplementary Fig. 2. A: </w:t>
      </w:r>
      <w:r>
        <w:rPr>
          <w:rFonts w:ascii="Cambria" w:eastAsia="Cambria" w:hAnsi="Cambria" w:cs="Cambria"/>
          <w:sz w:val="20"/>
        </w:rPr>
        <w:t xml:space="preserve">HDX-MS Results for comparisons of (W239S) against (W239S + Tyr) projected onto protein sequence. There </w:t>
      </w:r>
      <w:proofErr w:type="gramStart"/>
      <w:r>
        <w:rPr>
          <w:rFonts w:ascii="Cambria" w:eastAsia="Cambria" w:hAnsi="Cambria" w:cs="Cambria"/>
          <w:sz w:val="20"/>
        </w:rPr>
        <w:t>is</w:t>
      </w:r>
      <w:proofErr w:type="gramEnd"/>
      <w:r>
        <w:rPr>
          <w:rFonts w:ascii="Cambria" w:eastAsia="Cambria" w:hAnsi="Cambria" w:cs="Cambria"/>
          <w:sz w:val="20"/>
        </w:rPr>
        <w:t xml:space="preserve"> no apparent differences in D2O uptake between these complexes. </w:t>
      </w:r>
      <w:r>
        <w:rPr>
          <w:rFonts w:ascii="Cambria" w:eastAsia="Cambria" w:hAnsi="Cambria" w:cs="Cambria"/>
          <w:b/>
          <w:bCs/>
          <w:sz w:val="20"/>
        </w:rPr>
        <w:t>B:</w:t>
      </w:r>
      <w:r>
        <w:rPr>
          <w:rFonts w:ascii="Cambria" w:eastAsia="Cambria" w:hAnsi="Cambria" w:cs="Cambria"/>
          <w:sz w:val="20"/>
        </w:rPr>
        <w:t xml:space="preserve"> HDX-MS Results for comparisons of (W239S + Tyr) against (W239S + AMP-PCP) projected onto protein sequence and there is a decrease in D2O uptake at the residue patch ’DIF’ (residues 1088-90, E domain). </w:t>
      </w:r>
      <w:r>
        <w:rPr>
          <w:rFonts w:ascii="Cambria" w:eastAsia="Cambria" w:hAnsi="Cambria" w:cs="Cambria"/>
          <w:b/>
          <w:bCs/>
          <w:sz w:val="20"/>
        </w:rPr>
        <w:t xml:space="preserve">C: </w:t>
      </w:r>
      <w:r>
        <w:rPr>
          <w:rFonts w:ascii="Cambria" w:eastAsia="Cambria" w:hAnsi="Cambria" w:cs="Cambria"/>
          <w:sz w:val="20"/>
        </w:rPr>
        <w:t xml:space="preserve">In the case of (W239S + AMP-PCP) there is a similar opening of the DIF patch </w:t>
      </w:r>
      <w:r>
        <w:rPr>
          <w:rFonts w:ascii="Cambria" w:eastAsia="Cambria" w:hAnsi="Cambria" w:cs="Cambria"/>
          <w:b/>
          <w:bCs/>
          <w:sz w:val="20"/>
        </w:rPr>
        <w:t>D.</w:t>
      </w:r>
      <w:r>
        <w:rPr>
          <w:rFonts w:ascii="Cambria" w:eastAsia="Cambria" w:hAnsi="Cambria" w:cs="Cambria"/>
          <w:sz w:val="20"/>
        </w:rPr>
        <w:t xml:space="preserve"> Executive summary table for the HDX experiments performed. Changes highlighted in the last four columns, if observe.</w:t>
      </w:r>
    </w:p>
    <w:p w14:paraId="7FCF717F" w14:textId="77777777" w:rsidR="004A1F09" w:rsidRDefault="004A1F09" w:rsidP="004A1F09">
      <w:pPr>
        <w:spacing w:after="376" w:line="240" w:lineRule="auto"/>
        <w:ind w:left="-5" w:hanging="10"/>
      </w:pPr>
    </w:p>
    <w:p w14:paraId="544216C3" w14:textId="28687BB0" w:rsidR="004A1F09" w:rsidRDefault="004A1F09" w:rsidP="004A1F09">
      <w:pPr>
        <w:spacing w:after="679" w:line="256" w:lineRule="auto"/>
        <w:ind w:left="0" w:firstLine="0"/>
        <w:jc w:val="left"/>
      </w:pPr>
      <w:r>
        <w:rPr>
          <w:noProof/>
        </w:rPr>
        <w:lastRenderedPageBreak/>
        <w:drawing>
          <wp:inline distT="0" distB="0" distL="0" distR="0" wp14:anchorId="20775E2F" wp14:editId="4BB2E0D7">
            <wp:extent cx="5924550" cy="4143375"/>
            <wp:effectExtent l="0" t="0" r="0" b="9525"/>
            <wp:docPr id="4" name="Picture 4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 collage of graphs and diagr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7019F9" w14:textId="77777777" w:rsidR="004A1F09" w:rsidRDefault="004A1F09" w:rsidP="004A1F09">
      <w:pPr>
        <w:spacing w:after="376" w:line="240" w:lineRule="auto"/>
        <w:ind w:left="-5" w:hanging="1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Supplementary Fig. 3. A-B: </w:t>
      </w:r>
      <w:r>
        <w:rPr>
          <w:rFonts w:ascii="Cambria" w:eastAsia="Cambria" w:hAnsi="Cambria" w:cs="Cambria"/>
          <w:sz w:val="20"/>
        </w:rPr>
        <w:t xml:space="preserve">SAXS envelopes for additional substrate bound states, presented at contour level of 0.011. Envelopes are fitted to each of the states from </w:t>
      </w:r>
      <w:proofErr w:type="spellStart"/>
      <w:r>
        <w:rPr>
          <w:rFonts w:ascii="Cambria" w:eastAsia="Cambria" w:hAnsi="Cambria" w:cs="Cambria"/>
          <w:sz w:val="20"/>
        </w:rPr>
        <w:t>BilboMD</w:t>
      </w:r>
      <w:proofErr w:type="spellEnd"/>
      <w:r>
        <w:rPr>
          <w:rFonts w:ascii="Cambria" w:eastAsia="Cambria" w:hAnsi="Cambria" w:cs="Cambria"/>
          <w:sz w:val="20"/>
        </w:rPr>
        <w:t xml:space="preserve"> for indicated complex of W239S, domains are color coded as per rest of the article. The contributing states and ratio of the 2-state ensemble that best fits data is written below, </w:t>
      </w:r>
      <w:r>
        <w:rPr>
          <w:rFonts w:ascii="Cambria" w:eastAsia="Cambria" w:hAnsi="Cambria" w:cs="Cambria"/>
          <w:b/>
          <w:sz w:val="20"/>
        </w:rPr>
        <w:t xml:space="preserve">C-D: </w:t>
      </w:r>
      <w:r>
        <w:rPr>
          <w:rFonts w:ascii="Cambria" w:eastAsia="Cambria" w:hAnsi="Cambria" w:cs="Cambria"/>
          <w:sz w:val="20"/>
        </w:rPr>
        <w:t xml:space="preserve">Scattering profile fits showing the 2-state fit of elongated with thiolation states, improvement of fit from 1-state model shown beneath each panel. </w:t>
      </w:r>
      <w:r>
        <w:rPr>
          <w:rFonts w:ascii="Cambria" w:eastAsia="Cambria" w:hAnsi="Cambria" w:cs="Cambria"/>
          <w:b/>
          <w:sz w:val="20"/>
        </w:rPr>
        <w:t xml:space="preserve">E-F: </w:t>
      </w:r>
      <w:r>
        <w:rPr>
          <w:rFonts w:ascii="Cambria" w:eastAsia="Cambria" w:hAnsi="Cambria" w:cs="Cambria"/>
          <w:sz w:val="20"/>
        </w:rPr>
        <w:t xml:space="preserve">Energy funnels representing the relative minima for each two-state ensemble as given by their scattering fits in panels C and D </w:t>
      </w:r>
      <w:r>
        <w:rPr>
          <w:rFonts w:ascii="Cambria" w:eastAsia="Cambria" w:hAnsi="Cambria" w:cs="Cambria"/>
          <w:b/>
          <w:bCs/>
          <w:sz w:val="20"/>
        </w:rPr>
        <w:t>G:</w:t>
      </w:r>
      <w:r>
        <w:rPr>
          <w:rFonts w:ascii="Cambria" w:eastAsia="Cambria" w:hAnsi="Cambria" w:cs="Cambria"/>
          <w:sz w:val="20"/>
        </w:rPr>
        <w:t xml:space="preserve"> </w:t>
      </w:r>
      <w:r>
        <w:rPr>
          <w:rFonts w:ascii="Cambria" w:eastAsia="Cambria" w:hAnsi="Cambria" w:cs="Cambria"/>
          <w:b/>
          <w:sz w:val="20"/>
        </w:rPr>
        <w:t xml:space="preserve">Binding affinity measurements of </w:t>
      </w:r>
      <w:proofErr w:type="spellStart"/>
      <w:r>
        <w:rPr>
          <w:rFonts w:ascii="Cambria" w:eastAsia="Cambria" w:hAnsi="Cambria" w:cs="Cambria"/>
          <w:b/>
          <w:sz w:val="20"/>
        </w:rPr>
        <w:t>GrsA</w:t>
      </w:r>
      <w:proofErr w:type="spellEnd"/>
      <w:r>
        <w:rPr>
          <w:rFonts w:ascii="Cambria" w:eastAsia="Cambria" w:hAnsi="Cambria" w:cs="Cambria"/>
          <w:b/>
          <w:sz w:val="20"/>
        </w:rPr>
        <w:t>-WT-A</w:t>
      </w:r>
      <w:r>
        <w:rPr>
          <w:rFonts w:ascii="Cambria" w:eastAsia="Cambria" w:hAnsi="Cambria" w:cs="Cambria"/>
          <w:b/>
          <w:sz w:val="20"/>
          <w:vertAlign w:val="subscript"/>
        </w:rPr>
        <w:t>N</w:t>
      </w:r>
      <w:r>
        <w:rPr>
          <w:rFonts w:ascii="Cambria" w:eastAsia="Cambria" w:hAnsi="Cambria" w:cs="Cambria"/>
          <w:b/>
          <w:sz w:val="20"/>
        </w:rPr>
        <w:t xml:space="preserve"> only</w:t>
      </w:r>
      <w:r>
        <w:rPr>
          <w:b/>
          <w:sz w:val="20"/>
        </w:rPr>
        <w:t xml:space="preserve">: </w:t>
      </w:r>
      <w:r>
        <w:rPr>
          <w:sz w:val="20"/>
        </w:rPr>
        <w:t xml:space="preserve">Representative baseline corrected binding curve from </w:t>
      </w:r>
      <w:proofErr w:type="spellStart"/>
      <w:r>
        <w:rPr>
          <w:sz w:val="20"/>
        </w:rPr>
        <w:t>nanoITC</w:t>
      </w:r>
      <w:proofErr w:type="spellEnd"/>
      <w:r>
        <w:rPr>
          <w:sz w:val="20"/>
        </w:rPr>
        <w:t xml:space="preserve"> for </w:t>
      </w:r>
      <w:proofErr w:type="spellStart"/>
      <w:r>
        <w:rPr>
          <w:sz w:val="20"/>
        </w:rPr>
        <w:t>Phe</w:t>
      </w:r>
      <w:proofErr w:type="spellEnd"/>
      <w:r>
        <w:rPr>
          <w:sz w:val="20"/>
        </w:rPr>
        <w:t xml:space="preserve"> titrated into </w:t>
      </w:r>
      <w:proofErr w:type="spellStart"/>
      <w:r>
        <w:rPr>
          <w:sz w:val="20"/>
        </w:rPr>
        <w:t>GrsA</w:t>
      </w:r>
      <w:proofErr w:type="spellEnd"/>
      <w:r>
        <w:rPr>
          <w:sz w:val="20"/>
        </w:rPr>
        <w:t>-WT truncation construct devoid of the A</w:t>
      </w:r>
      <w:r>
        <w:rPr>
          <w:sz w:val="20"/>
          <w:vertAlign w:val="subscript"/>
        </w:rPr>
        <w:t>C</w:t>
      </w:r>
      <w:r>
        <w:rPr>
          <w:sz w:val="20"/>
        </w:rPr>
        <w:t xml:space="preserve"> subdomain with</w:t>
      </w:r>
      <w:r>
        <w:rPr>
          <w:rFonts w:ascii="Cambria" w:eastAsia="Cambria" w:hAnsi="Cambria" w:cs="Cambria"/>
          <w:sz w:val="20"/>
        </w:rPr>
        <w:t xml:space="preserve"> the resulting dissociation constant (K</w:t>
      </w:r>
      <w:r>
        <w:rPr>
          <w:rFonts w:ascii="Cambria" w:eastAsia="Cambria" w:hAnsi="Cambria" w:cs="Cambria"/>
          <w:sz w:val="20"/>
          <w:vertAlign w:val="subscript"/>
        </w:rPr>
        <w:t>D</w:t>
      </w:r>
      <w:r>
        <w:rPr>
          <w:rFonts w:ascii="Cambria" w:eastAsia="Cambria" w:hAnsi="Cambria" w:cs="Cambria"/>
          <w:sz w:val="20"/>
        </w:rPr>
        <w:t>) from binding models with the best fit. Error bars from triplicates are shown in grey.</w:t>
      </w:r>
    </w:p>
    <w:p w14:paraId="15A124D9" w14:textId="77777777" w:rsidR="004A1F09" w:rsidRDefault="004A1F09" w:rsidP="004A1F09">
      <w:pPr>
        <w:spacing w:after="376" w:line="240" w:lineRule="auto"/>
        <w:ind w:left="-5" w:hanging="10"/>
      </w:pPr>
    </w:p>
    <w:p w14:paraId="620F65EE" w14:textId="651BCC6A" w:rsidR="004A1F09" w:rsidRDefault="004A1F09" w:rsidP="004A1F09">
      <w:pPr>
        <w:spacing w:after="679" w:line="256" w:lineRule="auto"/>
        <w:ind w:left="0" w:firstLine="0"/>
        <w:jc w:val="left"/>
      </w:pPr>
      <w:r>
        <w:rPr>
          <w:noProof/>
        </w:rPr>
        <w:lastRenderedPageBreak/>
        <w:drawing>
          <wp:inline distT="0" distB="0" distL="0" distR="0" wp14:anchorId="1E64E4A1" wp14:editId="6B0CCCDB">
            <wp:extent cx="5924550" cy="4143375"/>
            <wp:effectExtent l="0" t="0" r="0" b="9525"/>
            <wp:docPr id="3" name="Picture 3" descr="A table of calorime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 table of calorimet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b/>
          <w:sz w:val="20"/>
        </w:rPr>
        <w:t xml:space="preserve">Supplementary Table </w:t>
      </w:r>
      <w:proofErr w:type="gramStart"/>
      <w:r>
        <w:rPr>
          <w:rFonts w:ascii="Cambria" w:eastAsia="Cambria" w:hAnsi="Cambria" w:cs="Cambria"/>
          <w:b/>
          <w:sz w:val="20"/>
        </w:rPr>
        <w:t>2 .</w:t>
      </w:r>
      <w:proofErr w:type="gramEnd"/>
      <w:r>
        <w:rPr>
          <w:rFonts w:ascii="Cambria" w:eastAsia="Cambria" w:hAnsi="Cambria" w:cs="Cambria"/>
          <w:b/>
          <w:sz w:val="20"/>
        </w:rPr>
        <w:t xml:space="preserve"> </w:t>
      </w:r>
      <w:r>
        <w:rPr>
          <w:rFonts w:ascii="Cambria" w:eastAsia="Cambria" w:hAnsi="Cambria" w:cs="Cambria"/>
          <w:bCs/>
          <w:sz w:val="20"/>
        </w:rPr>
        <w:t>ITC experiments</w:t>
      </w:r>
      <w:r>
        <w:rPr>
          <w:rFonts w:ascii="Cambria" w:eastAsia="Cambria" w:hAnsi="Cambria" w:cs="Cambria"/>
          <w:b/>
          <w:sz w:val="20"/>
        </w:rPr>
        <w:t xml:space="preserve"> </w:t>
      </w:r>
      <w:r>
        <w:rPr>
          <w:rFonts w:ascii="Cambria" w:eastAsia="Cambria" w:hAnsi="Cambria" w:cs="Cambria"/>
          <w:sz w:val="20"/>
        </w:rPr>
        <w:t>indicating the aa or AMPPCP as titrant, protein or protein complex, and the resulting dissociation constant(s) (K</w:t>
      </w:r>
      <w:r>
        <w:rPr>
          <w:rFonts w:ascii="Cambria" w:eastAsia="Cambria" w:hAnsi="Cambria" w:cs="Cambria"/>
          <w:sz w:val="20"/>
          <w:vertAlign w:val="subscript"/>
        </w:rPr>
        <w:t>D</w:t>
      </w:r>
      <w:r>
        <w:rPr>
          <w:rFonts w:ascii="Cambria" w:eastAsia="Cambria" w:hAnsi="Cambria" w:cs="Cambria"/>
          <w:sz w:val="20"/>
        </w:rPr>
        <w:t>) from binding models with the best fit.</w:t>
      </w:r>
    </w:p>
    <w:p w14:paraId="03C65825" w14:textId="77777777" w:rsidR="004A1F09" w:rsidRDefault="004A1F09" w:rsidP="004A1F09">
      <w:pPr>
        <w:spacing w:after="376" w:line="240" w:lineRule="auto"/>
        <w:ind w:left="0" w:firstLine="0"/>
      </w:pPr>
    </w:p>
    <w:p w14:paraId="6B304081" w14:textId="7B087EAE" w:rsidR="004A1F09" w:rsidRDefault="004A1F09" w:rsidP="004A1F09">
      <w:pPr>
        <w:spacing w:after="679" w:line="256" w:lineRule="auto"/>
        <w:ind w:left="0" w:firstLine="0"/>
        <w:jc w:val="left"/>
      </w:pPr>
      <w:r>
        <w:rPr>
          <w:noProof/>
        </w:rPr>
        <w:drawing>
          <wp:inline distT="0" distB="0" distL="0" distR="0" wp14:anchorId="1FA3A6C4" wp14:editId="439D0D00">
            <wp:extent cx="5915025" cy="17716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7967D" w14:textId="77777777" w:rsidR="004A1F09" w:rsidRDefault="004A1F09" w:rsidP="004A1F09">
      <w:pPr>
        <w:spacing w:after="376" w:line="240" w:lineRule="auto"/>
        <w:ind w:left="-5" w:hanging="10"/>
        <w:rPr>
          <w:rFonts w:ascii="Cambria" w:eastAsia="Cambria" w:hAnsi="Cambria" w:cs="Cambria"/>
          <w:sz w:val="20"/>
        </w:rPr>
      </w:pPr>
      <w:r>
        <w:rPr>
          <w:rFonts w:ascii="Cambria" w:eastAsia="Cambria" w:hAnsi="Cambria" w:cs="Cambria"/>
          <w:b/>
          <w:sz w:val="20"/>
        </w:rPr>
        <w:t xml:space="preserve">Supplementary Table. 3. </w:t>
      </w:r>
      <w:r>
        <w:rPr>
          <w:rFonts w:ascii="Cambria" w:eastAsia="Cambria" w:hAnsi="Cambria" w:cs="Cambria"/>
          <w:sz w:val="20"/>
        </w:rPr>
        <w:t xml:space="preserve">Details about the MD simulations run using CHARMM36-all-atom force field for each of the solvated </w:t>
      </w:r>
      <w:proofErr w:type="spellStart"/>
      <w:r>
        <w:rPr>
          <w:rFonts w:ascii="Cambria" w:eastAsia="Cambria" w:hAnsi="Cambria" w:cs="Cambria"/>
          <w:sz w:val="20"/>
        </w:rPr>
        <w:t>GrsA</w:t>
      </w:r>
      <w:proofErr w:type="spellEnd"/>
      <w:r>
        <w:rPr>
          <w:rFonts w:ascii="Cambria" w:eastAsia="Cambria" w:hAnsi="Cambria" w:cs="Cambria"/>
          <w:sz w:val="20"/>
        </w:rPr>
        <w:t xml:space="preserve"> A-domains and their aa substrates bound</w:t>
      </w:r>
    </w:p>
    <w:p w14:paraId="4AC51C8A" w14:textId="77777777" w:rsidR="004A1F09" w:rsidRDefault="004A1F09" w:rsidP="004A1F09">
      <w:pPr>
        <w:spacing w:after="376" w:line="240" w:lineRule="auto"/>
        <w:ind w:left="-5" w:hanging="10"/>
        <w:rPr>
          <w:rFonts w:ascii="Cambria" w:eastAsia="Cambria" w:hAnsi="Cambria" w:cs="Cambria"/>
          <w:b/>
          <w:sz w:val="20"/>
        </w:rPr>
      </w:pPr>
    </w:p>
    <w:p w14:paraId="29D7CD10" w14:textId="3702FCA6" w:rsidR="00AD1398" w:rsidRDefault="004A1F09" w:rsidP="004A1F09">
      <w:r>
        <w:rPr>
          <w:rFonts w:ascii="Cambria" w:eastAsia="Cambria" w:hAnsi="Cambria" w:cs="Cambria"/>
          <w:b/>
          <w:noProof/>
          <w:kern w:val="0"/>
          <w:sz w:val="20"/>
          <w14:ligatures w14:val="none"/>
        </w:rPr>
        <w:lastRenderedPageBreak/>
        <w:drawing>
          <wp:inline distT="0" distB="0" distL="0" distR="0" wp14:anchorId="64418278" wp14:editId="36FA2FA7">
            <wp:extent cx="5924550" cy="3829050"/>
            <wp:effectExtent l="0" t="0" r="0" b="0"/>
            <wp:docPr id="1" name="Picture 1" descr="A picture containing text, diagram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diagram, screensh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Supplementary Fig. 4. MD simulation results comparing the substrate and the protein states between </w:t>
      </w:r>
      <w:proofErr w:type="spellStart"/>
      <w:r>
        <w:rPr>
          <w:rFonts w:ascii="Cambria" w:eastAsia="Cambria" w:hAnsi="Cambria" w:cs="Cambria"/>
          <w:b/>
          <w:kern w:val="0"/>
          <w:sz w:val="20"/>
          <w14:ligatures w14:val="none"/>
        </w:rPr>
        <w:t>GrsA</w:t>
      </w:r>
      <w:proofErr w:type="spellEnd"/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-WT containing </w:t>
      </w:r>
      <w:proofErr w:type="spellStart"/>
      <w:r>
        <w:rPr>
          <w:rFonts w:ascii="Cambria" w:eastAsia="Cambria" w:hAnsi="Cambria" w:cs="Cambria"/>
          <w:b/>
          <w:kern w:val="0"/>
          <w:sz w:val="20"/>
          <w14:ligatures w14:val="none"/>
        </w:rPr>
        <w:t>Phe</w:t>
      </w:r>
      <w:proofErr w:type="spellEnd"/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 compared to </w:t>
      </w:r>
      <w:proofErr w:type="spellStart"/>
      <w:r>
        <w:rPr>
          <w:rFonts w:ascii="Cambria" w:eastAsia="Cambria" w:hAnsi="Cambria" w:cs="Cambria"/>
          <w:b/>
          <w:kern w:val="0"/>
          <w:sz w:val="20"/>
          <w14:ligatures w14:val="none"/>
        </w:rPr>
        <w:t>GrsA</w:t>
      </w:r>
      <w:proofErr w:type="spellEnd"/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-WT containing </w:t>
      </w:r>
      <w:proofErr w:type="spellStart"/>
      <w:r>
        <w:rPr>
          <w:rFonts w:ascii="Cambria" w:eastAsia="Cambria" w:hAnsi="Cambria" w:cs="Cambria"/>
          <w:b/>
          <w:kern w:val="0"/>
          <w:sz w:val="20"/>
          <w14:ligatures w14:val="none"/>
        </w:rPr>
        <w:t>Gly</w:t>
      </w:r>
      <w:proofErr w:type="spellEnd"/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 initiated from the thiolation state model A-B: </w:t>
      </w:r>
      <w:r>
        <w:rPr>
          <w:rFonts w:ascii="Cambria" w:eastAsia="Cambria" w:hAnsi="Cambria" w:cs="Cambria"/>
          <w:kern w:val="0"/>
          <w:sz w:val="20"/>
          <w14:ligatures w14:val="none"/>
        </w:rPr>
        <w:t xml:space="preserve">Representative structures of the folded A-domain from </w:t>
      </w:r>
      <w:proofErr w:type="spellStart"/>
      <w:r>
        <w:rPr>
          <w:rFonts w:ascii="Cambria" w:eastAsia="Cambria" w:hAnsi="Cambria" w:cs="Cambria"/>
          <w:kern w:val="0"/>
          <w:sz w:val="20"/>
          <w14:ligatures w14:val="none"/>
        </w:rPr>
        <w:t>GrsA</w:t>
      </w:r>
      <w:proofErr w:type="spellEnd"/>
      <w:r>
        <w:rPr>
          <w:rFonts w:ascii="Cambria" w:eastAsia="Cambria" w:hAnsi="Cambria" w:cs="Cambria"/>
          <w:kern w:val="0"/>
          <w:sz w:val="20"/>
          <w14:ligatures w14:val="none"/>
        </w:rPr>
        <w:t xml:space="preserve">-WT containing </w:t>
      </w:r>
      <w:proofErr w:type="spellStart"/>
      <w:r>
        <w:rPr>
          <w:rFonts w:ascii="Cambria" w:eastAsia="Cambria" w:hAnsi="Cambria" w:cs="Cambria"/>
          <w:kern w:val="0"/>
          <w:sz w:val="20"/>
          <w14:ligatures w14:val="none"/>
        </w:rPr>
        <w:t>Phe</w:t>
      </w:r>
      <w:proofErr w:type="spellEnd"/>
      <w:r>
        <w:rPr>
          <w:rFonts w:ascii="Cambria" w:eastAsia="Cambria" w:hAnsi="Cambria" w:cs="Cambria"/>
          <w:kern w:val="0"/>
          <w:sz w:val="20"/>
          <w14:ligatures w14:val="none"/>
        </w:rPr>
        <w:t xml:space="preserve"> compared between the initial and intermediate states of the simulation, </w:t>
      </w:r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C-D: </w:t>
      </w:r>
      <w:r>
        <w:rPr>
          <w:rFonts w:ascii="Cambria" w:eastAsia="Cambria" w:hAnsi="Cambria" w:cs="Cambria"/>
          <w:kern w:val="0"/>
          <w:sz w:val="20"/>
          <w14:ligatures w14:val="none"/>
        </w:rPr>
        <w:t xml:space="preserve">Representative structures of the intermediates, representing partially unfolded A-domain of </w:t>
      </w:r>
      <w:proofErr w:type="spellStart"/>
      <w:r>
        <w:rPr>
          <w:rFonts w:ascii="Cambria" w:eastAsia="Cambria" w:hAnsi="Cambria" w:cs="Cambria"/>
          <w:kern w:val="0"/>
          <w:sz w:val="20"/>
          <w14:ligatures w14:val="none"/>
        </w:rPr>
        <w:t>GrsA</w:t>
      </w:r>
      <w:proofErr w:type="spellEnd"/>
      <w:r>
        <w:rPr>
          <w:rFonts w:ascii="Cambria" w:eastAsia="Cambria" w:hAnsi="Cambria" w:cs="Cambria"/>
          <w:kern w:val="0"/>
          <w:sz w:val="20"/>
          <w14:ligatures w14:val="none"/>
        </w:rPr>
        <w:t xml:space="preserve">-WT containing </w:t>
      </w:r>
      <w:proofErr w:type="spellStart"/>
      <w:r>
        <w:rPr>
          <w:rFonts w:ascii="Cambria" w:eastAsia="Cambria" w:hAnsi="Cambria" w:cs="Cambria"/>
          <w:kern w:val="0"/>
          <w:sz w:val="20"/>
          <w14:ligatures w14:val="none"/>
        </w:rPr>
        <w:t>Gly</w:t>
      </w:r>
      <w:proofErr w:type="spellEnd"/>
      <w:r>
        <w:rPr>
          <w:rFonts w:ascii="Cambria" w:eastAsia="Cambria" w:hAnsi="Cambria" w:cs="Cambria"/>
          <w:kern w:val="0"/>
          <w:sz w:val="20"/>
          <w14:ligatures w14:val="none"/>
        </w:rPr>
        <w:t xml:space="preserve"> at 13ns and </w:t>
      </w:r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D: </w:t>
      </w:r>
      <w:r>
        <w:rPr>
          <w:rFonts w:ascii="Cambria" w:eastAsia="Cambria" w:hAnsi="Cambria" w:cs="Cambria"/>
          <w:kern w:val="0"/>
          <w:sz w:val="20"/>
          <w14:ligatures w14:val="none"/>
        </w:rPr>
        <w:t xml:space="preserve">20ns, </w:t>
      </w:r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E-I: comparison of the two conditions with red representing </w:t>
      </w:r>
      <w:proofErr w:type="spellStart"/>
      <w:r>
        <w:rPr>
          <w:rFonts w:ascii="Cambria" w:eastAsia="Cambria" w:hAnsi="Cambria" w:cs="Cambria"/>
          <w:b/>
          <w:kern w:val="0"/>
          <w:sz w:val="20"/>
          <w14:ligatures w14:val="none"/>
        </w:rPr>
        <w:t>Gly</w:t>
      </w:r>
      <w:proofErr w:type="spellEnd"/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 as non-cognate substrate and blue representing </w:t>
      </w:r>
      <w:proofErr w:type="spellStart"/>
      <w:r>
        <w:rPr>
          <w:rFonts w:ascii="Cambria" w:eastAsia="Cambria" w:hAnsi="Cambria" w:cs="Cambria"/>
          <w:b/>
          <w:kern w:val="0"/>
          <w:sz w:val="20"/>
          <w14:ligatures w14:val="none"/>
        </w:rPr>
        <w:t>Phe</w:t>
      </w:r>
      <w:proofErr w:type="spellEnd"/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 as cognate substrate E: </w:t>
      </w:r>
      <w:r>
        <w:rPr>
          <w:rFonts w:ascii="Cambria" w:eastAsia="Cambria" w:hAnsi="Cambria" w:cs="Cambria"/>
          <w:kern w:val="0"/>
          <w:sz w:val="20"/>
          <w14:ligatures w14:val="none"/>
        </w:rPr>
        <w:t xml:space="preserve">Comparison of Radius of gyration of the A-domain across the length of the simulation, </w:t>
      </w:r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F: </w:t>
      </w:r>
      <w:r>
        <w:rPr>
          <w:rFonts w:ascii="Cambria" w:eastAsia="Cambria" w:hAnsi="Cambria" w:cs="Cambria"/>
          <w:kern w:val="0"/>
          <w:sz w:val="20"/>
          <w14:ligatures w14:val="none"/>
        </w:rPr>
        <w:t xml:space="preserve">Comparison of the RMSD of the aa with respect to the initial state across the length of the simulation, </w:t>
      </w:r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G: </w:t>
      </w:r>
      <w:r>
        <w:rPr>
          <w:rFonts w:ascii="Cambria" w:eastAsia="Cambria" w:hAnsi="Cambria" w:cs="Cambria"/>
          <w:kern w:val="0"/>
          <w:sz w:val="20"/>
          <w14:ligatures w14:val="none"/>
        </w:rPr>
        <w:t xml:space="preserve">Comparison of the RMSD of the active-site pocket with respect to the initial state across the length of the simulation, </w:t>
      </w:r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H: </w:t>
      </w:r>
      <w:r>
        <w:rPr>
          <w:rFonts w:ascii="Cambria" w:eastAsia="Cambria" w:hAnsi="Cambria" w:cs="Cambria"/>
          <w:kern w:val="0"/>
          <w:sz w:val="20"/>
          <w14:ligatures w14:val="none"/>
        </w:rPr>
        <w:t xml:space="preserve">Comparison of the distance from the conserved D235 residue to the aa representing unbinding event in case of </w:t>
      </w:r>
      <w:proofErr w:type="spellStart"/>
      <w:r>
        <w:rPr>
          <w:rFonts w:ascii="Cambria" w:eastAsia="Cambria" w:hAnsi="Cambria" w:cs="Cambria"/>
          <w:kern w:val="0"/>
          <w:sz w:val="20"/>
          <w14:ligatures w14:val="none"/>
        </w:rPr>
        <w:t>Gly</w:t>
      </w:r>
      <w:proofErr w:type="spellEnd"/>
      <w:r>
        <w:rPr>
          <w:rFonts w:ascii="Cambria" w:eastAsia="Cambria" w:hAnsi="Cambria" w:cs="Cambria"/>
          <w:kern w:val="0"/>
          <w:sz w:val="20"/>
          <w14:ligatures w14:val="none"/>
        </w:rPr>
        <w:t xml:space="preserve">, </w:t>
      </w:r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I: </w:t>
      </w:r>
      <w:r>
        <w:rPr>
          <w:rFonts w:ascii="Cambria" w:eastAsia="Cambria" w:hAnsi="Cambria" w:cs="Cambria"/>
          <w:kern w:val="0"/>
          <w:sz w:val="20"/>
          <w14:ligatures w14:val="none"/>
        </w:rPr>
        <w:t xml:space="preserve">Comparison of the distance from the conserved D235 residue to the conserved K517 residue across the length of the simulation, </w:t>
      </w:r>
      <w:r>
        <w:rPr>
          <w:rFonts w:ascii="Cambria" w:eastAsia="Cambria" w:hAnsi="Cambria" w:cs="Cambria"/>
          <w:b/>
          <w:kern w:val="0"/>
          <w:sz w:val="20"/>
          <w14:ligatures w14:val="none"/>
        </w:rPr>
        <w:t xml:space="preserve">J: </w:t>
      </w:r>
      <w:r>
        <w:rPr>
          <w:rFonts w:ascii="Cambria" w:eastAsia="Cambria" w:hAnsi="Cambria" w:cs="Cambria"/>
          <w:kern w:val="0"/>
          <w:sz w:val="20"/>
          <w14:ligatures w14:val="none"/>
        </w:rPr>
        <w:t xml:space="preserve">Correlation of unbinding event (from panel H) to unfolding event (panel I) across the length of the simulation, overlayed with </w:t>
      </w:r>
      <w:proofErr w:type="spellStart"/>
      <w:r>
        <w:rPr>
          <w:rFonts w:ascii="Cambria" w:eastAsia="Cambria" w:hAnsi="Cambria" w:cs="Cambria"/>
          <w:kern w:val="0"/>
          <w:sz w:val="20"/>
          <w14:ligatures w14:val="none"/>
        </w:rPr>
        <w:t>Phe</w:t>
      </w:r>
      <w:proofErr w:type="spellEnd"/>
      <w:r>
        <w:rPr>
          <w:rFonts w:ascii="Cambria" w:eastAsia="Cambria" w:hAnsi="Cambria" w:cs="Cambria"/>
          <w:kern w:val="0"/>
          <w:sz w:val="20"/>
          <w14:ligatures w14:val="none"/>
        </w:rPr>
        <w:t xml:space="preserve"> condition shown as a sliding dot product.</w:t>
      </w: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F09"/>
    <w:rsid w:val="004A1F09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35E61"/>
  <w15:chartTrackingRefBased/>
  <w15:docId w15:val="{E9385507-5161-429E-A027-9BD708D49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F09"/>
    <w:pPr>
      <w:spacing w:after="4" w:line="376" w:lineRule="auto"/>
      <w:ind w:left="858" w:firstLine="289"/>
      <w:jc w:val="both"/>
    </w:pPr>
    <w:rPr>
      <w:rFonts w:ascii="Calibri" w:eastAsia="Calibri" w:hAnsi="Calibri" w:cs="Calibri"/>
      <w:color w:val="000000"/>
      <w:kern w:val="2"/>
      <w:szCs w:val="24"/>
      <w14:ligatures w14:val="standardContextual"/>
    </w:rPr>
  </w:style>
  <w:style w:type="paragraph" w:styleId="Heading2">
    <w:name w:val="heading 2"/>
    <w:next w:val="Normal"/>
    <w:link w:val="Heading2Char"/>
    <w:uiPriority w:val="9"/>
    <w:semiHidden/>
    <w:unhideWhenUsed/>
    <w:qFormat/>
    <w:rsid w:val="004A1F09"/>
    <w:pPr>
      <w:keepNext/>
      <w:keepLines/>
      <w:spacing w:after="395" w:line="264" w:lineRule="auto"/>
      <w:ind w:left="887" w:hanging="10"/>
      <w:jc w:val="center"/>
      <w:outlineLvl w:val="1"/>
    </w:pPr>
    <w:rPr>
      <w:rFonts w:ascii="Calibri" w:eastAsia="Calibri" w:hAnsi="Calibri" w:cs="Calibri"/>
      <w:b/>
      <w:color w:val="000000"/>
      <w:kern w:val="2"/>
      <w:sz w:val="20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4A1F09"/>
    <w:rPr>
      <w:rFonts w:ascii="Calibri" w:eastAsia="Calibri" w:hAnsi="Calibri" w:cs="Calibri"/>
      <w:b/>
      <w:color w:val="000000"/>
      <w:kern w:val="2"/>
      <w:sz w:val="20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791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608</Words>
  <Characters>3470</Characters>
  <Application>Microsoft Office Word</Application>
  <DocSecurity>0</DocSecurity>
  <Lines>28</Lines>
  <Paragraphs>8</Paragraphs>
  <ScaleCrop>false</ScaleCrop>
  <Company>Springer Nature</Company>
  <LinksUpToDate>false</LinksUpToDate>
  <CharactersWithSpaces>4070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2023-09-08T04:41:00Z</dcterms:created>
  <dcterms:modified xsi:type="dcterms:W3CDTF">2023-09-08T04:41:00Z</dcterms:modified>
</cp:coreProperties>
</file>