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C23FA" w:rsidRDefault="009C15B2">
      <w:pPr>
        <w:pStyle w:val="Titre"/>
        <w:spacing w:line="240" w:lineRule="auto"/>
      </w:pPr>
      <w:bookmarkStart w:id="0" w:name="_602ma1tclphn" w:colFirst="0" w:colLast="0"/>
      <w:bookmarkStart w:id="1" w:name="_GoBack"/>
      <w:bookmarkEnd w:id="0"/>
      <w:bookmarkEnd w:id="1"/>
      <w:r>
        <w:t>Supplementary Information</w:t>
      </w:r>
    </w:p>
    <w:p w:rsidR="00DC23FA" w:rsidRDefault="00DC23FA">
      <w:pPr>
        <w:spacing w:line="240" w:lineRule="auto"/>
      </w:pPr>
    </w:p>
    <w:p w:rsidR="00DC23FA" w:rsidRDefault="00DC23FA">
      <w:pPr>
        <w:spacing w:line="240" w:lineRule="auto"/>
      </w:pPr>
    </w:p>
    <w:p w:rsidR="00DC23FA" w:rsidRDefault="00DC23FA">
      <w:pPr>
        <w:spacing w:line="240" w:lineRule="auto"/>
      </w:pPr>
    </w:p>
    <w:p w:rsidR="00DC23FA" w:rsidRDefault="00DC23FA">
      <w:pPr>
        <w:spacing w:line="240" w:lineRule="auto"/>
      </w:pPr>
    </w:p>
    <w:p w:rsidR="00DC23FA" w:rsidRDefault="00DC23FA">
      <w:pPr>
        <w:spacing w:line="240" w:lineRule="auto"/>
        <w:rPr>
          <w:b/>
          <w:u w:val="single"/>
        </w:rPr>
      </w:pPr>
    </w:p>
    <w:sdt>
      <w:sdtPr>
        <w:id w:val="-1598787030"/>
        <w:docPartObj>
          <w:docPartGallery w:val="Table of Contents"/>
          <w:docPartUnique/>
        </w:docPartObj>
      </w:sdtPr>
      <w:sdtEndPr/>
      <w:sdtContent>
        <w:p w:rsidR="00DC23FA" w:rsidRDefault="009C15B2">
          <w:pPr>
            <w:widowControl w:val="0"/>
            <w:tabs>
              <w:tab w:val="right" w:pos="12000"/>
            </w:tabs>
            <w:spacing w:before="60" w:after="0" w:line="240" w:lineRule="auto"/>
            <w:rPr>
              <w:b/>
              <w:color w:val="000000"/>
            </w:rPr>
          </w:pPr>
          <w:r>
            <w:fldChar w:fldCharType="begin"/>
          </w:r>
          <w:r>
            <w:instrText xml:space="preserve"> TOC \h \u \z \t "Heading 1,1,Heading 2,2,Heading 3,3,Heading 4,4,Heading 5,5,Heading 6,6,"</w:instrText>
          </w:r>
          <w:r>
            <w:fldChar w:fldCharType="separate"/>
          </w:r>
          <w:hyperlink w:anchor="_42vz63t5mhzk">
            <w:r>
              <w:rPr>
                <w:b/>
                <w:color w:val="000000"/>
              </w:rPr>
              <w:t>1. Enhanced weathering module</w:t>
            </w:r>
            <w:r>
              <w:rPr>
                <w:b/>
                <w:color w:val="000000"/>
              </w:rPr>
              <w:tab/>
              <w:t>2</w:t>
            </w:r>
          </w:hyperlink>
        </w:p>
        <w:p w:rsidR="00DC23FA" w:rsidRDefault="009C15B2">
          <w:pPr>
            <w:widowControl w:val="0"/>
            <w:tabs>
              <w:tab w:val="right" w:pos="12000"/>
            </w:tabs>
            <w:spacing w:before="60" w:after="0" w:line="240" w:lineRule="auto"/>
            <w:ind w:left="360"/>
            <w:rPr>
              <w:color w:val="000000"/>
            </w:rPr>
          </w:pPr>
          <w:hyperlink w:anchor="_dzyr0w5pye57">
            <w:r>
              <w:rPr>
                <w:color w:val="000000"/>
              </w:rPr>
              <w:t>1.1 Basalt supply</w:t>
            </w:r>
            <w:r>
              <w:rPr>
                <w:color w:val="000000"/>
              </w:rPr>
              <w:tab/>
              <w:t>2</w:t>
            </w:r>
          </w:hyperlink>
        </w:p>
        <w:p w:rsidR="00DC23FA" w:rsidRDefault="009C15B2">
          <w:pPr>
            <w:widowControl w:val="0"/>
            <w:tabs>
              <w:tab w:val="right" w:pos="12000"/>
            </w:tabs>
            <w:spacing w:before="60" w:after="0" w:line="240" w:lineRule="auto"/>
            <w:ind w:left="360"/>
            <w:rPr>
              <w:color w:val="000000"/>
            </w:rPr>
          </w:pPr>
          <w:hyperlink w:anchor="_hpsffdx466xz">
            <w:r>
              <w:rPr>
                <w:color w:val="000000"/>
              </w:rPr>
              <w:t>1.2 Carbon dioxide removal</w:t>
            </w:r>
            <w:r>
              <w:rPr>
                <w:color w:val="000000"/>
              </w:rPr>
              <w:tab/>
              <w:t>6</w:t>
            </w:r>
          </w:hyperlink>
        </w:p>
        <w:p w:rsidR="00DC23FA" w:rsidRDefault="009C15B2">
          <w:pPr>
            <w:widowControl w:val="0"/>
            <w:tabs>
              <w:tab w:val="right" w:pos="12000"/>
            </w:tabs>
            <w:spacing w:before="60" w:after="0" w:line="240" w:lineRule="auto"/>
            <w:ind w:left="360"/>
            <w:rPr>
              <w:color w:val="000000"/>
            </w:rPr>
          </w:pPr>
          <w:hyperlink w:anchor="_4npvom7t18n0">
            <w:r>
              <w:rPr>
                <w:color w:val="000000"/>
              </w:rPr>
              <w:t>1.3 Basalt application in mitigation scenarios</w:t>
            </w:r>
            <w:r>
              <w:rPr>
                <w:color w:val="000000"/>
              </w:rPr>
              <w:tab/>
              <w:t>10</w:t>
            </w:r>
          </w:hyperlink>
        </w:p>
        <w:p w:rsidR="00DC23FA" w:rsidRDefault="009C15B2">
          <w:pPr>
            <w:widowControl w:val="0"/>
            <w:tabs>
              <w:tab w:val="right" w:pos="12000"/>
            </w:tabs>
            <w:spacing w:before="60" w:after="0" w:line="240" w:lineRule="auto"/>
            <w:rPr>
              <w:b/>
              <w:color w:val="000000"/>
            </w:rPr>
          </w:pPr>
          <w:hyperlink w:anchor="_cfcfd4l4dj5c">
            <w:r>
              <w:rPr>
                <w:b/>
                <w:color w:val="000000"/>
              </w:rPr>
              <w:t>2- Sensitivity Analysis</w:t>
            </w:r>
            <w:r>
              <w:rPr>
                <w:b/>
                <w:color w:val="000000"/>
              </w:rPr>
              <w:tab/>
              <w:t>12</w:t>
            </w:r>
          </w:hyperlink>
        </w:p>
        <w:p w:rsidR="00DC23FA" w:rsidRDefault="009C15B2">
          <w:pPr>
            <w:widowControl w:val="0"/>
            <w:tabs>
              <w:tab w:val="right" w:pos="12000"/>
            </w:tabs>
            <w:spacing w:before="60" w:after="0" w:line="240" w:lineRule="auto"/>
            <w:ind w:left="360"/>
            <w:rPr>
              <w:color w:val="000000"/>
            </w:rPr>
          </w:pPr>
          <w:hyperlink w:anchor="_ald9k0u8v8td">
            <w:r>
              <w:rPr>
                <w:color w:val="000000"/>
              </w:rPr>
              <w:t>2.1 Para</w:t>
            </w:r>
            <w:r>
              <w:rPr>
                <w:color w:val="000000"/>
              </w:rPr>
              <w:t>meters distributions</w:t>
            </w:r>
            <w:r>
              <w:rPr>
                <w:color w:val="000000"/>
              </w:rPr>
              <w:tab/>
              <w:t>12</w:t>
            </w:r>
          </w:hyperlink>
        </w:p>
        <w:p w:rsidR="00DC23FA" w:rsidRDefault="009C15B2">
          <w:pPr>
            <w:widowControl w:val="0"/>
            <w:tabs>
              <w:tab w:val="right" w:pos="12000"/>
            </w:tabs>
            <w:spacing w:before="60" w:after="0" w:line="240" w:lineRule="auto"/>
            <w:ind w:left="360"/>
            <w:rPr>
              <w:color w:val="000000"/>
            </w:rPr>
          </w:pPr>
          <w:hyperlink w:anchor="_1cduksdnmgnp">
            <w:r>
              <w:rPr>
                <w:color w:val="000000"/>
              </w:rPr>
              <w:t>2.2 Latin hypercube sampling</w:t>
            </w:r>
            <w:r>
              <w:rPr>
                <w:color w:val="000000"/>
              </w:rPr>
              <w:tab/>
              <w:t>14</w:t>
            </w:r>
          </w:hyperlink>
        </w:p>
        <w:p w:rsidR="00DC23FA" w:rsidRDefault="009C15B2">
          <w:pPr>
            <w:widowControl w:val="0"/>
            <w:tabs>
              <w:tab w:val="right" w:pos="12000"/>
            </w:tabs>
            <w:spacing w:before="60" w:after="0" w:line="240" w:lineRule="auto"/>
            <w:ind w:left="360"/>
            <w:rPr>
              <w:color w:val="000000"/>
            </w:rPr>
          </w:pPr>
          <w:hyperlink w:anchor="_nhhuhy1u3mjg">
            <w:r>
              <w:rPr>
                <w:color w:val="000000"/>
              </w:rPr>
              <w:t>2.3 Morris sampling</w:t>
            </w:r>
            <w:r>
              <w:rPr>
                <w:color w:val="000000"/>
              </w:rPr>
              <w:tab/>
              <w:t>15</w:t>
            </w:r>
          </w:hyperlink>
        </w:p>
        <w:p w:rsidR="00DC23FA" w:rsidRDefault="009C15B2">
          <w:pPr>
            <w:widowControl w:val="0"/>
            <w:tabs>
              <w:tab w:val="right" w:pos="12000"/>
            </w:tabs>
            <w:spacing w:before="60" w:after="0" w:line="240" w:lineRule="auto"/>
            <w:rPr>
              <w:b/>
              <w:color w:val="000000"/>
            </w:rPr>
          </w:pPr>
          <w:hyperlink w:anchor="_ts3k7ybvznry">
            <w:r>
              <w:rPr>
                <w:b/>
                <w:color w:val="000000"/>
              </w:rPr>
              <w:t>3. GET-ACC2 model</w:t>
            </w:r>
            <w:r>
              <w:rPr>
                <w:b/>
                <w:color w:val="000000"/>
              </w:rPr>
              <w:tab/>
              <w:t>18</w:t>
            </w:r>
          </w:hyperlink>
        </w:p>
        <w:p w:rsidR="00DC23FA" w:rsidRDefault="009C15B2">
          <w:pPr>
            <w:widowControl w:val="0"/>
            <w:tabs>
              <w:tab w:val="right" w:pos="12000"/>
            </w:tabs>
            <w:spacing w:before="60" w:after="0" w:line="240" w:lineRule="auto"/>
            <w:ind w:left="360"/>
            <w:rPr>
              <w:color w:val="000000"/>
            </w:rPr>
          </w:pPr>
          <w:hyperlink w:anchor="_3japnb60xhda">
            <w:r>
              <w:rPr>
                <w:color w:val="000000"/>
              </w:rPr>
              <w:t>3.1 Overview</w:t>
            </w:r>
            <w:r>
              <w:rPr>
                <w:color w:val="000000"/>
              </w:rPr>
              <w:t xml:space="preserve"> of the model</w:t>
            </w:r>
            <w:r>
              <w:rPr>
                <w:color w:val="000000"/>
              </w:rPr>
              <w:tab/>
              <w:t>18</w:t>
            </w:r>
          </w:hyperlink>
        </w:p>
        <w:p w:rsidR="00DC23FA" w:rsidRDefault="009C15B2">
          <w:pPr>
            <w:widowControl w:val="0"/>
            <w:tabs>
              <w:tab w:val="right" w:pos="12000"/>
            </w:tabs>
            <w:spacing w:before="60" w:after="0" w:line="240" w:lineRule="auto"/>
            <w:ind w:left="360"/>
            <w:rPr>
              <w:color w:val="000000"/>
            </w:rPr>
          </w:pPr>
          <w:hyperlink w:anchor="_jl5uzs3kt7fi">
            <w:r>
              <w:rPr>
                <w:color w:val="000000"/>
              </w:rPr>
              <w:t>3.2 Major updates on GET</w:t>
            </w:r>
            <w:r>
              <w:rPr>
                <w:color w:val="000000"/>
              </w:rPr>
              <w:tab/>
              <w:t>20</w:t>
            </w:r>
          </w:hyperlink>
        </w:p>
        <w:p w:rsidR="00DC23FA" w:rsidRDefault="009C15B2">
          <w:pPr>
            <w:widowControl w:val="0"/>
            <w:tabs>
              <w:tab w:val="right" w:pos="12000"/>
            </w:tabs>
            <w:spacing w:before="60" w:after="0" w:line="240" w:lineRule="auto"/>
            <w:ind w:left="720"/>
            <w:rPr>
              <w:color w:val="000000"/>
            </w:rPr>
          </w:pPr>
          <w:hyperlink w:anchor="_bj346b85ot3p">
            <w:r>
              <w:rPr>
                <w:color w:val="000000"/>
              </w:rPr>
              <w:t>3.2.1 Fossil fuel supply curves</w:t>
            </w:r>
            <w:r>
              <w:rPr>
                <w:color w:val="000000"/>
              </w:rPr>
              <w:tab/>
              <w:t>20</w:t>
            </w:r>
          </w:hyperlink>
        </w:p>
        <w:p w:rsidR="00DC23FA" w:rsidRDefault="009C15B2">
          <w:pPr>
            <w:widowControl w:val="0"/>
            <w:tabs>
              <w:tab w:val="right" w:pos="12000"/>
            </w:tabs>
            <w:spacing w:before="60" w:after="0" w:line="240" w:lineRule="auto"/>
            <w:ind w:left="720"/>
            <w:rPr>
              <w:color w:val="000000"/>
            </w:rPr>
          </w:pPr>
          <w:hyperlink w:anchor="_4xi72iurk6mk">
            <w:r>
              <w:rPr>
                <w:color w:val="000000"/>
              </w:rPr>
              <w:t>3.2.2 Biomass supply curve</w:t>
            </w:r>
            <w:r>
              <w:rPr>
                <w:color w:val="000000"/>
              </w:rPr>
              <w:tab/>
              <w:t>20</w:t>
            </w:r>
          </w:hyperlink>
        </w:p>
        <w:p w:rsidR="00DC23FA" w:rsidRDefault="009C15B2">
          <w:pPr>
            <w:widowControl w:val="0"/>
            <w:tabs>
              <w:tab w:val="right" w:pos="12000"/>
            </w:tabs>
            <w:spacing w:before="60" w:after="0" w:line="240" w:lineRule="auto"/>
            <w:ind w:left="720"/>
            <w:rPr>
              <w:color w:val="000000"/>
            </w:rPr>
          </w:pPr>
          <w:hyperlink w:anchor="_qmmp9apicr4f">
            <w:r>
              <w:rPr>
                <w:color w:val="000000"/>
              </w:rPr>
              <w:t>3.2.3 Methane and Nitrous oxide abatement</w:t>
            </w:r>
            <w:r>
              <w:rPr>
                <w:color w:val="000000"/>
              </w:rPr>
              <w:tab/>
              <w:t>20</w:t>
            </w:r>
          </w:hyperlink>
        </w:p>
        <w:p w:rsidR="00DC23FA" w:rsidRDefault="009C15B2">
          <w:pPr>
            <w:widowControl w:val="0"/>
            <w:tabs>
              <w:tab w:val="right" w:pos="12000"/>
            </w:tabs>
            <w:spacing w:before="60" w:after="0" w:line="240" w:lineRule="auto"/>
            <w:ind w:left="720"/>
            <w:rPr>
              <w:color w:val="000000"/>
            </w:rPr>
          </w:pPr>
          <w:hyperlink w:anchor="_83wngqojfkg6">
            <w:r>
              <w:rPr>
                <w:color w:val="000000"/>
              </w:rPr>
              <w:t>3.2.4 Parameters updates</w:t>
            </w:r>
            <w:r>
              <w:rPr>
                <w:color w:val="000000"/>
              </w:rPr>
              <w:tab/>
              <w:t>20</w:t>
            </w:r>
          </w:hyperlink>
        </w:p>
        <w:p w:rsidR="00DC23FA" w:rsidRDefault="009C15B2">
          <w:pPr>
            <w:widowControl w:val="0"/>
            <w:tabs>
              <w:tab w:val="right" w:pos="12000"/>
            </w:tabs>
            <w:spacing w:before="60" w:after="0" w:line="240" w:lineRule="auto"/>
            <w:ind w:left="720"/>
            <w:rPr>
              <w:color w:val="000000"/>
            </w:rPr>
          </w:pPr>
          <w:hyperlink w:anchor="_505x6dr0zoqj">
            <w:r>
              <w:rPr>
                <w:color w:val="000000"/>
              </w:rPr>
              <w:t>3.2.4 Renewable energy mix</w:t>
            </w:r>
            <w:r>
              <w:rPr>
                <w:color w:val="000000"/>
              </w:rPr>
              <w:tab/>
              <w:t>21</w:t>
            </w:r>
          </w:hyperlink>
        </w:p>
        <w:p w:rsidR="00DC23FA" w:rsidRDefault="009C15B2">
          <w:pPr>
            <w:widowControl w:val="0"/>
            <w:tabs>
              <w:tab w:val="right" w:pos="12000"/>
            </w:tabs>
            <w:spacing w:before="60" w:after="0" w:line="240" w:lineRule="auto"/>
            <w:ind w:left="360"/>
            <w:rPr>
              <w:color w:val="000000"/>
            </w:rPr>
          </w:pPr>
          <w:hyperlink w:anchor="_fdl02zjl8wtn">
            <w:r>
              <w:rPr>
                <w:color w:val="000000"/>
              </w:rPr>
              <w:t>3.3 Comparison of mitigation scenarios and baseline</w:t>
            </w:r>
            <w:r>
              <w:rPr>
                <w:color w:val="000000"/>
              </w:rPr>
              <w:tab/>
              <w:t>21</w:t>
            </w:r>
          </w:hyperlink>
        </w:p>
        <w:p w:rsidR="00DC23FA" w:rsidRDefault="009C15B2">
          <w:pPr>
            <w:widowControl w:val="0"/>
            <w:tabs>
              <w:tab w:val="right" w:pos="12000"/>
            </w:tabs>
            <w:spacing w:before="60" w:after="0" w:line="240" w:lineRule="auto"/>
            <w:ind w:left="360"/>
            <w:rPr>
              <w:color w:val="000000"/>
            </w:rPr>
          </w:pPr>
          <w:hyperlink w:anchor="_s4vhots6yzbd">
            <w:r>
              <w:rPr>
                <w:color w:val="000000"/>
              </w:rPr>
              <w:t>3.4 Calibration of the climate model ACC2</w:t>
            </w:r>
            <w:r>
              <w:rPr>
                <w:color w:val="000000"/>
              </w:rPr>
              <w:tab/>
              <w:t>22</w:t>
            </w:r>
          </w:hyperlink>
          <w:r>
            <w:fldChar w:fldCharType="end"/>
          </w:r>
        </w:p>
      </w:sdtContent>
    </w:sdt>
    <w:p w:rsidR="00DC23FA" w:rsidRDefault="00DC23FA">
      <w:pPr>
        <w:spacing w:line="240" w:lineRule="auto"/>
        <w:rPr>
          <w:b/>
          <w:u w:val="single"/>
        </w:rPr>
      </w:pPr>
    </w:p>
    <w:p w:rsidR="00DC23FA" w:rsidRDefault="00DC23FA">
      <w:pPr>
        <w:spacing w:line="240" w:lineRule="auto"/>
        <w:rPr>
          <w:b/>
          <w:u w:val="single"/>
        </w:rPr>
      </w:pPr>
    </w:p>
    <w:p w:rsidR="00DC23FA" w:rsidRDefault="009C15B2">
      <w:pPr>
        <w:pStyle w:val="Titre2"/>
        <w:spacing w:line="240" w:lineRule="auto"/>
      </w:pPr>
      <w:bookmarkStart w:id="2" w:name="_617uczmukw46" w:colFirst="0" w:colLast="0"/>
      <w:bookmarkEnd w:id="2"/>
      <w:r>
        <w:br w:type="page"/>
      </w:r>
    </w:p>
    <w:p w:rsidR="00DC23FA" w:rsidRDefault="009C15B2">
      <w:pPr>
        <w:pStyle w:val="Titre2"/>
        <w:numPr>
          <w:ilvl w:val="0"/>
          <w:numId w:val="3"/>
        </w:numPr>
        <w:spacing w:line="240" w:lineRule="auto"/>
      </w:pPr>
      <w:bookmarkStart w:id="3" w:name="_42vz63t5mhzk" w:colFirst="0" w:colLast="0"/>
      <w:bookmarkEnd w:id="3"/>
      <w:r>
        <w:lastRenderedPageBreak/>
        <w:t>Enhanced weathering module</w:t>
      </w:r>
    </w:p>
    <w:p w:rsidR="00DC23FA" w:rsidRDefault="00DC23FA">
      <w:pPr>
        <w:spacing w:line="240" w:lineRule="auto"/>
        <w:rPr>
          <w:b/>
          <w:u w:val="single"/>
        </w:rPr>
      </w:pPr>
    </w:p>
    <w:p w:rsidR="00DC23FA" w:rsidRDefault="009C15B2">
      <w:pPr>
        <w:pStyle w:val="Titre3"/>
        <w:spacing w:line="240" w:lineRule="auto"/>
      </w:pPr>
      <w:bookmarkStart w:id="4" w:name="_dzyr0w5pye57" w:colFirst="0" w:colLast="0"/>
      <w:bookmarkEnd w:id="4"/>
      <w:r>
        <w:t xml:space="preserve">1.1 Basalt supply </w:t>
      </w:r>
    </w:p>
    <w:p w:rsidR="00DC23FA" w:rsidRDefault="009C15B2">
      <w:pPr>
        <w:spacing w:line="240" w:lineRule="auto"/>
      </w:pPr>
      <w:r>
        <w:t xml:space="preserve">The basalt dust supply is integrated in GET7.1 with a </w:t>
      </w:r>
      <w:proofErr w:type="gramStart"/>
      <w:r>
        <w:t>10 year</w:t>
      </w:r>
      <w:proofErr w:type="gramEnd"/>
      <w:r>
        <w:t xml:space="preserve"> ti</w:t>
      </w:r>
      <w:r>
        <w:t>mestep: costs and energy requirements of basalt supply are fed back into GET. Basalt must be mined, crushed and ground, and transported. Each of these steps requires energy. We assume that diesel or gasoline are used for mining and crop-fields spreading. B</w:t>
      </w:r>
      <w:r>
        <w:t>asalt could be transported by trains, trucks or ships. Here we assume that a minimum share of 70-90% must be transported by trucks. The energy requirements of transport increase the demand in each transport subsector (road, train or water freight). Transpo</w:t>
      </w:r>
      <w:r>
        <w:t xml:space="preserve">rt modes are substitutable but a minimum share (70-90%) must be transported on the road. </w:t>
      </w:r>
    </w:p>
    <w:tbl>
      <w:tblPr>
        <w:tblStyle w:val="a"/>
        <w:tblW w:w="9555" w:type="dxa"/>
        <w:tblInd w:w="0" w:type="dxa"/>
        <w:tblLayout w:type="fixed"/>
        <w:tblLook w:val="0400" w:firstRow="0" w:lastRow="0" w:firstColumn="0" w:lastColumn="0" w:noHBand="0" w:noVBand="1"/>
      </w:tblPr>
      <w:tblGrid>
        <w:gridCol w:w="1500"/>
        <w:gridCol w:w="1965"/>
        <w:gridCol w:w="1710"/>
        <w:gridCol w:w="2085"/>
        <w:gridCol w:w="2295"/>
      </w:tblGrid>
      <w:tr w:rsidR="00DC23FA">
        <w:trPr>
          <w:cantSplit/>
          <w:trHeight w:val="112"/>
        </w:trPr>
        <w:tc>
          <w:tcPr>
            <w:tcW w:w="1500" w:type="dxa"/>
            <w:tcBorders>
              <w:top w:val="dotted" w:sz="8" w:space="0" w:color="FFFFFF"/>
              <w:left w:val="dotted" w:sz="8" w:space="0" w:color="FFFFFF"/>
              <w:bottom w:val="dotted" w:sz="8" w:space="0" w:color="FFFFFF"/>
              <w:right w:val="dotted" w:sz="8" w:space="0" w:color="FFFFFF"/>
            </w:tcBorders>
            <w:tcMar>
              <w:top w:w="100" w:type="dxa"/>
              <w:left w:w="100" w:type="dxa"/>
              <w:bottom w:w="100" w:type="dxa"/>
              <w:right w:w="100" w:type="dxa"/>
            </w:tcMar>
            <w:vAlign w:val="center"/>
          </w:tcPr>
          <w:p w:rsidR="00DC23FA" w:rsidRDefault="009C15B2">
            <w:pPr>
              <w:spacing w:after="0" w:line="240" w:lineRule="auto"/>
              <w:rPr>
                <w:sz w:val="20"/>
                <w:szCs w:val="20"/>
              </w:rPr>
            </w:pPr>
            <w:r>
              <w:rPr>
                <w:b/>
                <w:sz w:val="20"/>
                <w:szCs w:val="20"/>
              </w:rPr>
              <w:t>Process</w:t>
            </w:r>
          </w:p>
        </w:tc>
        <w:tc>
          <w:tcPr>
            <w:tcW w:w="1965" w:type="dxa"/>
            <w:tcBorders>
              <w:top w:val="dotted" w:sz="8" w:space="0" w:color="FFFFFF"/>
              <w:left w:val="dotted" w:sz="8" w:space="0" w:color="FFFFFF"/>
              <w:bottom w:val="dotted" w:sz="8" w:space="0" w:color="FFFFFF"/>
              <w:right w:val="dotted" w:sz="8" w:space="0" w:color="FFFFFF"/>
            </w:tcBorders>
            <w:tcMar>
              <w:top w:w="100" w:type="dxa"/>
              <w:left w:w="100" w:type="dxa"/>
              <w:bottom w:w="100" w:type="dxa"/>
              <w:right w:w="100" w:type="dxa"/>
            </w:tcMar>
            <w:vAlign w:val="center"/>
          </w:tcPr>
          <w:p w:rsidR="00DC23FA" w:rsidRDefault="009C15B2">
            <w:pPr>
              <w:spacing w:after="0" w:line="240" w:lineRule="auto"/>
              <w:rPr>
                <w:sz w:val="20"/>
                <w:szCs w:val="20"/>
              </w:rPr>
            </w:pPr>
            <w:r>
              <w:rPr>
                <w:b/>
                <w:sz w:val="20"/>
                <w:szCs w:val="20"/>
              </w:rPr>
              <w:t>Energy Intensity</w:t>
            </w:r>
          </w:p>
        </w:tc>
        <w:tc>
          <w:tcPr>
            <w:tcW w:w="1710" w:type="dxa"/>
            <w:tcBorders>
              <w:top w:val="dotted" w:sz="8" w:space="0" w:color="FFFFFF"/>
              <w:left w:val="dotted" w:sz="8" w:space="0" w:color="FFFFFF"/>
              <w:bottom w:val="dotted" w:sz="8" w:space="0" w:color="FFFFFF"/>
              <w:right w:val="dotted" w:sz="8" w:space="0" w:color="FFFFFF"/>
            </w:tcBorders>
            <w:vAlign w:val="center"/>
          </w:tcPr>
          <w:p w:rsidR="00DC23FA" w:rsidRDefault="009C15B2">
            <w:pPr>
              <w:spacing w:after="0" w:line="240" w:lineRule="auto"/>
              <w:rPr>
                <w:b/>
                <w:sz w:val="20"/>
                <w:szCs w:val="20"/>
              </w:rPr>
            </w:pPr>
            <w:r>
              <w:rPr>
                <w:b/>
                <w:sz w:val="20"/>
                <w:szCs w:val="20"/>
              </w:rPr>
              <w:t>Financial cost</w:t>
            </w:r>
          </w:p>
        </w:tc>
        <w:tc>
          <w:tcPr>
            <w:tcW w:w="2085" w:type="dxa"/>
            <w:tcBorders>
              <w:top w:val="dotted" w:sz="8" w:space="0" w:color="FFFFFF"/>
              <w:left w:val="dotted" w:sz="8" w:space="0" w:color="FFFFFF"/>
              <w:bottom w:val="dotted" w:sz="8" w:space="0" w:color="FFFFFF"/>
              <w:right w:val="dotted" w:sz="8" w:space="0" w:color="FFFFFF"/>
            </w:tcBorders>
            <w:tcMar>
              <w:top w:w="100" w:type="dxa"/>
              <w:left w:w="100" w:type="dxa"/>
              <w:bottom w:w="100" w:type="dxa"/>
              <w:right w:w="100" w:type="dxa"/>
            </w:tcMar>
            <w:vAlign w:val="center"/>
          </w:tcPr>
          <w:p w:rsidR="00DC23FA" w:rsidRDefault="009C15B2">
            <w:pPr>
              <w:spacing w:after="0" w:line="240" w:lineRule="auto"/>
              <w:rPr>
                <w:sz w:val="20"/>
                <w:szCs w:val="20"/>
              </w:rPr>
            </w:pPr>
            <w:r>
              <w:rPr>
                <w:b/>
                <w:sz w:val="20"/>
                <w:szCs w:val="20"/>
              </w:rPr>
              <w:t>Energy type</w:t>
            </w:r>
          </w:p>
        </w:tc>
        <w:tc>
          <w:tcPr>
            <w:tcW w:w="2295" w:type="dxa"/>
            <w:tcBorders>
              <w:top w:val="dotted" w:sz="8" w:space="0" w:color="FFFFFF"/>
              <w:left w:val="dotted" w:sz="8" w:space="0" w:color="FFFFFF"/>
              <w:bottom w:val="dotted" w:sz="8" w:space="0" w:color="FFFFFF"/>
              <w:right w:val="dotted" w:sz="8" w:space="0" w:color="FFFFFF"/>
            </w:tcBorders>
            <w:tcMar>
              <w:top w:w="100" w:type="dxa"/>
              <w:left w:w="100" w:type="dxa"/>
              <w:bottom w:w="100" w:type="dxa"/>
              <w:right w:w="100" w:type="dxa"/>
            </w:tcMar>
            <w:vAlign w:val="center"/>
          </w:tcPr>
          <w:p w:rsidR="00DC23FA" w:rsidRDefault="009C15B2">
            <w:pPr>
              <w:spacing w:after="0" w:line="240" w:lineRule="auto"/>
              <w:rPr>
                <w:sz w:val="20"/>
                <w:szCs w:val="20"/>
              </w:rPr>
            </w:pPr>
            <w:r>
              <w:rPr>
                <w:b/>
                <w:sz w:val="20"/>
                <w:szCs w:val="20"/>
              </w:rPr>
              <w:t>Demand in GET-ACC2</w:t>
            </w:r>
          </w:p>
        </w:tc>
      </w:tr>
      <w:tr w:rsidR="00DC23FA">
        <w:trPr>
          <w:cantSplit/>
          <w:trHeight w:val="112"/>
        </w:trPr>
        <w:tc>
          <w:tcPr>
            <w:tcW w:w="1500" w:type="dxa"/>
            <w:tcBorders>
              <w:top w:val="dotted" w:sz="8" w:space="0" w:color="FFFFFF"/>
              <w:left w:val="dotted" w:sz="8" w:space="0" w:color="FFFFFF"/>
              <w:bottom w:val="dotted" w:sz="8" w:space="0" w:color="FFFFFF"/>
              <w:right w:val="dotted" w:sz="8" w:space="0" w:color="FFFFFF"/>
            </w:tcBorders>
            <w:tcMar>
              <w:top w:w="100" w:type="dxa"/>
              <w:left w:w="100" w:type="dxa"/>
              <w:bottom w:w="100" w:type="dxa"/>
              <w:right w:w="100" w:type="dxa"/>
            </w:tcMar>
            <w:vAlign w:val="center"/>
          </w:tcPr>
          <w:p w:rsidR="00DC23FA" w:rsidRDefault="009C15B2">
            <w:pPr>
              <w:spacing w:after="0" w:line="240" w:lineRule="auto"/>
              <w:rPr>
                <w:sz w:val="20"/>
                <w:szCs w:val="20"/>
              </w:rPr>
            </w:pPr>
            <w:r>
              <w:rPr>
                <w:sz w:val="20"/>
                <w:szCs w:val="20"/>
              </w:rPr>
              <w:t>Mining</w:t>
            </w:r>
            <w:hyperlink r:id="rId7">
              <w:r>
                <w:rPr>
                  <w:sz w:val="20"/>
                  <w:szCs w:val="20"/>
                  <w:vertAlign w:val="superscript"/>
                </w:rPr>
                <w:t>1</w:t>
              </w:r>
            </w:hyperlink>
          </w:p>
        </w:tc>
        <w:tc>
          <w:tcPr>
            <w:tcW w:w="1965" w:type="dxa"/>
            <w:tcBorders>
              <w:top w:val="dotted" w:sz="8" w:space="0" w:color="FFFFFF"/>
              <w:left w:val="dotted" w:sz="8" w:space="0" w:color="FFFFFF"/>
              <w:bottom w:val="dotted" w:sz="8" w:space="0" w:color="FFFFFF"/>
              <w:right w:val="dotted" w:sz="8" w:space="0" w:color="FFFFFF"/>
            </w:tcBorders>
            <w:tcMar>
              <w:top w:w="100" w:type="dxa"/>
              <w:left w:w="100" w:type="dxa"/>
              <w:bottom w:w="100" w:type="dxa"/>
              <w:right w:w="100" w:type="dxa"/>
            </w:tcMar>
            <w:vAlign w:val="center"/>
          </w:tcPr>
          <w:p w:rsidR="00DC23FA" w:rsidRDefault="009C15B2">
            <w:pPr>
              <w:spacing w:after="0" w:line="240" w:lineRule="auto"/>
              <w:rPr>
                <w:sz w:val="20"/>
                <w:szCs w:val="20"/>
              </w:rPr>
            </w:pPr>
            <w:r>
              <w:rPr>
                <w:sz w:val="20"/>
                <w:szCs w:val="20"/>
              </w:rPr>
              <w:t>0.02 EJ/Gt</w:t>
            </w:r>
          </w:p>
        </w:tc>
        <w:tc>
          <w:tcPr>
            <w:tcW w:w="1710" w:type="dxa"/>
            <w:tcBorders>
              <w:top w:val="dotted" w:sz="8" w:space="0" w:color="FFFFFF"/>
              <w:left w:val="dotted" w:sz="8" w:space="0" w:color="FFFFFF"/>
              <w:bottom w:val="dotted" w:sz="8" w:space="0" w:color="FFFFFF"/>
              <w:right w:val="dotted" w:sz="8" w:space="0" w:color="FFFFFF"/>
            </w:tcBorders>
            <w:vAlign w:val="center"/>
          </w:tcPr>
          <w:p w:rsidR="00DC23FA" w:rsidRDefault="009C15B2">
            <w:pPr>
              <w:spacing w:after="0" w:line="240" w:lineRule="auto"/>
              <w:rPr>
                <w:sz w:val="20"/>
                <w:szCs w:val="20"/>
              </w:rPr>
            </w:pPr>
            <w:r>
              <w:rPr>
                <w:sz w:val="20"/>
                <w:szCs w:val="20"/>
              </w:rPr>
              <w:t>-</w:t>
            </w:r>
          </w:p>
        </w:tc>
        <w:tc>
          <w:tcPr>
            <w:tcW w:w="2085" w:type="dxa"/>
            <w:tcBorders>
              <w:top w:val="dotted" w:sz="8" w:space="0" w:color="FFFFFF"/>
              <w:left w:val="dotted" w:sz="8" w:space="0" w:color="FFFFFF"/>
              <w:bottom w:val="dotted" w:sz="8" w:space="0" w:color="FFFFFF"/>
              <w:right w:val="dotted" w:sz="8" w:space="0" w:color="FFFFFF"/>
            </w:tcBorders>
            <w:tcMar>
              <w:top w:w="100" w:type="dxa"/>
              <w:left w:w="100" w:type="dxa"/>
              <w:bottom w:w="100" w:type="dxa"/>
              <w:right w:w="100" w:type="dxa"/>
            </w:tcMar>
            <w:vAlign w:val="center"/>
          </w:tcPr>
          <w:p w:rsidR="00DC23FA" w:rsidRDefault="009C15B2">
            <w:pPr>
              <w:spacing w:after="0" w:line="240" w:lineRule="auto"/>
              <w:rPr>
                <w:sz w:val="20"/>
                <w:szCs w:val="20"/>
              </w:rPr>
            </w:pPr>
            <w:r>
              <w:rPr>
                <w:sz w:val="20"/>
                <w:szCs w:val="20"/>
              </w:rPr>
              <w:t>Diesel</w:t>
            </w:r>
          </w:p>
        </w:tc>
        <w:tc>
          <w:tcPr>
            <w:tcW w:w="2295" w:type="dxa"/>
            <w:tcBorders>
              <w:top w:val="dotted" w:sz="8" w:space="0" w:color="FFFFFF"/>
              <w:left w:val="dotted" w:sz="8" w:space="0" w:color="FFFFFF"/>
              <w:bottom w:val="dotted" w:sz="8" w:space="0" w:color="FFFFFF"/>
              <w:right w:val="dotted" w:sz="8" w:space="0" w:color="FFFFFF"/>
            </w:tcBorders>
            <w:tcMar>
              <w:top w:w="100" w:type="dxa"/>
              <w:left w:w="100" w:type="dxa"/>
              <w:bottom w:w="100" w:type="dxa"/>
              <w:right w:w="100" w:type="dxa"/>
            </w:tcMar>
            <w:vAlign w:val="center"/>
          </w:tcPr>
          <w:p w:rsidR="00DC23FA" w:rsidRDefault="009C15B2">
            <w:pPr>
              <w:spacing w:after="0" w:line="240" w:lineRule="auto"/>
              <w:rPr>
                <w:sz w:val="20"/>
                <w:szCs w:val="20"/>
              </w:rPr>
            </w:pPr>
            <w:r>
              <w:rPr>
                <w:sz w:val="20"/>
                <w:szCs w:val="20"/>
              </w:rPr>
              <w:t>Diesel or gasoline</w:t>
            </w:r>
          </w:p>
        </w:tc>
      </w:tr>
      <w:tr w:rsidR="00DC23FA">
        <w:trPr>
          <w:cantSplit/>
          <w:trHeight w:val="112"/>
        </w:trPr>
        <w:tc>
          <w:tcPr>
            <w:tcW w:w="1500" w:type="dxa"/>
            <w:tcBorders>
              <w:top w:val="dotted" w:sz="8" w:space="0" w:color="FFFFFF"/>
              <w:left w:val="dotted" w:sz="8" w:space="0" w:color="FFFFFF"/>
              <w:bottom w:val="dotted" w:sz="8" w:space="0" w:color="FFFFFF"/>
              <w:right w:val="dotted" w:sz="8" w:space="0" w:color="FFFFFF"/>
            </w:tcBorders>
            <w:tcMar>
              <w:top w:w="100" w:type="dxa"/>
              <w:left w:w="100" w:type="dxa"/>
              <w:bottom w:w="100" w:type="dxa"/>
              <w:right w:w="100" w:type="dxa"/>
            </w:tcMar>
            <w:vAlign w:val="center"/>
          </w:tcPr>
          <w:p w:rsidR="00DC23FA" w:rsidRDefault="009C15B2">
            <w:pPr>
              <w:spacing w:after="0" w:line="240" w:lineRule="auto"/>
              <w:rPr>
                <w:sz w:val="20"/>
                <w:szCs w:val="20"/>
              </w:rPr>
            </w:pPr>
            <w:r>
              <w:rPr>
                <w:sz w:val="20"/>
                <w:szCs w:val="20"/>
              </w:rPr>
              <w:t>Mining and Crushing</w:t>
            </w:r>
            <w:hyperlink r:id="rId8">
              <w:r>
                <w:rPr>
                  <w:sz w:val="20"/>
                  <w:szCs w:val="20"/>
                  <w:vertAlign w:val="superscript"/>
                </w:rPr>
                <w:t>2</w:t>
              </w:r>
            </w:hyperlink>
          </w:p>
        </w:tc>
        <w:tc>
          <w:tcPr>
            <w:tcW w:w="1965" w:type="dxa"/>
            <w:tcBorders>
              <w:top w:val="dotted" w:sz="8" w:space="0" w:color="FFFFFF"/>
              <w:left w:val="dotted" w:sz="8" w:space="0" w:color="FFFFFF"/>
              <w:bottom w:val="dotted" w:sz="8" w:space="0" w:color="FFFFFF"/>
              <w:right w:val="dotted" w:sz="8" w:space="0" w:color="FFFFFF"/>
            </w:tcBorders>
            <w:tcMar>
              <w:top w:w="100" w:type="dxa"/>
              <w:left w:w="100" w:type="dxa"/>
              <w:bottom w:w="100" w:type="dxa"/>
              <w:right w:w="100" w:type="dxa"/>
            </w:tcMar>
            <w:vAlign w:val="center"/>
          </w:tcPr>
          <w:p w:rsidR="00DC23FA" w:rsidRDefault="009C15B2">
            <w:pPr>
              <w:spacing w:after="0" w:line="240" w:lineRule="auto"/>
              <w:rPr>
                <w:sz w:val="20"/>
                <w:szCs w:val="20"/>
              </w:rPr>
            </w:pPr>
            <w:r>
              <w:rPr>
                <w:sz w:val="20"/>
                <w:szCs w:val="20"/>
              </w:rPr>
              <w:t>0.02 EJ/Gt</w:t>
            </w:r>
          </w:p>
        </w:tc>
        <w:tc>
          <w:tcPr>
            <w:tcW w:w="1710" w:type="dxa"/>
            <w:tcBorders>
              <w:top w:val="dotted" w:sz="8" w:space="0" w:color="FFFFFF"/>
              <w:left w:val="dotted" w:sz="8" w:space="0" w:color="FFFFFF"/>
              <w:bottom w:val="dotted" w:sz="8" w:space="0" w:color="FFFFFF"/>
              <w:right w:val="dotted" w:sz="8" w:space="0" w:color="FFFFFF"/>
            </w:tcBorders>
            <w:vAlign w:val="center"/>
          </w:tcPr>
          <w:p w:rsidR="00DC23FA" w:rsidRDefault="009C15B2">
            <w:pPr>
              <w:spacing w:after="0" w:line="240" w:lineRule="auto"/>
              <w:rPr>
                <w:sz w:val="20"/>
                <w:szCs w:val="20"/>
              </w:rPr>
            </w:pPr>
            <w:r>
              <w:rPr>
                <w:sz w:val="20"/>
                <w:szCs w:val="20"/>
              </w:rPr>
              <w:t>27.3$/t</w:t>
            </w:r>
          </w:p>
        </w:tc>
        <w:tc>
          <w:tcPr>
            <w:tcW w:w="2085" w:type="dxa"/>
            <w:tcBorders>
              <w:top w:val="dotted" w:sz="8" w:space="0" w:color="FFFFFF"/>
              <w:left w:val="dotted" w:sz="8" w:space="0" w:color="FFFFFF"/>
              <w:bottom w:val="dotted" w:sz="8" w:space="0" w:color="FFFFFF"/>
              <w:right w:val="dotted" w:sz="8" w:space="0" w:color="FFFFFF"/>
            </w:tcBorders>
            <w:tcMar>
              <w:top w:w="100" w:type="dxa"/>
              <w:left w:w="100" w:type="dxa"/>
              <w:bottom w:w="100" w:type="dxa"/>
              <w:right w:w="100" w:type="dxa"/>
            </w:tcMar>
            <w:vAlign w:val="center"/>
          </w:tcPr>
          <w:p w:rsidR="00DC23FA" w:rsidRDefault="009C15B2">
            <w:pPr>
              <w:spacing w:after="0" w:line="240" w:lineRule="auto"/>
              <w:rPr>
                <w:sz w:val="20"/>
                <w:szCs w:val="20"/>
              </w:rPr>
            </w:pPr>
            <w:r>
              <w:rPr>
                <w:sz w:val="20"/>
                <w:szCs w:val="20"/>
              </w:rPr>
              <w:t>Electricity</w:t>
            </w:r>
          </w:p>
        </w:tc>
        <w:tc>
          <w:tcPr>
            <w:tcW w:w="2295" w:type="dxa"/>
            <w:tcBorders>
              <w:top w:val="dotted" w:sz="8" w:space="0" w:color="FFFFFF"/>
              <w:left w:val="dotted" w:sz="8" w:space="0" w:color="FFFFFF"/>
              <w:bottom w:val="dotted" w:sz="8" w:space="0" w:color="FFFFFF"/>
              <w:right w:val="dotted" w:sz="8" w:space="0" w:color="FFFFFF"/>
            </w:tcBorders>
            <w:tcMar>
              <w:top w:w="100" w:type="dxa"/>
              <w:left w:w="100" w:type="dxa"/>
              <w:bottom w:w="100" w:type="dxa"/>
              <w:right w:w="100" w:type="dxa"/>
            </w:tcMar>
            <w:vAlign w:val="center"/>
          </w:tcPr>
          <w:p w:rsidR="00DC23FA" w:rsidRDefault="009C15B2">
            <w:pPr>
              <w:spacing w:after="0" w:line="240" w:lineRule="auto"/>
              <w:rPr>
                <w:sz w:val="20"/>
                <w:szCs w:val="20"/>
              </w:rPr>
            </w:pPr>
            <w:r>
              <w:rPr>
                <w:sz w:val="20"/>
                <w:szCs w:val="20"/>
              </w:rPr>
              <w:t>Electricity</w:t>
            </w:r>
          </w:p>
        </w:tc>
      </w:tr>
      <w:tr w:rsidR="00DC23FA">
        <w:trPr>
          <w:cantSplit/>
          <w:trHeight w:val="112"/>
        </w:trPr>
        <w:tc>
          <w:tcPr>
            <w:tcW w:w="1500" w:type="dxa"/>
            <w:tcBorders>
              <w:top w:val="dotted" w:sz="8" w:space="0" w:color="FFFFFF"/>
              <w:left w:val="dotted" w:sz="8" w:space="0" w:color="FFFFFF"/>
              <w:bottom w:val="dotted" w:sz="8" w:space="0" w:color="FFFFFF"/>
              <w:right w:val="dotted" w:sz="8" w:space="0" w:color="FFFFFF"/>
            </w:tcBorders>
            <w:tcMar>
              <w:top w:w="100" w:type="dxa"/>
              <w:left w:w="100" w:type="dxa"/>
              <w:bottom w:w="100" w:type="dxa"/>
              <w:right w:w="100" w:type="dxa"/>
            </w:tcMar>
            <w:vAlign w:val="center"/>
          </w:tcPr>
          <w:p w:rsidR="00DC23FA" w:rsidRDefault="009C15B2">
            <w:pPr>
              <w:spacing w:after="0" w:line="240" w:lineRule="auto"/>
              <w:rPr>
                <w:sz w:val="20"/>
                <w:szCs w:val="20"/>
              </w:rPr>
            </w:pPr>
            <w:r>
              <w:rPr>
                <w:sz w:val="20"/>
                <w:szCs w:val="20"/>
              </w:rPr>
              <w:t>Grinding</w:t>
            </w:r>
            <w:hyperlink r:id="rId9">
              <w:r>
                <w:rPr>
                  <w:sz w:val="20"/>
                  <w:szCs w:val="20"/>
                  <w:vertAlign w:val="superscript"/>
                </w:rPr>
                <w:t>2</w:t>
              </w:r>
            </w:hyperlink>
          </w:p>
        </w:tc>
        <w:tc>
          <w:tcPr>
            <w:tcW w:w="1965" w:type="dxa"/>
            <w:tcBorders>
              <w:top w:val="dotted" w:sz="8" w:space="0" w:color="FFFFFF"/>
              <w:left w:val="dotted" w:sz="8" w:space="0" w:color="FFFFFF"/>
              <w:bottom w:val="dotted" w:sz="8" w:space="0" w:color="FFFFFF"/>
              <w:right w:val="dotted" w:sz="8" w:space="0" w:color="FFFFFF"/>
            </w:tcBorders>
            <w:tcMar>
              <w:top w:w="100" w:type="dxa"/>
              <w:left w:w="100" w:type="dxa"/>
              <w:bottom w:w="100" w:type="dxa"/>
              <w:right w:w="100" w:type="dxa"/>
            </w:tcMar>
            <w:vAlign w:val="center"/>
          </w:tcPr>
          <w:p w:rsidR="00DC23FA" w:rsidRDefault="009C15B2">
            <w:pPr>
              <w:spacing w:after="0" w:line="240" w:lineRule="auto"/>
              <w:rPr>
                <w:sz w:val="20"/>
                <w:szCs w:val="20"/>
              </w:rPr>
            </w:pPr>
            <w:r>
              <w:rPr>
                <w:sz w:val="20"/>
                <w:szCs w:val="20"/>
              </w:rPr>
              <w:t>0.06-0.</w:t>
            </w:r>
            <w:proofErr w:type="gramStart"/>
            <w:r>
              <w:rPr>
                <w:sz w:val="20"/>
                <w:szCs w:val="20"/>
              </w:rPr>
              <w:t>6  EJ</w:t>
            </w:r>
            <w:proofErr w:type="gramEnd"/>
            <w:r>
              <w:rPr>
                <w:sz w:val="20"/>
                <w:szCs w:val="20"/>
              </w:rPr>
              <w:t>/Gt</w:t>
            </w:r>
          </w:p>
        </w:tc>
        <w:tc>
          <w:tcPr>
            <w:tcW w:w="1710" w:type="dxa"/>
            <w:tcBorders>
              <w:top w:val="dotted" w:sz="8" w:space="0" w:color="FFFFFF"/>
              <w:left w:val="dotted" w:sz="8" w:space="0" w:color="FFFFFF"/>
              <w:bottom w:val="dotted" w:sz="8" w:space="0" w:color="FFFFFF"/>
              <w:right w:val="dotted" w:sz="8" w:space="0" w:color="FFFFFF"/>
            </w:tcBorders>
            <w:vAlign w:val="center"/>
          </w:tcPr>
          <w:p w:rsidR="00DC23FA" w:rsidRDefault="009C15B2">
            <w:pPr>
              <w:spacing w:after="0" w:line="240" w:lineRule="auto"/>
              <w:rPr>
                <w:sz w:val="20"/>
                <w:szCs w:val="20"/>
              </w:rPr>
            </w:pPr>
            <w:r>
              <w:rPr>
                <w:sz w:val="20"/>
                <w:szCs w:val="20"/>
              </w:rPr>
              <w:t>-</w:t>
            </w:r>
          </w:p>
        </w:tc>
        <w:tc>
          <w:tcPr>
            <w:tcW w:w="2085" w:type="dxa"/>
            <w:tcBorders>
              <w:top w:val="dotted" w:sz="8" w:space="0" w:color="FFFFFF"/>
              <w:left w:val="dotted" w:sz="8" w:space="0" w:color="FFFFFF"/>
              <w:bottom w:val="dotted" w:sz="8" w:space="0" w:color="FFFFFF"/>
              <w:right w:val="dotted" w:sz="8" w:space="0" w:color="FFFFFF"/>
            </w:tcBorders>
            <w:tcMar>
              <w:top w:w="100" w:type="dxa"/>
              <w:left w:w="100" w:type="dxa"/>
              <w:bottom w:w="100" w:type="dxa"/>
              <w:right w:w="100" w:type="dxa"/>
            </w:tcMar>
            <w:vAlign w:val="center"/>
          </w:tcPr>
          <w:p w:rsidR="00DC23FA" w:rsidRDefault="009C15B2">
            <w:pPr>
              <w:spacing w:after="0" w:line="240" w:lineRule="auto"/>
              <w:rPr>
                <w:sz w:val="20"/>
                <w:szCs w:val="20"/>
              </w:rPr>
            </w:pPr>
            <w:r>
              <w:rPr>
                <w:sz w:val="20"/>
                <w:szCs w:val="20"/>
              </w:rPr>
              <w:t>Electricity</w:t>
            </w:r>
          </w:p>
        </w:tc>
        <w:tc>
          <w:tcPr>
            <w:tcW w:w="2295" w:type="dxa"/>
            <w:tcBorders>
              <w:top w:val="dotted" w:sz="8" w:space="0" w:color="FFFFFF"/>
              <w:left w:val="dotted" w:sz="8" w:space="0" w:color="FFFFFF"/>
              <w:bottom w:val="dotted" w:sz="8" w:space="0" w:color="FFFFFF"/>
              <w:right w:val="dotted" w:sz="8" w:space="0" w:color="FFFFFF"/>
            </w:tcBorders>
            <w:tcMar>
              <w:top w:w="100" w:type="dxa"/>
              <w:left w:w="100" w:type="dxa"/>
              <w:bottom w:w="100" w:type="dxa"/>
              <w:right w:w="100" w:type="dxa"/>
            </w:tcMar>
            <w:vAlign w:val="center"/>
          </w:tcPr>
          <w:p w:rsidR="00DC23FA" w:rsidRDefault="009C15B2">
            <w:pPr>
              <w:spacing w:after="0" w:line="240" w:lineRule="auto"/>
              <w:rPr>
                <w:sz w:val="20"/>
                <w:szCs w:val="20"/>
              </w:rPr>
            </w:pPr>
            <w:r>
              <w:rPr>
                <w:sz w:val="20"/>
                <w:szCs w:val="20"/>
              </w:rPr>
              <w:t>E</w:t>
            </w:r>
            <w:r>
              <w:rPr>
                <w:sz w:val="20"/>
                <w:szCs w:val="20"/>
              </w:rPr>
              <w:t>lectricity</w:t>
            </w:r>
          </w:p>
        </w:tc>
      </w:tr>
      <w:tr w:rsidR="00DC23FA">
        <w:trPr>
          <w:cantSplit/>
          <w:trHeight w:val="112"/>
        </w:trPr>
        <w:tc>
          <w:tcPr>
            <w:tcW w:w="1500" w:type="dxa"/>
            <w:tcBorders>
              <w:top w:val="dotted" w:sz="8" w:space="0" w:color="FFFFFF"/>
              <w:left w:val="dotted" w:sz="8" w:space="0" w:color="FFFFFF"/>
              <w:bottom w:val="dotted" w:sz="8" w:space="0" w:color="FFFFFF"/>
              <w:right w:val="dotted" w:sz="8" w:space="0" w:color="FFFFFF"/>
            </w:tcBorders>
            <w:tcMar>
              <w:top w:w="100" w:type="dxa"/>
              <w:left w:w="100" w:type="dxa"/>
              <w:bottom w:w="100" w:type="dxa"/>
              <w:right w:w="100" w:type="dxa"/>
            </w:tcMar>
            <w:vAlign w:val="center"/>
          </w:tcPr>
          <w:p w:rsidR="00DC23FA" w:rsidRDefault="009C15B2">
            <w:pPr>
              <w:spacing w:after="0" w:line="240" w:lineRule="auto"/>
              <w:rPr>
                <w:sz w:val="20"/>
                <w:szCs w:val="20"/>
              </w:rPr>
            </w:pPr>
            <w:r>
              <w:rPr>
                <w:sz w:val="20"/>
                <w:szCs w:val="20"/>
              </w:rPr>
              <w:t>Road Transport</w:t>
            </w:r>
            <w:hyperlink r:id="rId10">
              <w:r>
                <w:rPr>
                  <w:sz w:val="20"/>
                  <w:szCs w:val="20"/>
                  <w:vertAlign w:val="superscript"/>
                </w:rPr>
                <w:t>3</w:t>
              </w:r>
            </w:hyperlink>
          </w:p>
        </w:tc>
        <w:tc>
          <w:tcPr>
            <w:tcW w:w="1965" w:type="dxa"/>
            <w:tcBorders>
              <w:top w:val="dotted" w:sz="8" w:space="0" w:color="FFFFFF"/>
              <w:left w:val="dotted" w:sz="8" w:space="0" w:color="FFFFFF"/>
              <w:bottom w:val="dotted" w:sz="8" w:space="0" w:color="FFFFFF"/>
              <w:right w:val="dotted" w:sz="8" w:space="0" w:color="FFFFFF"/>
            </w:tcBorders>
            <w:tcMar>
              <w:top w:w="100" w:type="dxa"/>
              <w:left w:w="100" w:type="dxa"/>
              <w:bottom w:w="100" w:type="dxa"/>
              <w:right w:w="100" w:type="dxa"/>
            </w:tcMar>
            <w:vAlign w:val="center"/>
          </w:tcPr>
          <w:p w:rsidR="00DC23FA" w:rsidRDefault="009C15B2">
            <w:pPr>
              <w:spacing w:after="0" w:line="240" w:lineRule="auto"/>
              <w:rPr>
                <w:sz w:val="20"/>
                <w:szCs w:val="20"/>
              </w:rPr>
            </w:pPr>
            <w:r>
              <w:rPr>
                <w:sz w:val="20"/>
                <w:szCs w:val="20"/>
              </w:rPr>
              <w:t>0.0013 EJ/Gt/km</w:t>
            </w:r>
          </w:p>
        </w:tc>
        <w:tc>
          <w:tcPr>
            <w:tcW w:w="1710" w:type="dxa"/>
            <w:tcBorders>
              <w:top w:val="dotted" w:sz="8" w:space="0" w:color="FFFFFF"/>
              <w:left w:val="dotted" w:sz="8" w:space="0" w:color="FFFFFF"/>
              <w:bottom w:val="dotted" w:sz="8" w:space="0" w:color="FFFFFF"/>
              <w:right w:val="dotted" w:sz="8" w:space="0" w:color="FFFFFF"/>
            </w:tcBorders>
            <w:vAlign w:val="center"/>
          </w:tcPr>
          <w:p w:rsidR="00DC23FA" w:rsidRDefault="009C15B2">
            <w:pPr>
              <w:spacing w:after="0" w:line="240" w:lineRule="auto"/>
              <w:rPr>
                <w:sz w:val="20"/>
                <w:szCs w:val="20"/>
              </w:rPr>
            </w:pPr>
            <w:r>
              <w:rPr>
                <w:sz w:val="20"/>
                <w:szCs w:val="20"/>
              </w:rPr>
              <w:t>-</w:t>
            </w:r>
          </w:p>
        </w:tc>
        <w:tc>
          <w:tcPr>
            <w:tcW w:w="2085" w:type="dxa"/>
            <w:tcBorders>
              <w:top w:val="dotted" w:sz="8" w:space="0" w:color="FFFFFF"/>
              <w:left w:val="dotted" w:sz="8" w:space="0" w:color="FFFFFF"/>
              <w:bottom w:val="dotted" w:sz="8" w:space="0" w:color="FFFFFF"/>
              <w:right w:val="dotted" w:sz="8" w:space="0" w:color="FFFFFF"/>
            </w:tcBorders>
            <w:tcMar>
              <w:top w:w="100" w:type="dxa"/>
              <w:left w:w="100" w:type="dxa"/>
              <w:bottom w:w="100" w:type="dxa"/>
              <w:right w:w="100" w:type="dxa"/>
            </w:tcMar>
            <w:vAlign w:val="center"/>
          </w:tcPr>
          <w:p w:rsidR="00DC23FA" w:rsidRDefault="009C15B2">
            <w:pPr>
              <w:spacing w:after="0" w:line="240" w:lineRule="auto"/>
              <w:rPr>
                <w:sz w:val="20"/>
                <w:szCs w:val="20"/>
              </w:rPr>
            </w:pPr>
            <w:r>
              <w:rPr>
                <w:sz w:val="20"/>
                <w:szCs w:val="20"/>
              </w:rPr>
              <w:t>Endogenous</w:t>
            </w:r>
          </w:p>
        </w:tc>
        <w:tc>
          <w:tcPr>
            <w:tcW w:w="2295" w:type="dxa"/>
            <w:tcBorders>
              <w:top w:val="dotted" w:sz="8" w:space="0" w:color="FFFFFF"/>
              <w:left w:val="dotted" w:sz="8" w:space="0" w:color="FFFFFF"/>
              <w:bottom w:val="dotted" w:sz="8" w:space="0" w:color="FFFFFF"/>
              <w:right w:val="dotted" w:sz="8" w:space="0" w:color="FFFFFF"/>
            </w:tcBorders>
            <w:tcMar>
              <w:top w:w="100" w:type="dxa"/>
              <w:left w:w="100" w:type="dxa"/>
              <w:bottom w:w="100" w:type="dxa"/>
              <w:right w:w="100" w:type="dxa"/>
            </w:tcMar>
            <w:vAlign w:val="center"/>
          </w:tcPr>
          <w:p w:rsidR="00DC23FA" w:rsidRDefault="009C15B2">
            <w:pPr>
              <w:spacing w:after="0" w:line="240" w:lineRule="auto"/>
              <w:rPr>
                <w:sz w:val="20"/>
                <w:szCs w:val="20"/>
              </w:rPr>
            </w:pPr>
            <w:r>
              <w:rPr>
                <w:sz w:val="20"/>
                <w:szCs w:val="20"/>
              </w:rPr>
              <w:t>Road freight</w:t>
            </w:r>
          </w:p>
        </w:tc>
      </w:tr>
      <w:tr w:rsidR="00DC23FA">
        <w:trPr>
          <w:cantSplit/>
          <w:trHeight w:val="112"/>
        </w:trPr>
        <w:tc>
          <w:tcPr>
            <w:tcW w:w="1500" w:type="dxa"/>
            <w:tcBorders>
              <w:top w:val="dotted" w:sz="8" w:space="0" w:color="FFFFFF"/>
              <w:left w:val="dotted" w:sz="8" w:space="0" w:color="FFFFFF"/>
              <w:bottom w:val="dotted" w:sz="8" w:space="0" w:color="FFFFFF"/>
              <w:right w:val="dotted" w:sz="8" w:space="0" w:color="FFFFFF"/>
            </w:tcBorders>
            <w:tcMar>
              <w:top w:w="100" w:type="dxa"/>
              <w:left w:w="100" w:type="dxa"/>
              <w:bottom w:w="100" w:type="dxa"/>
              <w:right w:w="100" w:type="dxa"/>
            </w:tcMar>
            <w:vAlign w:val="center"/>
          </w:tcPr>
          <w:p w:rsidR="00DC23FA" w:rsidRDefault="009C15B2">
            <w:pPr>
              <w:spacing w:after="0" w:line="240" w:lineRule="auto"/>
              <w:rPr>
                <w:sz w:val="20"/>
                <w:szCs w:val="20"/>
              </w:rPr>
            </w:pPr>
            <w:r>
              <w:rPr>
                <w:sz w:val="20"/>
                <w:szCs w:val="20"/>
              </w:rPr>
              <w:t>Sea and rail transport</w:t>
            </w:r>
            <w:hyperlink r:id="rId11">
              <w:r>
                <w:rPr>
                  <w:sz w:val="20"/>
                  <w:szCs w:val="20"/>
                  <w:vertAlign w:val="superscript"/>
                </w:rPr>
                <w:t>3</w:t>
              </w:r>
            </w:hyperlink>
          </w:p>
        </w:tc>
        <w:tc>
          <w:tcPr>
            <w:tcW w:w="1965" w:type="dxa"/>
            <w:tcBorders>
              <w:top w:val="dotted" w:sz="8" w:space="0" w:color="FFFFFF"/>
              <w:left w:val="dotted" w:sz="8" w:space="0" w:color="FFFFFF"/>
              <w:bottom w:val="dotted" w:sz="8" w:space="0" w:color="FFFFFF"/>
              <w:right w:val="dotted" w:sz="8" w:space="0" w:color="FFFFFF"/>
            </w:tcBorders>
            <w:tcMar>
              <w:top w:w="100" w:type="dxa"/>
              <w:left w:w="100" w:type="dxa"/>
              <w:bottom w:w="100" w:type="dxa"/>
              <w:right w:w="100" w:type="dxa"/>
            </w:tcMar>
            <w:vAlign w:val="center"/>
          </w:tcPr>
          <w:p w:rsidR="00DC23FA" w:rsidRDefault="009C15B2">
            <w:pPr>
              <w:spacing w:after="0" w:line="240" w:lineRule="auto"/>
              <w:rPr>
                <w:sz w:val="20"/>
                <w:szCs w:val="20"/>
              </w:rPr>
            </w:pPr>
            <w:r>
              <w:rPr>
                <w:sz w:val="20"/>
                <w:szCs w:val="20"/>
              </w:rPr>
              <w:t>0.0002 EJ/Gt/km</w:t>
            </w:r>
          </w:p>
        </w:tc>
        <w:tc>
          <w:tcPr>
            <w:tcW w:w="1710" w:type="dxa"/>
            <w:tcBorders>
              <w:top w:val="dotted" w:sz="8" w:space="0" w:color="FFFFFF"/>
              <w:left w:val="dotted" w:sz="8" w:space="0" w:color="FFFFFF"/>
              <w:bottom w:val="dotted" w:sz="8" w:space="0" w:color="FFFFFF"/>
              <w:right w:val="dotted" w:sz="8" w:space="0" w:color="FFFFFF"/>
            </w:tcBorders>
            <w:vAlign w:val="center"/>
          </w:tcPr>
          <w:p w:rsidR="00DC23FA" w:rsidRDefault="009C15B2">
            <w:pPr>
              <w:spacing w:after="0" w:line="240" w:lineRule="auto"/>
              <w:rPr>
                <w:sz w:val="20"/>
                <w:szCs w:val="20"/>
              </w:rPr>
            </w:pPr>
            <w:r>
              <w:rPr>
                <w:sz w:val="20"/>
                <w:szCs w:val="20"/>
              </w:rPr>
              <w:t>-</w:t>
            </w:r>
          </w:p>
        </w:tc>
        <w:tc>
          <w:tcPr>
            <w:tcW w:w="2085" w:type="dxa"/>
            <w:tcBorders>
              <w:top w:val="dotted" w:sz="8" w:space="0" w:color="FFFFFF"/>
              <w:left w:val="dotted" w:sz="8" w:space="0" w:color="FFFFFF"/>
              <w:bottom w:val="dotted" w:sz="8" w:space="0" w:color="FFFFFF"/>
              <w:right w:val="dotted" w:sz="8" w:space="0" w:color="FFFFFF"/>
            </w:tcBorders>
            <w:tcMar>
              <w:top w:w="100" w:type="dxa"/>
              <w:left w:w="100" w:type="dxa"/>
              <w:bottom w:w="100" w:type="dxa"/>
              <w:right w:w="100" w:type="dxa"/>
            </w:tcMar>
            <w:vAlign w:val="center"/>
          </w:tcPr>
          <w:p w:rsidR="00DC23FA" w:rsidRDefault="009C15B2">
            <w:pPr>
              <w:spacing w:after="0" w:line="240" w:lineRule="auto"/>
              <w:rPr>
                <w:sz w:val="20"/>
                <w:szCs w:val="20"/>
              </w:rPr>
            </w:pPr>
            <w:r>
              <w:rPr>
                <w:sz w:val="20"/>
                <w:szCs w:val="20"/>
              </w:rPr>
              <w:t>Endogenous</w:t>
            </w:r>
          </w:p>
        </w:tc>
        <w:tc>
          <w:tcPr>
            <w:tcW w:w="2295" w:type="dxa"/>
            <w:tcBorders>
              <w:top w:val="dotted" w:sz="8" w:space="0" w:color="FFFFFF"/>
              <w:left w:val="dotted" w:sz="8" w:space="0" w:color="FFFFFF"/>
              <w:bottom w:val="dotted" w:sz="8" w:space="0" w:color="FFFFFF"/>
              <w:right w:val="dotted" w:sz="8" w:space="0" w:color="FFFFFF"/>
            </w:tcBorders>
            <w:tcMar>
              <w:top w:w="100" w:type="dxa"/>
              <w:left w:w="100" w:type="dxa"/>
              <w:bottom w:w="100" w:type="dxa"/>
              <w:right w:w="100" w:type="dxa"/>
            </w:tcMar>
            <w:vAlign w:val="center"/>
          </w:tcPr>
          <w:p w:rsidR="00DC23FA" w:rsidRDefault="009C15B2">
            <w:pPr>
              <w:spacing w:after="0" w:line="240" w:lineRule="auto"/>
              <w:rPr>
                <w:sz w:val="20"/>
                <w:szCs w:val="20"/>
              </w:rPr>
            </w:pPr>
            <w:r>
              <w:rPr>
                <w:sz w:val="20"/>
                <w:szCs w:val="20"/>
              </w:rPr>
              <w:t>Sea or rail freight</w:t>
            </w:r>
          </w:p>
        </w:tc>
      </w:tr>
      <w:tr w:rsidR="00DC23FA">
        <w:trPr>
          <w:cantSplit/>
          <w:trHeight w:val="112"/>
        </w:trPr>
        <w:tc>
          <w:tcPr>
            <w:tcW w:w="1500" w:type="dxa"/>
            <w:tcBorders>
              <w:top w:val="dotted" w:sz="8" w:space="0" w:color="FFFFFF"/>
              <w:left w:val="dotted" w:sz="8" w:space="0" w:color="FFFFFF"/>
              <w:bottom w:val="dotted" w:sz="8" w:space="0" w:color="FFFFFF"/>
              <w:right w:val="dotted" w:sz="8" w:space="0" w:color="FFFFFF"/>
            </w:tcBorders>
            <w:tcMar>
              <w:top w:w="100" w:type="dxa"/>
              <w:left w:w="100" w:type="dxa"/>
              <w:bottom w:w="100" w:type="dxa"/>
              <w:right w:w="100" w:type="dxa"/>
            </w:tcMar>
            <w:vAlign w:val="center"/>
          </w:tcPr>
          <w:p w:rsidR="00DC23FA" w:rsidRDefault="009C15B2">
            <w:pPr>
              <w:spacing w:after="0" w:line="240" w:lineRule="auto"/>
              <w:rPr>
                <w:sz w:val="20"/>
                <w:szCs w:val="20"/>
              </w:rPr>
            </w:pPr>
            <w:r>
              <w:rPr>
                <w:sz w:val="20"/>
                <w:szCs w:val="20"/>
              </w:rPr>
              <w:t>Spreading (tractors)</w:t>
            </w:r>
            <w:hyperlink r:id="rId12">
              <w:r>
                <w:rPr>
                  <w:sz w:val="20"/>
                  <w:szCs w:val="20"/>
                  <w:vertAlign w:val="superscript"/>
                </w:rPr>
                <w:t>4</w:t>
              </w:r>
            </w:hyperlink>
          </w:p>
        </w:tc>
        <w:tc>
          <w:tcPr>
            <w:tcW w:w="1965" w:type="dxa"/>
            <w:tcBorders>
              <w:top w:val="dotted" w:sz="8" w:space="0" w:color="FFFFFF"/>
              <w:left w:val="dotted" w:sz="8" w:space="0" w:color="FFFFFF"/>
              <w:bottom w:val="dotted" w:sz="8" w:space="0" w:color="FFFFFF"/>
              <w:right w:val="dotted" w:sz="8" w:space="0" w:color="FFFFFF"/>
            </w:tcBorders>
            <w:tcMar>
              <w:top w:w="100" w:type="dxa"/>
              <w:left w:w="100" w:type="dxa"/>
              <w:bottom w:w="100" w:type="dxa"/>
              <w:right w:w="100" w:type="dxa"/>
            </w:tcMar>
            <w:vAlign w:val="center"/>
          </w:tcPr>
          <w:p w:rsidR="00DC23FA" w:rsidRDefault="009C15B2">
            <w:pPr>
              <w:spacing w:after="0" w:line="240" w:lineRule="auto"/>
              <w:rPr>
                <w:sz w:val="20"/>
                <w:szCs w:val="20"/>
              </w:rPr>
            </w:pPr>
            <w:r>
              <w:rPr>
                <w:sz w:val="20"/>
                <w:szCs w:val="20"/>
              </w:rPr>
              <w:t>0.078 EJ/Gt</w:t>
            </w:r>
          </w:p>
        </w:tc>
        <w:tc>
          <w:tcPr>
            <w:tcW w:w="1710" w:type="dxa"/>
            <w:tcBorders>
              <w:top w:val="dotted" w:sz="8" w:space="0" w:color="FFFFFF"/>
              <w:left w:val="dotted" w:sz="8" w:space="0" w:color="FFFFFF"/>
              <w:bottom w:val="dotted" w:sz="8" w:space="0" w:color="FFFFFF"/>
              <w:right w:val="dotted" w:sz="8" w:space="0" w:color="FFFFFF"/>
            </w:tcBorders>
            <w:vAlign w:val="center"/>
          </w:tcPr>
          <w:p w:rsidR="00DC23FA" w:rsidRDefault="009C15B2">
            <w:pPr>
              <w:spacing w:after="0" w:line="240" w:lineRule="auto"/>
              <w:rPr>
                <w:sz w:val="20"/>
                <w:szCs w:val="20"/>
              </w:rPr>
            </w:pPr>
            <w:r>
              <w:rPr>
                <w:sz w:val="20"/>
                <w:szCs w:val="20"/>
              </w:rPr>
              <w:t>10.9$/t (ref.</w:t>
            </w:r>
            <w:hyperlink r:id="rId13">
              <w:r>
                <w:rPr>
                  <w:sz w:val="20"/>
                  <w:szCs w:val="20"/>
                  <w:vertAlign w:val="superscript"/>
                </w:rPr>
                <w:t>2</w:t>
              </w:r>
            </w:hyperlink>
            <w:r>
              <w:rPr>
                <w:sz w:val="20"/>
                <w:szCs w:val="20"/>
              </w:rPr>
              <w:t>)</w:t>
            </w:r>
          </w:p>
        </w:tc>
        <w:tc>
          <w:tcPr>
            <w:tcW w:w="2085" w:type="dxa"/>
            <w:tcBorders>
              <w:top w:val="dotted" w:sz="8" w:space="0" w:color="FFFFFF"/>
              <w:left w:val="dotted" w:sz="8" w:space="0" w:color="FFFFFF"/>
              <w:bottom w:val="dotted" w:sz="8" w:space="0" w:color="FFFFFF"/>
              <w:right w:val="dotted" w:sz="8" w:space="0" w:color="FFFFFF"/>
            </w:tcBorders>
            <w:tcMar>
              <w:top w:w="100" w:type="dxa"/>
              <w:left w:w="100" w:type="dxa"/>
              <w:bottom w:w="100" w:type="dxa"/>
              <w:right w:w="100" w:type="dxa"/>
            </w:tcMar>
            <w:vAlign w:val="center"/>
          </w:tcPr>
          <w:p w:rsidR="00DC23FA" w:rsidRDefault="009C15B2">
            <w:pPr>
              <w:spacing w:after="0" w:line="240" w:lineRule="auto"/>
              <w:rPr>
                <w:sz w:val="20"/>
                <w:szCs w:val="20"/>
              </w:rPr>
            </w:pPr>
            <w:r>
              <w:rPr>
                <w:sz w:val="20"/>
                <w:szCs w:val="20"/>
              </w:rPr>
              <w:t>Diesel</w:t>
            </w:r>
          </w:p>
        </w:tc>
        <w:tc>
          <w:tcPr>
            <w:tcW w:w="2295" w:type="dxa"/>
            <w:tcBorders>
              <w:top w:val="dotted" w:sz="8" w:space="0" w:color="FFFFFF"/>
              <w:left w:val="dotted" w:sz="8" w:space="0" w:color="FFFFFF"/>
              <w:bottom w:val="dotted" w:sz="8" w:space="0" w:color="FFFFFF"/>
              <w:right w:val="dotted" w:sz="8" w:space="0" w:color="FFFFFF"/>
            </w:tcBorders>
            <w:tcMar>
              <w:top w:w="100" w:type="dxa"/>
              <w:left w:w="100" w:type="dxa"/>
              <w:bottom w:w="100" w:type="dxa"/>
              <w:right w:w="100" w:type="dxa"/>
            </w:tcMar>
            <w:vAlign w:val="center"/>
          </w:tcPr>
          <w:p w:rsidR="00DC23FA" w:rsidRDefault="009C15B2">
            <w:pPr>
              <w:spacing w:after="0" w:line="240" w:lineRule="auto"/>
              <w:rPr>
                <w:sz w:val="20"/>
                <w:szCs w:val="20"/>
              </w:rPr>
            </w:pPr>
            <w:r>
              <w:rPr>
                <w:sz w:val="20"/>
                <w:szCs w:val="20"/>
              </w:rPr>
              <w:t>Diesel or gasoline</w:t>
            </w:r>
          </w:p>
        </w:tc>
      </w:tr>
      <w:tr w:rsidR="00DC23FA">
        <w:trPr>
          <w:cantSplit/>
          <w:trHeight w:val="112"/>
        </w:trPr>
        <w:tc>
          <w:tcPr>
            <w:tcW w:w="1500" w:type="dxa"/>
            <w:tcBorders>
              <w:top w:val="dotted" w:sz="8" w:space="0" w:color="FFFFFF"/>
              <w:left w:val="dotted" w:sz="8" w:space="0" w:color="FFFFFF"/>
              <w:bottom w:val="dotted" w:sz="8" w:space="0" w:color="FFFFFF"/>
              <w:right w:val="dotted" w:sz="8" w:space="0" w:color="FFFFFF"/>
            </w:tcBorders>
            <w:tcMar>
              <w:top w:w="100" w:type="dxa"/>
              <w:left w:w="100" w:type="dxa"/>
              <w:bottom w:w="100" w:type="dxa"/>
              <w:right w:w="100" w:type="dxa"/>
            </w:tcMar>
            <w:vAlign w:val="center"/>
          </w:tcPr>
          <w:p w:rsidR="00DC23FA" w:rsidRDefault="009C15B2">
            <w:pPr>
              <w:spacing w:after="0" w:line="240" w:lineRule="auto"/>
              <w:rPr>
                <w:sz w:val="20"/>
                <w:szCs w:val="20"/>
              </w:rPr>
            </w:pPr>
            <w:r>
              <w:rPr>
                <w:sz w:val="20"/>
                <w:szCs w:val="20"/>
              </w:rPr>
              <w:t>Spreading (aeroplanes)</w:t>
            </w:r>
          </w:p>
        </w:tc>
        <w:tc>
          <w:tcPr>
            <w:tcW w:w="1965" w:type="dxa"/>
            <w:tcBorders>
              <w:top w:val="dotted" w:sz="8" w:space="0" w:color="FFFFFF"/>
              <w:left w:val="dotted" w:sz="8" w:space="0" w:color="FFFFFF"/>
              <w:bottom w:val="dotted" w:sz="8" w:space="0" w:color="FFFFFF"/>
              <w:right w:val="dotted" w:sz="8" w:space="0" w:color="FFFFFF"/>
            </w:tcBorders>
            <w:tcMar>
              <w:top w:w="100" w:type="dxa"/>
              <w:left w:w="100" w:type="dxa"/>
              <w:bottom w:w="100" w:type="dxa"/>
              <w:right w:w="100" w:type="dxa"/>
            </w:tcMar>
            <w:vAlign w:val="center"/>
          </w:tcPr>
          <w:p w:rsidR="00DC23FA" w:rsidRDefault="009C15B2">
            <w:pPr>
              <w:spacing w:after="0" w:line="240" w:lineRule="auto"/>
              <w:rPr>
                <w:sz w:val="20"/>
                <w:szCs w:val="20"/>
              </w:rPr>
            </w:pPr>
            <w:r>
              <w:rPr>
                <w:sz w:val="20"/>
                <w:szCs w:val="20"/>
              </w:rPr>
              <w:t>1.8-2.5 EJ/Gt</w:t>
            </w:r>
          </w:p>
        </w:tc>
        <w:tc>
          <w:tcPr>
            <w:tcW w:w="1710" w:type="dxa"/>
            <w:tcBorders>
              <w:top w:val="dotted" w:sz="8" w:space="0" w:color="FFFFFF"/>
              <w:left w:val="dotted" w:sz="8" w:space="0" w:color="FFFFFF"/>
              <w:bottom w:val="dotted" w:sz="8" w:space="0" w:color="FFFFFF"/>
              <w:right w:val="dotted" w:sz="8" w:space="0" w:color="FFFFFF"/>
            </w:tcBorders>
            <w:vAlign w:val="center"/>
          </w:tcPr>
          <w:p w:rsidR="00DC23FA" w:rsidRDefault="009C15B2">
            <w:pPr>
              <w:spacing w:after="0" w:line="240" w:lineRule="auto"/>
              <w:rPr>
                <w:sz w:val="20"/>
                <w:szCs w:val="20"/>
              </w:rPr>
            </w:pPr>
            <w:r>
              <w:rPr>
                <w:sz w:val="20"/>
                <w:szCs w:val="20"/>
              </w:rPr>
              <w:t>170-214$/t/year</w:t>
            </w:r>
          </w:p>
        </w:tc>
        <w:tc>
          <w:tcPr>
            <w:tcW w:w="2085" w:type="dxa"/>
            <w:tcBorders>
              <w:top w:val="dotted" w:sz="8" w:space="0" w:color="FFFFFF"/>
              <w:left w:val="dotted" w:sz="8" w:space="0" w:color="FFFFFF"/>
              <w:bottom w:val="dotted" w:sz="8" w:space="0" w:color="FFFFFF"/>
              <w:right w:val="dotted" w:sz="8" w:space="0" w:color="FFFFFF"/>
            </w:tcBorders>
            <w:tcMar>
              <w:top w:w="100" w:type="dxa"/>
              <w:left w:w="100" w:type="dxa"/>
              <w:bottom w:w="100" w:type="dxa"/>
              <w:right w:w="100" w:type="dxa"/>
            </w:tcMar>
            <w:vAlign w:val="center"/>
          </w:tcPr>
          <w:p w:rsidR="00DC23FA" w:rsidRDefault="009C15B2">
            <w:pPr>
              <w:spacing w:after="0" w:line="240" w:lineRule="auto"/>
              <w:rPr>
                <w:sz w:val="20"/>
                <w:szCs w:val="20"/>
              </w:rPr>
            </w:pPr>
            <w:r>
              <w:rPr>
                <w:sz w:val="20"/>
                <w:szCs w:val="20"/>
              </w:rPr>
              <w:t>Endogenous (kerosene, hydrogen or methanol)</w:t>
            </w:r>
          </w:p>
        </w:tc>
        <w:tc>
          <w:tcPr>
            <w:tcW w:w="2295" w:type="dxa"/>
            <w:tcBorders>
              <w:top w:val="dotted" w:sz="8" w:space="0" w:color="FFFFFF"/>
              <w:left w:val="dotted" w:sz="8" w:space="0" w:color="FFFFFF"/>
              <w:bottom w:val="dotted" w:sz="8" w:space="0" w:color="FFFFFF"/>
              <w:right w:val="dotted" w:sz="8" w:space="0" w:color="FFFFFF"/>
            </w:tcBorders>
            <w:tcMar>
              <w:top w:w="100" w:type="dxa"/>
              <w:left w:w="100" w:type="dxa"/>
              <w:bottom w:w="100" w:type="dxa"/>
              <w:right w:w="100" w:type="dxa"/>
            </w:tcMar>
            <w:vAlign w:val="center"/>
          </w:tcPr>
          <w:p w:rsidR="00DC23FA" w:rsidRDefault="009C15B2">
            <w:pPr>
              <w:spacing w:after="0" w:line="240" w:lineRule="auto"/>
              <w:rPr>
                <w:sz w:val="20"/>
                <w:szCs w:val="20"/>
              </w:rPr>
            </w:pPr>
            <w:r>
              <w:rPr>
                <w:sz w:val="20"/>
                <w:szCs w:val="20"/>
              </w:rPr>
              <w:t>Aviation fuel</w:t>
            </w:r>
          </w:p>
        </w:tc>
      </w:tr>
    </w:tbl>
    <w:p w:rsidR="00DC23FA" w:rsidRDefault="00DC23FA">
      <w:pPr>
        <w:spacing w:line="240" w:lineRule="auto"/>
      </w:pPr>
    </w:p>
    <w:p w:rsidR="00DC23FA" w:rsidRDefault="00DC23FA">
      <w:pPr>
        <w:spacing w:line="240" w:lineRule="auto"/>
        <w:rPr>
          <w:i/>
        </w:rPr>
      </w:pPr>
    </w:p>
    <w:p w:rsidR="00DC23FA" w:rsidRDefault="009C15B2">
      <w:pPr>
        <w:spacing w:line="240" w:lineRule="auto"/>
        <w:rPr>
          <w:b/>
        </w:rPr>
      </w:pPr>
      <w:r>
        <w:rPr>
          <w:b/>
        </w:rPr>
        <w:t>Transport distances:</w:t>
      </w:r>
    </w:p>
    <w:p w:rsidR="00DC23FA" w:rsidRDefault="009C15B2">
      <w:pPr>
        <w:spacing w:line="240" w:lineRule="auto"/>
      </w:pPr>
      <w:r>
        <w:t xml:space="preserve">There are 3 </w:t>
      </w:r>
      <w:proofErr w:type="gramStart"/>
      <w:r>
        <w:t>cases :</w:t>
      </w:r>
      <w:proofErr w:type="gramEnd"/>
      <w:r>
        <w:t xml:space="preserve"> </w:t>
      </w:r>
    </w:p>
    <w:p w:rsidR="00DC23FA" w:rsidRDefault="009C15B2">
      <w:pPr>
        <w:spacing w:line="240" w:lineRule="auto"/>
      </w:pPr>
      <w:r>
        <w:t xml:space="preserve">Either basalt is spread on croplands with tractors, or basalt is spread on forest areas with tractors, or basalt is spread </w:t>
      </w:r>
      <w:r>
        <w:t xml:space="preserve">on forest areas with aircrafts. </w:t>
      </w:r>
    </w:p>
    <w:p w:rsidR="00DC23FA" w:rsidRDefault="009C15B2">
      <w:pPr>
        <w:spacing w:line="240" w:lineRule="auto"/>
      </w:pPr>
      <w:r>
        <w:rPr>
          <w:i/>
        </w:rPr>
        <w:t>Application on croplands</w:t>
      </w:r>
    </w:p>
    <w:p w:rsidR="00DC23FA" w:rsidRDefault="009C15B2">
      <w:pPr>
        <w:spacing w:line="240" w:lineRule="auto"/>
      </w:pPr>
      <w:r>
        <w:t xml:space="preserve">The transport distance for cropland application is derived from </w:t>
      </w:r>
      <w:proofErr w:type="spellStart"/>
      <w:r>
        <w:t>Strefler</w:t>
      </w:r>
      <w:proofErr w:type="spellEnd"/>
      <w:r>
        <w:t>, et al (2018)</w:t>
      </w:r>
      <w:hyperlink r:id="rId14">
        <w:r>
          <w:rPr>
            <w:vertAlign w:val="superscript"/>
          </w:rPr>
          <w:t>2</w:t>
        </w:r>
      </w:hyperlink>
      <w:r>
        <w:t xml:space="preserve">. The transport distance is generally lower than </w:t>
      </w:r>
      <w:r>
        <w:t>200km. It starts from zero and increases as long as the cumulative quantity of basalt applied on croplands increases, as we follow their assumption that the application rate is 15kg/m</w:t>
      </w:r>
      <w:r>
        <w:rPr>
          <w:vertAlign w:val="superscript"/>
        </w:rPr>
        <w:t>2</w:t>
      </w:r>
      <w:r>
        <w:t xml:space="preserve"> which can be easily incorporated into soils.  </w:t>
      </w:r>
    </w:p>
    <w:p w:rsidR="00DC23FA" w:rsidRDefault="009C15B2">
      <w:pPr>
        <w:spacing w:line="240" w:lineRule="auto"/>
        <w:rPr>
          <w:i/>
        </w:rPr>
      </w:pPr>
      <w:r>
        <w:rPr>
          <w:i/>
        </w:rPr>
        <w:t>Application on forests</w:t>
      </w:r>
    </w:p>
    <w:p w:rsidR="00DC23FA" w:rsidRDefault="009C15B2">
      <w:pPr>
        <w:spacing w:line="240" w:lineRule="auto"/>
      </w:pPr>
      <w:r>
        <w:t>W</w:t>
      </w:r>
      <w:r>
        <w:t>e assume that the share of roadless forests (i.e. forest areas inaccessible by roads) is approximately the same as the share of global roadless areas, that is to say 80%</w:t>
      </w:r>
      <w:hyperlink r:id="rId15">
        <w:r>
          <w:rPr>
            <w:vertAlign w:val="superscript"/>
          </w:rPr>
          <w:t>5</w:t>
        </w:r>
      </w:hyperlink>
      <w:r>
        <w:t>. This share can be expe</w:t>
      </w:r>
      <w:r>
        <w:t xml:space="preserve">cted to decline in the future, despite the </w:t>
      </w:r>
      <w:proofErr w:type="gramStart"/>
      <w:r>
        <w:t>threats</w:t>
      </w:r>
      <w:proofErr w:type="gramEnd"/>
      <w:r>
        <w:t xml:space="preserve"> roads pose to ecosystems</w:t>
      </w:r>
      <w:hyperlink r:id="rId16">
        <w:r>
          <w:rPr>
            <w:vertAlign w:val="superscript"/>
          </w:rPr>
          <w:t>5</w:t>
        </w:r>
      </w:hyperlink>
      <w:r>
        <w:t>. On the other hand, applying basalt on forests by means of land transport can be challenging, even when a road is ava</w:t>
      </w:r>
      <w:r>
        <w:t xml:space="preserve">ilable. We therefore assume that between 70% to 90% of basalt application on forests must be spread with aircrafts until 2100. This share depends on the development of roads and on the share of forests that tractors can </w:t>
      </w:r>
      <w:r>
        <w:lastRenderedPageBreak/>
        <w:t>penetrate. Aerial application is lik</w:t>
      </w:r>
      <w:r>
        <w:t xml:space="preserve">ely to be more expensive and energy intensive than land-based alternatives. If the share of aircraft use were lower, the energy consumption would also be lower, and basalt application could become higher in a cost-optimisation model. Assuming a large part </w:t>
      </w:r>
      <w:r>
        <w:t xml:space="preserve">of aerial spraying is therefore pessimistic as far as costs are concerned. </w:t>
      </w:r>
    </w:p>
    <w:p w:rsidR="00DC23FA" w:rsidRDefault="009C15B2">
      <w:pPr>
        <w:spacing w:line="240" w:lineRule="auto"/>
      </w:pPr>
      <w:r>
        <w:t>We assume that the rock is ground at a location proximate to the mine.  The mean straight-line distance between the airport and the closest area where basalt is available is 250 to</w:t>
      </w:r>
      <w:r>
        <w:t xml:space="preserve"> 400 km (</w:t>
      </w:r>
      <w:r>
        <w:rPr>
          <w:b/>
        </w:rPr>
        <w:t>Fig S1.1.1.)</w:t>
      </w:r>
      <w:r>
        <w:t xml:space="preserve">. We estimate the average road distance to be around 350 to </w:t>
      </w:r>
      <w:proofErr w:type="gramStart"/>
      <w:r>
        <w:t>560  km</w:t>
      </w:r>
      <w:proofErr w:type="gramEnd"/>
      <w:r>
        <w:t xml:space="preserve"> by assuming that the actual travel distance on the road is on average larger than the straight-line distance by a factor of the square root of 2 (i.e., a simple analog</w:t>
      </w:r>
      <w:r>
        <w:t xml:space="preserve">y from geometry). If basalt is applied with tractors, the distance between basalt source and application site is generally lower than 250 </w:t>
      </w:r>
      <w:proofErr w:type="gramStart"/>
      <w:r>
        <w:t>km  (</w:t>
      </w:r>
      <w:proofErr w:type="gramEnd"/>
      <w:r>
        <w:rPr>
          <w:b/>
        </w:rPr>
        <w:t>Fig S1.1.2)</w:t>
      </w:r>
      <w:r>
        <w:t>, thus the road distance is estimated to be around 350 km under the assumption of the square root of 2</w:t>
      </w:r>
      <w:r>
        <w:t>. We therefore consider a range of 350 to 550 km for basalt transport distance.</w:t>
      </w:r>
    </w:p>
    <w:p w:rsidR="00DC23FA" w:rsidRDefault="009C15B2">
      <w:pPr>
        <w:spacing w:line="240" w:lineRule="auto"/>
      </w:pPr>
      <w:r>
        <w:rPr>
          <w:noProof/>
        </w:rPr>
        <w:drawing>
          <wp:inline distT="114300" distB="114300" distL="114300" distR="114300">
            <wp:extent cx="5760410" cy="3162300"/>
            <wp:effectExtent l="0" t="0" r="0" b="0"/>
            <wp:docPr id="21"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17"/>
                    <a:srcRect/>
                    <a:stretch>
                      <a:fillRect/>
                    </a:stretch>
                  </pic:blipFill>
                  <pic:spPr>
                    <a:xfrm>
                      <a:off x="0" y="0"/>
                      <a:ext cx="5760410" cy="3162300"/>
                    </a:xfrm>
                    <a:prstGeom prst="rect">
                      <a:avLst/>
                    </a:prstGeom>
                    <a:ln/>
                  </pic:spPr>
                </pic:pic>
              </a:graphicData>
            </a:graphic>
          </wp:inline>
        </w:drawing>
      </w:r>
    </w:p>
    <w:p w:rsidR="00DC23FA" w:rsidRDefault="009C15B2">
      <w:pPr>
        <w:spacing w:line="240" w:lineRule="auto"/>
      </w:pPr>
      <w:r>
        <w:rPr>
          <w:b/>
        </w:rPr>
        <w:t xml:space="preserve">Figure S1.1.1 Straight line distance from basalt resource to the nearest airport from an application site. </w:t>
      </w:r>
      <w:r>
        <w:t>The x-axis is the cumulative contribution from the application site</w:t>
      </w:r>
      <w:r>
        <w:t xml:space="preserve">s, ranked from the most reactive to the least reactive to basalt amendment, to the total NPP increase. The y-axis is the mean distance corresponding to these cumulative contributions. </w:t>
      </w:r>
    </w:p>
    <w:p w:rsidR="00DC23FA" w:rsidRDefault="00DC23FA">
      <w:pPr>
        <w:spacing w:line="240" w:lineRule="auto"/>
      </w:pPr>
    </w:p>
    <w:p w:rsidR="00DC23FA" w:rsidRDefault="009C15B2">
      <w:pPr>
        <w:spacing w:line="240" w:lineRule="auto"/>
      </w:pPr>
      <w:r>
        <w:rPr>
          <w:noProof/>
        </w:rPr>
        <w:lastRenderedPageBreak/>
        <w:drawing>
          <wp:inline distT="114300" distB="114300" distL="114300" distR="114300">
            <wp:extent cx="5760410" cy="3454400"/>
            <wp:effectExtent l="0" t="0" r="0" b="0"/>
            <wp:docPr id="7"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8"/>
                    <a:srcRect/>
                    <a:stretch>
                      <a:fillRect/>
                    </a:stretch>
                  </pic:blipFill>
                  <pic:spPr>
                    <a:xfrm>
                      <a:off x="0" y="0"/>
                      <a:ext cx="5760410" cy="3454400"/>
                    </a:xfrm>
                    <a:prstGeom prst="rect">
                      <a:avLst/>
                    </a:prstGeom>
                    <a:ln/>
                  </pic:spPr>
                </pic:pic>
              </a:graphicData>
            </a:graphic>
          </wp:inline>
        </w:drawing>
      </w:r>
    </w:p>
    <w:p w:rsidR="00DC23FA" w:rsidRDefault="009C15B2">
      <w:pPr>
        <w:spacing w:line="240" w:lineRule="auto"/>
      </w:pPr>
      <w:r>
        <w:rPr>
          <w:b/>
        </w:rPr>
        <w:t xml:space="preserve">Figure S1.1.2 Distance from basalt resource to application site </w:t>
      </w:r>
      <w:r>
        <w:t>(straight line</w:t>
      </w:r>
      <w:proofErr w:type="gramStart"/>
      <w:r>
        <w:t>).The</w:t>
      </w:r>
      <w:proofErr w:type="gramEnd"/>
      <w:r>
        <w:t xml:space="preserve"> x-axis is the cumulative contribution from the application sites, ranked from the most reactive to the least reactive to basalt amendment, to the total NPP increase. The y-axis is the mean distance corresponding to these cumulative cont</w:t>
      </w:r>
      <w:r>
        <w:t>ributions.</w:t>
      </w:r>
    </w:p>
    <w:p w:rsidR="00DC23FA" w:rsidRDefault="009C15B2">
      <w:pPr>
        <w:spacing w:line="240" w:lineRule="auto"/>
      </w:pPr>
      <w:r>
        <w:t xml:space="preserve">The distances are computed using the software QGIS. The database for basalt resources is the one used in </w:t>
      </w:r>
      <w:proofErr w:type="spellStart"/>
      <w:r>
        <w:t>Strefler</w:t>
      </w:r>
      <w:proofErr w:type="spellEnd"/>
      <w:r>
        <w:t>, et al. (2018), GLiM</w:t>
      </w:r>
      <w:hyperlink r:id="rId19">
        <w:r>
          <w:rPr>
            <w:vertAlign w:val="superscript"/>
          </w:rPr>
          <w:t>6</w:t>
        </w:r>
      </w:hyperlink>
      <w:r>
        <w:t xml:space="preserve">. The database for airports is the one used by </w:t>
      </w:r>
      <w:proofErr w:type="spellStart"/>
      <w:r>
        <w:t>G</w:t>
      </w:r>
      <w:r>
        <w:t>oll</w:t>
      </w:r>
      <w:proofErr w:type="spellEnd"/>
      <w:r>
        <w:t>, et al. (2021)</w:t>
      </w:r>
      <w:hyperlink r:id="rId20">
        <w:r>
          <w:rPr>
            <w:vertAlign w:val="superscript"/>
          </w:rPr>
          <w:t>7</w:t>
        </w:r>
      </w:hyperlink>
      <w:r>
        <w:t xml:space="preserve"> </w:t>
      </w:r>
      <w:r>
        <w:rPr>
          <w:u w:val="single"/>
        </w:rPr>
        <w:t>openflights.org</w:t>
      </w:r>
      <w:r>
        <w:t xml:space="preserve">. </w:t>
      </w:r>
    </w:p>
    <w:p w:rsidR="00DC23FA" w:rsidRDefault="00DC23FA">
      <w:pPr>
        <w:spacing w:line="240" w:lineRule="auto"/>
      </w:pPr>
    </w:p>
    <w:p w:rsidR="00DC23FA" w:rsidRDefault="009C15B2">
      <w:pPr>
        <w:spacing w:line="240" w:lineRule="auto"/>
      </w:pPr>
      <w:r>
        <w:br/>
      </w:r>
      <w:r>
        <w:rPr>
          <w:i/>
        </w:rPr>
        <w:t>Cost of aircraft application</w:t>
      </w:r>
    </w:p>
    <w:p w:rsidR="00DC23FA" w:rsidRDefault="009C15B2">
      <w:pPr>
        <w:spacing w:line="240" w:lineRule="auto"/>
      </w:pPr>
      <w:r>
        <w:t xml:space="preserve">Our analysis aims to identify a range of energy requirements and financial costs for airborne spreading of basalt. A small agricultural aircraft like the </w:t>
      </w:r>
      <w:proofErr w:type="spellStart"/>
      <w:r>
        <w:t>AirTractor</w:t>
      </w:r>
      <w:proofErr w:type="spellEnd"/>
      <w:r>
        <w:t xml:space="preserve"> 802, which can be equipped with a dust spreader, could be used to spread basalt dust. This </w:t>
      </w:r>
      <w:r>
        <w:t>kind of aircraft is commonly used to spread limestone</w:t>
      </w:r>
      <w:hyperlink r:id="rId21">
        <w:r>
          <w:rPr>
            <w:vertAlign w:val="superscript"/>
          </w:rPr>
          <w:t>8–10</w:t>
        </w:r>
      </w:hyperlink>
      <w:r>
        <w:t xml:space="preserve"> although issues with rock discharge have been reported, due to the large particle size distribution</w:t>
      </w:r>
      <w:hyperlink r:id="rId22">
        <w:r>
          <w:rPr>
            <w:vertAlign w:val="superscript"/>
          </w:rPr>
          <w:t>8</w:t>
        </w:r>
      </w:hyperlink>
      <w:r>
        <w:t xml:space="preserve">. The details of rock dust discharge are beyond the scope of this analysis, and more research would be needed on how to spread large quantities of basalt dust by air. </w:t>
      </w:r>
    </w:p>
    <w:p w:rsidR="00DC23FA" w:rsidRDefault="009C15B2">
      <w:pPr>
        <w:spacing w:line="240" w:lineRule="auto"/>
      </w:pPr>
      <w:r>
        <w:t>The following table summarises the key values used for our cos</w:t>
      </w:r>
      <w:r>
        <w:t>t estimate:</w:t>
      </w:r>
    </w:p>
    <w:p w:rsidR="00DC23FA" w:rsidRDefault="00DC23FA">
      <w:pPr>
        <w:spacing w:line="240" w:lineRule="auto"/>
      </w:pPr>
    </w:p>
    <w:tbl>
      <w:tblPr>
        <w:tblStyle w:val="a0"/>
        <w:tblW w:w="9072"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536"/>
        <w:gridCol w:w="4536"/>
      </w:tblGrid>
      <w:tr w:rsidR="00DC23FA">
        <w:trPr>
          <w:trHeight w:val="447"/>
        </w:trPr>
        <w:tc>
          <w:tcPr>
            <w:tcW w:w="4536" w:type="dxa"/>
            <w:shd w:val="clear" w:color="auto" w:fill="auto"/>
            <w:tcMar>
              <w:top w:w="100" w:type="dxa"/>
              <w:left w:w="100" w:type="dxa"/>
              <w:bottom w:w="100" w:type="dxa"/>
              <w:right w:w="100" w:type="dxa"/>
            </w:tcMar>
          </w:tcPr>
          <w:p w:rsidR="00DC23FA" w:rsidRDefault="009C15B2">
            <w:pPr>
              <w:widowControl w:val="0"/>
              <w:spacing w:after="0" w:line="240" w:lineRule="auto"/>
            </w:pPr>
            <w:r>
              <w:t>Feature</w:t>
            </w:r>
          </w:p>
        </w:tc>
        <w:tc>
          <w:tcPr>
            <w:tcW w:w="4536" w:type="dxa"/>
            <w:shd w:val="clear" w:color="auto" w:fill="auto"/>
            <w:tcMar>
              <w:top w:w="100" w:type="dxa"/>
              <w:left w:w="100" w:type="dxa"/>
              <w:bottom w:w="100" w:type="dxa"/>
              <w:right w:w="100" w:type="dxa"/>
            </w:tcMar>
          </w:tcPr>
          <w:p w:rsidR="00DC23FA" w:rsidRDefault="009C15B2">
            <w:pPr>
              <w:widowControl w:val="0"/>
              <w:spacing w:after="0" w:line="240" w:lineRule="auto"/>
            </w:pPr>
            <w:r>
              <w:t>Source</w:t>
            </w:r>
          </w:p>
        </w:tc>
      </w:tr>
      <w:tr w:rsidR="00DC23FA">
        <w:tc>
          <w:tcPr>
            <w:tcW w:w="4536" w:type="dxa"/>
            <w:shd w:val="clear" w:color="auto" w:fill="auto"/>
            <w:tcMar>
              <w:top w:w="100" w:type="dxa"/>
              <w:left w:w="100" w:type="dxa"/>
              <w:bottom w:w="100" w:type="dxa"/>
              <w:right w:w="100" w:type="dxa"/>
            </w:tcMar>
          </w:tcPr>
          <w:p w:rsidR="00DC23FA" w:rsidRDefault="009C15B2">
            <w:pPr>
              <w:widowControl w:val="0"/>
              <w:spacing w:after="0" w:line="240" w:lineRule="auto"/>
            </w:pPr>
            <w:r>
              <w:t xml:space="preserve">Useful </w:t>
            </w:r>
            <w:proofErr w:type="gramStart"/>
            <w:r>
              <w:t>load :</w:t>
            </w:r>
            <w:proofErr w:type="gramEnd"/>
            <w:r>
              <w:t xml:space="preserve"> 4.3t</w:t>
            </w:r>
          </w:p>
        </w:tc>
        <w:tc>
          <w:tcPr>
            <w:tcW w:w="4536" w:type="dxa"/>
            <w:shd w:val="clear" w:color="auto" w:fill="auto"/>
            <w:tcMar>
              <w:top w:w="100" w:type="dxa"/>
              <w:left w:w="100" w:type="dxa"/>
              <w:bottom w:w="100" w:type="dxa"/>
              <w:right w:w="100" w:type="dxa"/>
            </w:tcMar>
          </w:tcPr>
          <w:p w:rsidR="00DC23FA" w:rsidRDefault="009C15B2">
            <w:pPr>
              <w:widowControl w:val="0"/>
              <w:spacing w:after="0" w:line="240" w:lineRule="auto"/>
            </w:pPr>
            <w:r>
              <w:t>Guide to Air Tractor Aircraft</w:t>
            </w:r>
          </w:p>
        </w:tc>
      </w:tr>
      <w:tr w:rsidR="00DC23FA">
        <w:tc>
          <w:tcPr>
            <w:tcW w:w="4536" w:type="dxa"/>
            <w:shd w:val="clear" w:color="auto" w:fill="auto"/>
            <w:tcMar>
              <w:top w:w="100" w:type="dxa"/>
              <w:left w:w="100" w:type="dxa"/>
              <w:bottom w:w="100" w:type="dxa"/>
              <w:right w:w="100" w:type="dxa"/>
            </w:tcMar>
          </w:tcPr>
          <w:p w:rsidR="00DC23FA" w:rsidRDefault="009C15B2">
            <w:pPr>
              <w:widowControl w:val="0"/>
              <w:spacing w:after="0" w:line="240" w:lineRule="auto"/>
            </w:pPr>
            <w:r>
              <w:t>Cost: USD 1.8 million</w:t>
            </w:r>
          </w:p>
        </w:tc>
        <w:tc>
          <w:tcPr>
            <w:tcW w:w="4536" w:type="dxa"/>
            <w:shd w:val="clear" w:color="auto" w:fill="auto"/>
            <w:tcMar>
              <w:top w:w="100" w:type="dxa"/>
              <w:left w:w="100" w:type="dxa"/>
              <w:bottom w:w="100" w:type="dxa"/>
              <w:right w:w="100" w:type="dxa"/>
            </w:tcMar>
          </w:tcPr>
          <w:p w:rsidR="00DC23FA" w:rsidRDefault="009C15B2">
            <w:pPr>
              <w:widowControl w:val="0"/>
              <w:spacing w:after="0" w:line="240" w:lineRule="auto"/>
            </w:pPr>
            <w:r>
              <w:t>https://air.one/</w:t>
            </w:r>
          </w:p>
        </w:tc>
      </w:tr>
      <w:tr w:rsidR="00DC23FA">
        <w:tc>
          <w:tcPr>
            <w:tcW w:w="4536" w:type="dxa"/>
            <w:shd w:val="clear" w:color="auto" w:fill="auto"/>
            <w:tcMar>
              <w:top w:w="100" w:type="dxa"/>
              <w:left w:w="100" w:type="dxa"/>
              <w:bottom w:w="100" w:type="dxa"/>
              <w:right w:w="100" w:type="dxa"/>
            </w:tcMar>
          </w:tcPr>
          <w:p w:rsidR="00DC23FA" w:rsidRDefault="009C15B2">
            <w:pPr>
              <w:widowControl w:val="0"/>
              <w:spacing w:after="0" w:line="240" w:lineRule="auto"/>
            </w:pPr>
            <w:r>
              <w:t>Fuel consumption: up to 330 l/h</w:t>
            </w:r>
          </w:p>
        </w:tc>
        <w:tc>
          <w:tcPr>
            <w:tcW w:w="4536" w:type="dxa"/>
            <w:shd w:val="clear" w:color="auto" w:fill="auto"/>
            <w:tcMar>
              <w:top w:w="100" w:type="dxa"/>
              <w:left w:w="100" w:type="dxa"/>
              <w:bottom w:w="100" w:type="dxa"/>
              <w:right w:w="100" w:type="dxa"/>
            </w:tcMar>
          </w:tcPr>
          <w:p w:rsidR="00DC23FA" w:rsidRDefault="009C15B2">
            <w:pPr>
              <w:widowControl w:val="0"/>
              <w:spacing w:after="0" w:line="240" w:lineRule="auto"/>
            </w:pPr>
            <w:r>
              <w:t xml:space="preserve">Guide to Air Tractor Aircraft </w:t>
            </w:r>
          </w:p>
        </w:tc>
      </w:tr>
      <w:tr w:rsidR="00DC23FA">
        <w:tc>
          <w:tcPr>
            <w:tcW w:w="4536" w:type="dxa"/>
            <w:shd w:val="clear" w:color="auto" w:fill="auto"/>
            <w:tcMar>
              <w:top w:w="100" w:type="dxa"/>
              <w:left w:w="100" w:type="dxa"/>
              <w:bottom w:w="100" w:type="dxa"/>
              <w:right w:w="100" w:type="dxa"/>
            </w:tcMar>
          </w:tcPr>
          <w:p w:rsidR="00DC23FA" w:rsidRDefault="009C15B2">
            <w:pPr>
              <w:widowControl w:val="0"/>
              <w:spacing w:after="0" w:line="240" w:lineRule="auto"/>
            </w:pPr>
            <w:r>
              <w:t>Speed: 306 km/h</w:t>
            </w:r>
          </w:p>
        </w:tc>
        <w:tc>
          <w:tcPr>
            <w:tcW w:w="4536" w:type="dxa"/>
            <w:shd w:val="clear" w:color="auto" w:fill="auto"/>
            <w:tcMar>
              <w:top w:w="100" w:type="dxa"/>
              <w:left w:w="100" w:type="dxa"/>
              <w:bottom w:w="100" w:type="dxa"/>
              <w:right w:w="100" w:type="dxa"/>
            </w:tcMar>
          </w:tcPr>
          <w:p w:rsidR="00DC23FA" w:rsidRDefault="009C15B2">
            <w:pPr>
              <w:widowControl w:val="0"/>
              <w:spacing w:after="0" w:line="240" w:lineRule="auto"/>
            </w:pPr>
            <w:r>
              <w:t xml:space="preserve">AIR TRACTOR AT-802/802A Pilot Training </w:t>
            </w:r>
            <w:r>
              <w:lastRenderedPageBreak/>
              <w:t>Program</w:t>
            </w:r>
          </w:p>
        </w:tc>
      </w:tr>
    </w:tbl>
    <w:p w:rsidR="00DC23FA" w:rsidRDefault="00DC23FA">
      <w:pPr>
        <w:pStyle w:val="Titre3"/>
        <w:spacing w:line="240" w:lineRule="auto"/>
        <w:rPr>
          <w:b w:val="0"/>
          <w:sz w:val="22"/>
          <w:szCs w:val="22"/>
        </w:rPr>
      </w:pPr>
      <w:bookmarkStart w:id="5" w:name="_vicez2ec99wo" w:colFirst="0" w:colLast="0"/>
      <w:bookmarkEnd w:id="5"/>
    </w:p>
    <w:p w:rsidR="00DC23FA" w:rsidRDefault="009C15B2">
      <w:pPr>
        <w:spacing w:line="240" w:lineRule="auto"/>
      </w:pPr>
      <w:r>
        <w:t>The distance between the centre of spreading sites and the nearest airport ranges between 80 and 120 km (</w:t>
      </w:r>
      <w:r>
        <w:rPr>
          <w:b/>
        </w:rPr>
        <w:t>Fig. S1.1.3</w:t>
      </w:r>
      <w:r>
        <w:t xml:space="preserve">). We therefore assume a flying distance ranges between 160 and 240 km. It represents a flight duration of 31-47 minutes. Adding 10 minutes </w:t>
      </w:r>
      <w:r>
        <w:t xml:space="preserve">for spreading and landing, the average flight duration could reach 41-57 minutes. This represents 226-314 </w:t>
      </w:r>
      <w:proofErr w:type="spellStart"/>
      <w:r>
        <w:t>liters</w:t>
      </w:r>
      <w:proofErr w:type="spellEnd"/>
      <w:r>
        <w:t xml:space="preserve"> of kerosene per mission, or 7.6-10.6 GJ per mission, or 1.8 to 2.5 GJ/t of basalt applied. Assuming that 20 minutes are required to refuel and </w:t>
      </w:r>
      <w:r>
        <w:t>refill with basalt between each flight, and that the aircraft operates 10 hours per day, and that it is used 5 days out of 7, an aircraft can realise between 2030 and 2550 missions per year. Therefore, the capacity cost per ton/year is 170-214$/t (it depen</w:t>
      </w:r>
      <w:r>
        <w:t>ds on the average distance flown). We assume a lifetime of 30 years and annual maintenance costs of 5% of the purchase cost.</w:t>
      </w:r>
    </w:p>
    <w:p w:rsidR="00DC23FA" w:rsidRDefault="009C15B2">
      <w:pPr>
        <w:spacing w:line="240" w:lineRule="auto"/>
      </w:pPr>
      <w:r>
        <w:rPr>
          <w:noProof/>
        </w:rPr>
        <w:drawing>
          <wp:inline distT="114300" distB="114300" distL="114300" distR="114300">
            <wp:extent cx="5760410" cy="4025900"/>
            <wp:effectExtent l="0" t="0" r="0" b="0"/>
            <wp:docPr id="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3"/>
                    <a:srcRect/>
                    <a:stretch>
                      <a:fillRect/>
                    </a:stretch>
                  </pic:blipFill>
                  <pic:spPr>
                    <a:xfrm>
                      <a:off x="0" y="0"/>
                      <a:ext cx="5760410" cy="4025900"/>
                    </a:xfrm>
                    <a:prstGeom prst="rect">
                      <a:avLst/>
                    </a:prstGeom>
                    <a:ln/>
                  </pic:spPr>
                </pic:pic>
              </a:graphicData>
            </a:graphic>
          </wp:inline>
        </w:drawing>
      </w:r>
    </w:p>
    <w:p w:rsidR="00DC23FA" w:rsidRDefault="009C15B2">
      <w:pPr>
        <w:spacing w:line="240" w:lineRule="auto"/>
        <w:rPr>
          <w:b/>
        </w:rPr>
      </w:pPr>
      <w:r>
        <w:rPr>
          <w:b/>
        </w:rPr>
        <w:t xml:space="preserve">Figure S1.1.3 Distance between application site and nearest airport. </w:t>
      </w:r>
      <w:r>
        <w:t>The x-axis is the cumulative contribution from the applicati</w:t>
      </w:r>
      <w:r>
        <w:t>on sites, ranked from the most reactive to the least reactive to basalt amendment, to the total NPP increase. The y-axis is the mean distance corresponding to these cumulative contributions.</w:t>
      </w:r>
      <w:r>
        <w:rPr>
          <w:b/>
        </w:rPr>
        <w:t xml:space="preserve"> </w:t>
      </w:r>
    </w:p>
    <w:p w:rsidR="00DC23FA" w:rsidRDefault="00DC23FA">
      <w:pPr>
        <w:spacing w:line="240" w:lineRule="auto"/>
      </w:pPr>
    </w:p>
    <w:p w:rsidR="00DC23FA" w:rsidRDefault="00DC23FA">
      <w:pPr>
        <w:spacing w:line="240" w:lineRule="auto"/>
      </w:pPr>
    </w:p>
    <w:p w:rsidR="00DC23FA" w:rsidRDefault="00DC23FA">
      <w:pPr>
        <w:spacing w:line="240" w:lineRule="auto"/>
      </w:pPr>
    </w:p>
    <w:p w:rsidR="00DC23FA" w:rsidRDefault="00DC23FA"/>
    <w:p w:rsidR="00DC23FA" w:rsidRDefault="00DC23FA"/>
    <w:p w:rsidR="00DC23FA" w:rsidRDefault="009C15B2">
      <w:pPr>
        <w:pStyle w:val="Titre3"/>
        <w:spacing w:line="240" w:lineRule="auto"/>
      </w:pPr>
      <w:bookmarkStart w:id="6" w:name="_hpsffdx466xz" w:colFirst="0" w:colLast="0"/>
      <w:bookmarkEnd w:id="6"/>
      <w:r>
        <w:lastRenderedPageBreak/>
        <w:t>1.2 Carbon dioxide removal</w:t>
      </w:r>
    </w:p>
    <w:p w:rsidR="00DC23FA" w:rsidRDefault="00DC23FA">
      <w:pPr>
        <w:spacing w:after="0" w:line="240" w:lineRule="auto"/>
      </w:pPr>
    </w:p>
    <w:p w:rsidR="00DC23FA" w:rsidRDefault="009C15B2">
      <w:pPr>
        <w:spacing w:after="0" w:line="240" w:lineRule="auto"/>
      </w:pPr>
      <w:r>
        <w:t>We considered two distinct processes that lead to carbon dioxide removal from enhanced weathering: the geochemical capture and the biotic capture. Here, we first describe the release of these elements as modelled in GET-ACC2, and then each of the capture p</w:t>
      </w:r>
      <w:r>
        <w:t xml:space="preserve">rocesses. </w:t>
      </w:r>
    </w:p>
    <w:p w:rsidR="00DC23FA" w:rsidRDefault="00DC23FA">
      <w:pPr>
        <w:spacing w:after="0" w:line="240" w:lineRule="auto"/>
      </w:pPr>
    </w:p>
    <w:p w:rsidR="00DC23FA" w:rsidRDefault="009C15B2">
      <w:pPr>
        <w:spacing w:line="240" w:lineRule="auto"/>
      </w:pPr>
      <w:r>
        <w:rPr>
          <w:b/>
        </w:rPr>
        <w:t>Weathering rates</w:t>
      </w:r>
    </w:p>
    <w:p w:rsidR="00DC23FA" w:rsidRDefault="009C15B2">
      <w:pPr>
        <w:spacing w:line="240" w:lineRule="auto"/>
        <w:ind w:firstLine="720"/>
      </w:pPr>
      <w:r>
        <w:t xml:space="preserve">In the main text, we assume that the grain size is 20µm. The range of weathering rate used in this study is 1% to 26% per year. The low end is reported in </w:t>
      </w:r>
      <w:proofErr w:type="spellStart"/>
      <w:r>
        <w:t>Rinder</w:t>
      </w:r>
      <w:proofErr w:type="spellEnd"/>
      <w:r>
        <w:t xml:space="preserve"> and von </w:t>
      </w:r>
      <w:proofErr w:type="spellStart"/>
      <w:r>
        <w:t>Hagke</w:t>
      </w:r>
      <w:proofErr w:type="spellEnd"/>
      <w:r>
        <w:t xml:space="preserve"> (2021)</w:t>
      </w:r>
      <w:hyperlink r:id="rId24">
        <w:r>
          <w:rPr>
            <w:vertAlign w:val="superscript"/>
          </w:rPr>
          <w:t>8</w:t>
        </w:r>
      </w:hyperlink>
      <w:r>
        <w:t xml:space="preserve">. The high end is the mean weathering rate in ORCHIDEE, where the values are based on </w:t>
      </w:r>
      <w:proofErr w:type="spellStart"/>
      <w:r>
        <w:t>Strefler</w:t>
      </w:r>
      <w:proofErr w:type="spellEnd"/>
      <w:r>
        <w:t xml:space="preserve"> et al. (2018)</w:t>
      </w:r>
      <w:hyperlink r:id="rId25">
        <w:r>
          <w:rPr>
            <w:vertAlign w:val="superscript"/>
          </w:rPr>
          <w:t>2</w:t>
        </w:r>
      </w:hyperlink>
      <w:r>
        <w:t xml:space="preserve"> and on local temperatures. For a temperature of 25°C and a pH of 5</w:t>
      </w:r>
      <w:r>
        <w:t xml:space="preserve">.85, </w:t>
      </w:r>
      <w:proofErr w:type="spellStart"/>
      <w:r>
        <w:t>Rinder</w:t>
      </w:r>
      <w:proofErr w:type="spellEnd"/>
      <w:r>
        <w:t xml:space="preserve"> and von </w:t>
      </w:r>
      <w:proofErr w:type="spellStart"/>
      <w:r>
        <w:t>Hagke</w:t>
      </w:r>
      <w:proofErr w:type="spellEnd"/>
      <w:r>
        <w:t xml:space="preserve"> report a weathering rate of 2.63 10</w:t>
      </w:r>
      <w:r>
        <w:rPr>
          <w:vertAlign w:val="superscript"/>
        </w:rPr>
        <w:t>-12</w:t>
      </w:r>
      <w:r>
        <w:t xml:space="preserve"> </w:t>
      </w:r>
      <w:proofErr w:type="gramStart"/>
      <w:r>
        <w:t>mol.g</w:t>
      </w:r>
      <w:proofErr w:type="gramEnd"/>
      <w:r>
        <w:rPr>
          <w:vertAlign w:val="superscript"/>
        </w:rPr>
        <w:t>-1</w:t>
      </w:r>
      <w:r>
        <w:t>.s</w:t>
      </w:r>
      <w:r>
        <w:rPr>
          <w:vertAlign w:val="superscript"/>
        </w:rPr>
        <w:t>-1</w:t>
      </w:r>
      <w:r>
        <w:t xml:space="preserve">, which is 12.7 times lower than what one obtains with equation G-2 in </w:t>
      </w:r>
      <w:proofErr w:type="spellStart"/>
      <w:r>
        <w:t>Strefler</w:t>
      </w:r>
      <w:proofErr w:type="spellEnd"/>
      <w:r>
        <w:t xml:space="preserve"> et al. (2018), with the same temperature and pH, notably because of a lower reactive surface. Given </w:t>
      </w:r>
      <w:r>
        <w:t>these diverse estimates of weathering rate, we assume that the uncertainty range of weathering rate is uniformly distributed between 1% and 26% per year. This uncertainty range is small compared to the 5-95% range in ref</w:t>
      </w:r>
      <w:hyperlink r:id="rId26">
        <w:r>
          <w:rPr>
            <w:vertAlign w:val="superscript"/>
          </w:rPr>
          <w:t>2</w:t>
        </w:r>
      </w:hyperlink>
      <w:r>
        <w:t>, which varies by a factor of a thousand. However, due to the critical role of weathering rate, we investigate the impacts of very low values separately. We also assume that all minerals containe</w:t>
      </w:r>
      <w:r>
        <w:t>d in basalt are weathered simultaneously.</w:t>
      </w:r>
    </w:p>
    <w:p w:rsidR="00DC23FA" w:rsidRDefault="00DC23FA">
      <w:pPr>
        <w:spacing w:after="0" w:line="240" w:lineRule="auto"/>
        <w:ind w:firstLine="720"/>
      </w:pPr>
      <w:bookmarkStart w:id="7" w:name="_3znysh7" w:colFirst="0" w:colLast="0"/>
      <w:bookmarkEnd w:id="7"/>
    </w:p>
    <w:p w:rsidR="00DC23FA" w:rsidRDefault="00DC23FA">
      <w:pPr>
        <w:spacing w:after="0" w:line="240" w:lineRule="auto"/>
        <w:rPr>
          <w:b/>
        </w:rPr>
      </w:pPr>
    </w:p>
    <w:p w:rsidR="00DC23FA" w:rsidRDefault="009C15B2">
      <w:pPr>
        <w:spacing w:after="0" w:line="240" w:lineRule="auto"/>
      </w:pPr>
      <w:r>
        <w:rPr>
          <w:noProof/>
        </w:rPr>
        <w:drawing>
          <wp:inline distT="114300" distB="114300" distL="114300" distR="114300">
            <wp:extent cx="2410000" cy="1800000"/>
            <wp:effectExtent l="0" t="0" r="0" b="0"/>
            <wp:docPr id="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27"/>
                    <a:srcRect t="207" b="207"/>
                    <a:stretch>
                      <a:fillRect/>
                    </a:stretch>
                  </pic:blipFill>
                  <pic:spPr>
                    <a:xfrm>
                      <a:off x="0" y="0"/>
                      <a:ext cx="2410000" cy="1800000"/>
                    </a:xfrm>
                    <a:prstGeom prst="rect">
                      <a:avLst/>
                    </a:prstGeom>
                    <a:ln/>
                  </pic:spPr>
                </pic:pic>
              </a:graphicData>
            </a:graphic>
          </wp:inline>
        </w:drawing>
      </w:r>
      <w:r>
        <w:rPr>
          <w:noProof/>
        </w:rPr>
        <w:drawing>
          <wp:inline distT="114300" distB="114300" distL="114300" distR="114300">
            <wp:extent cx="2409825" cy="1646092"/>
            <wp:effectExtent l="0" t="0" r="0" b="0"/>
            <wp:docPr id="14"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28"/>
                    <a:srcRect t="8683" b="146"/>
                    <a:stretch>
                      <a:fillRect/>
                    </a:stretch>
                  </pic:blipFill>
                  <pic:spPr>
                    <a:xfrm>
                      <a:off x="0" y="0"/>
                      <a:ext cx="2409825" cy="1646092"/>
                    </a:xfrm>
                    <a:prstGeom prst="rect">
                      <a:avLst/>
                    </a:prstGeom>
                    <a:ln/>
                  </pic:spPr>
                </pic:pic>
              </a:graphicData>
            </a:graphic>
          </wp:inline>
        </w:drawing>
      </w:r>
    </w:p>
    <w:p w:rsidR="00DC23FA" w:rsidRDefault="009C15B2">
      <w:pPr>
        <w:spacing w:after="0" w:line="240" w:lineRule="auto"/>
        <w:rPr>
          <w:sz w:val="18"/>
          <w:szCs w:val="18"/>
          <w:vertAlign w:val="superscript"/>
        </w:rPr>
      </w:pPr>
      <w:r>
        <w:rPr>
          <w:b/>
          <w:sz w:val="18"/>
          <w:szCs w:val="18"/>
        </w:rPr>
        <w:t xml:space="preserve">Fig S1.2.1 Response of the land carbon pool to </w:t>
      </w:r>
      <w:proofErr w:type="gramStart"/>
      <w:r>
        <w:rPr>
          <w:b/>
          <w:sz w:val="18"/>
          <w:szCs w:val="18"/>
        </w:rPr>
        <w:t>a</w:t>
      </w:r>
      <w:proofErr w:type="gramEnd"/>
      <w:r>
        <w:rPr>
          <w:b/>
          <w:sz w:val="18"/>
          <w:szCs w:val="18"/>
        </w:rPr>
        <w:t xml:space="preserve"> NPP change from equilibrium </w:t>
      </w:r>
      <w:r>
        <w:rPr>
          <w:sz w:val="18"/>
          <w:szCs w:val="18"/>
        </w:rPr>
        <w:t>(CO</w:t>
      </w:r>
      <w:r>
        <w:rPr>
          <w:sz w:val="18"/>
          <w:szCs w:val="18"/>
          <w:vertAlign w:val="subscript"/>
        </w:rPr>
        <w:t>2</w:t>
      </w:r>
      <w:r>
        <w:rPr>
          <w:sz w:val="18"/>
          <w:szCs w:val="18"/>
        </w:rPr>
        <w:t xml:space="preserve"> and temperature conditions of the year 2000). </w:t>
      </w:r>
    </w:p>
    <w:p w:rsidR="00DC23FA" w:rsidRDefault="00DC23FA">
      <w:pPr>
        <w:spacing w:after="0" w:line="240" w:lineRule="auto"/>
      </w:pPr>
    </w:p>
    <w:p w:rsidR="00DC23FA" w:rsidRDefault="00DC23FA">
      <w:pPr>
        <w:spacing w:after="0" w:line="240" w:lineRule="auto"/>
        <w:ind w:firstLine="720"/>
      </w:pPr>
    </w:p>
    <w:p w:rsidR="00DC23FA" w:rsidRDefault="00DC23FA">
      <w:pPr>
        <w:spacing w:after="0" w:line="240" w:lineRule="auto"/>
      </w:pPr>
    </w:p>
    <w:p w:rsidR="00DC23FA" w:rsidRDefault="00DC23FA">
      <w:pPr>
        <w:spacing w:after="0" w:line="240" w:lineRule="auto"/>
      </w:pPr>
      <w:bookmarkStart w:id="8" w:name="_2et92p0" w:colFirst="0" w:colLast="0"/>
      <w:bookmarkEnd w:id="8"/>
    </w:p>
    <w:p w:rsidR="00DC23FA" w:rsidRDefault="00DC23FA">
      <w:pPr>
        <w:spacing w:after="0" w:line="240" w:lineRule="auto"/>
      </w:pPr>
      <w:bookmarkStart w:id="9" w:name="_51rupbofrvq7" w:colFirst="0" w:colLast="0"/>
      <w:bookmarkEnd w:id="9"/>
    </w:p>
    <w:p w:rsidR="00DC23FA" w:rsidRDefault="00DC23FA">
      <w:pPr>
        <w:spacing w:after="0" w:line="240" w:lineRule="auto"/>
      </w:pPr>
      <w:bookmarkStart w:id="10" w:name="_j0z04culfz6i" w:colFirst="0" w:colLast="0"/>
      <w:bookmarkEnd w:id="10"/>
    </w:p>
    <w:p w:rsidR="00DC23FA" w:rsidRDefault="009C15B2">
      <w:pPr>
        <w:spacing w:after="0" w:line="240" w:lineRule="auto"/>
        <w:rPr>
          <w:b/>
        </w:rPr>
      </w:pPr>
      <w:bookmarkStart w:id="11" w:name="_u5ied23lfgnx" w:colFirst="0" w:colLast="0"/>
      <w:bookmarkEnd w:id="11"/>
      <w:r>
        <w:rPr>
          <w:b/>
        </w:rPr>
        <w:t xml:space="preserve">Calibration of the model </w:t>
      </w:r>
    </w:p>
    <w:p w:rsidR="00DC23FA" w:rsidRDefault="00DC23FA">
      <w:pPr>
        <w:spacing w:after="0" w:line="240" w:lineRule="auto"/>
        <w:rPr>
          <w:b/>
        </w:rPr>
      </w:pPr>
      <w:bookmarkStart w:id="12" w:name="_rpreugsbo5it" w:colFirst="0" w:colLast="0"/>
      <w:bookmarkEnd w:id="12"/>
    </w:p>
    <w:p w:rsidR="00DC23FA" w:rsidRDefault="009C15B2">
      <w:pPr>
        <w:spacing w:after="0" w:line="240" w:lineRule="auto"/>
        <w:rPr>
          <w:i/>
        </w:rPr>
      </w:pPr>
      <w:bookmarkStart w:id="13" w:name="_ei69k4ijd7mt" w:colFirst="0" w:colLast="0"/>
      <w:bookmarkEnd w:id="13"/>
      <w:r>
        <w:t>Since there is no spatial resolution in GET-ACC</w:t>
      </w:r>
      <w:r>
        <w:t xml:space="preserve">2, we express </w:t>
      </w:r>
      <m:oMath>
        <m:r>
          <w:rPr>
            <w:rFonts w:ascii="Cambria Math" w:hAnsi="Cambria Math"/>
          </w:rPr>
          <m:t>δNPP</m:t>
        </m:r>
      </m:oMath>
      <w:r>
        <w:t xml:space="preserve"> as the function of two unidimensional variables: the area of basalt application </w:t>
      </w:r>
      <w:proofErr w:type="spellStart"/>
      <w:r>
        <w:rPr>
          <w:i/>
        </w:rPr>
        <w:t>a</w:t>
      </w:r>
      <w:r>
        <w:rPr>
          <w:i/>
          <w:vertAlign w:val="subscript"/>
        </w:rPr>
        <w:t>B</w:t>
      </w:r>
      <w:proofErr w:type="spellEnd"/>
      <w:r>
        <w:rPr>
          <w:i/>
        </w:rPr>
        <w:t xml:space="preserve"> </w:t>
      </w:r>
      <w:r>
        <w:t>[</w:t>
      </w:r>
      <w:r>
        <w:rPr>
          <w:b/>
        </w:rPr>
        <w:t>Mkm</w:t>
      </w:r>
      <w:r>
        <w:rPr>
          <w:b/>
          <w:vertAlign w:val="superscript"/>
        </w:rPr>
        <w:t>-2</w:t>
      </w:r>
      <w:r>
        <w:t xml:space="preserve">], and the rock application rate </w:t>
      </w:r>
      <w:proofErr w:type="spellStart"/>
      <w:r>
        <w:rPr>
          <w:i/>
        </w:rPr>
        <w:t>c</w:t>
      </w:r>
      <w:r>
        <w:rPr>
          <w:i/>
          <w:vertAlign w:val="subscript"/>
        </w:rPr>
        <w:t>B</w:t>
      </w:r>
      <w:proofErr w:type="spellEnd"/>
      <w:r>
        <w:t xml:space="preserve">. The variable </w:t>
      </w:r>
      <w:proofErr w:type="spellStart"/>
      <w:r>
        <w:rPr>
          <w:i/>
        </w:rPr>
        <w:t>a</w:t>
      </w:r>
      <w:r>
        <w:rPr>
          <w:i/>
          <w:vertAlign w:val="subscript"/>
        </w:rPr>
        <w:t>B</w:t>
      </w:r>
      <w:proofErr w:type="spellEnd"/>
      <w:r>
        <w:t xml:space="preserve"> is defined by ranking the application sites according to their NPP stimulation from high to</w:t>
      </w:r>
      <w:r>
        <w:t xml:space="preserve"> low. </w:t>
      </w:r>
      <m:oMath>
        <m:r>
          <w:rPr>
            <w:rFonts w:ascii="Cambria Math" w:hAnsi="Cambria Math"/>
          </w:rPr>
          <m:t>δNPP</m:t>
        </m:r>
        <m:r>
          <w:rPr>
            <w:rFonts w:ascii="Cambria Math" w:hAnsi="Cambria Math"/>
          </w:rPr>
          <m:t xml:space="preserve"> </m:t>
        </m:r>
      </m:oMath>
      <w:r>
        <w:t xml:space="preserve"> also evolves with time: we build a function </w:t>
      </w:r>
      <m:oMath>
        <m:r>
          <w:rPr>
            <w:rFonts w:ascii="Cambria Math" w:hAnsi="Cambria Math"/>
          </w:rPr>
          <m:t>f</m:t>
        </m:r>
        <m:r>
          <w:rPr>
            <w:rFonts w:ascii="Cambria Math" w:hAnsi="Cambria Math"/>
          </w:rPr>
          <m:t>(</m:t>
        </m:r>
        <m:sSub>
          <m:sSubPr>
            <m:ctrlPr>
              <w:rPr>
                <w:rFonts w:ascii="Cambria Math" w:hAnsi="Cambria Math"/>
              </w:rPr>
            </m:ctrlPr>
          </m:sSubPr>
          <m:e>
            <m:r>
              <w:rPr>
                <w:rFonts w:ascii="Cambria Math" w:hAnsi="Cambria Math"/>
              </w:rPr>
              <m:t>c</m:t>
            </m:r>
          </m:e>
          <m:sub>
            <m:r>
              <w:rPr>
                <w:rFonts w:ascii="Cambria Math" w:hAnsi="Cambria Math"/>
              </w:rPr>
              <m:t>B</m:t>
            </m:r>
          </m:sub>
        </m:sSub>
        <m:r>
          <w:rPr>
            <w:rFonts w:ascii="Cambria Math" w:hAnsi="Cambria Math"/>
          </w:rPr>
          <m:t>,</m:t>
        </m:r>
        <m:sSub>
          <m:sSubPr>
            <m:ctrlPr>
              <w:rPr>
                <w:rFonts w:ascii="Cambria Math" w:hAnsi="Cambria Math"/>
              </w:rPr>
            </m:ctrlPr>
          </m:sSubPr>
          <m:e>
            <m:r>
              <w:rPr>
                <w:rFonts w:ascii="Cambria Math" w:hAnsi="Cambria Math"/>
              </w:rPr>
              <m:t>a</m:t>
            </m:r>
          </m:e>
          <m:sub>
            <m:r>
              <w:rPr>
                <w:rFonts w:ascii="Cambria Math" w:hAnsi="Cambria Math"/>
              </w:rPr>
              <m:t>B</m:t>
            </m:r>
          </m:sub>
        </m:sSub>
        <m:r>
          <w:rPr>
            <w:rFonts w:ascii="Cambria Math" w:hAnsi="Cambria Math"/>
          </w:rPr>
          <m:t>,</m:t>
        </m:r>
        <m:r>
          <w:rPr>
            <w:rFonts w:ascii="Cambria Math" w:hAnsi="Cambria Math"/>
          </w:rPr>
          <m:t>t</m:t>
        </m:r>
        <m:r>
          <w:rPr>
            <w:rFonts w:ascii="Cambria Math" w:hAnsi="Cambria Math"/>
          </w:rPr>
          <m:t>)</m:t>
        </m:r>
      </m:oMath>
      <w:r>
        <w:t xml:space="preserve"> that fits the sets of value </w:t>
      </w:r>
      <m:oMath>
        <m:r>
          <w:rPr>
            <w:rFonts w:ascii="Cambria Math" w:hAnsi="Cambria Math"/>
          </w:rPr>
          <m:t>δNPP</m:t>
        </m:r>
        <m:r>
          <w:rPr>
            <w:rFonts w:ascii="Cambria Math" w:hAnsi="Cambria Math"/>
          </w:rPr>
          <m:t>(</m:t>
        </m:r>
        <m:sSup>
          <m:sSupPr>
            <m:ctrlPr>
              <w:rPr>
                <w:rFonts w:ascii="Cambria Math" w:hAnsi="Cambria Math"/>
              </w:rPr>
            </m:ctrlPr>
          </m:sSupPr>
          <m:e>
            <m:sSub>
              <m:sSubPr>
                <m:ctrlPr>
                  <w:rPr>
                    <w:rFonts w:ascii="Cambria Math" w:hAnsi="Cambria Math"/>
                  </w:rPr>
                </m:ctrlPr>
              </m:sSubPr>
              <m:e>
                <m:r>
                  <w:rPr>
                    <w:rFonts w:ascii="Cambria Math" w:hAnsi="Cambria Math"/>
                  </w:rPr>
                  <m:t>c</m:t>
                </m:r>
              </m:e>
              <m:sub>
                <m:r>
                  <w:rPr>
                    <w:rFonts w:ascii="Cambria Math" w:hAnsi="Cambria Math"/>
                  </w:rPr>
                  <m:t>B</m:t>
                </m:r>
              </m:sub>
            </m:sSub>
          </m:e>
          <m:sup>
            <m:r>
              <w:rPr>
                <w:rFonts w:ascii="Cambria Math" w:hAnsi="Cambria Math"/>
              </w:rPr>
              <m:t>i</m:t>
            </m:r>
          </m:sup>
        </m:sSup>
        <m:r>
          <w:rPr>
            <w:rFonts w:ascii="Cambria Math" w:hAnsi="Cambria Math"/>
          </w:rPr>
          <m:t>,</m:t>
        </m:r>
        <m:sSup>
          <m:sSupPr>
            <m:ctrlPr>
              <w:rPr>
                <w:rFonts w:ascii="Cambria Math" w:hAnsi="Cambria Math"/>
              </w:rPr>
            </m:ctrlPr>
          </m:sSupPr>
          <m:e>
            <m:sSub>
              <m:sSubPr>
                <m:ctrlPr>
                  <w:rPr>
                    <w:rFonts w:ascii="Cambria Math" w:hAnsi="Cambria Math"/>
                  </w:rPr>
                </m:ctrlPr>
              </m:sSubPr>
              <m:e>
                <m:r>
                  <w:rPr>
                    <w:rFonts w:ascii="Cambria Math" w:hAnsi="Cambria Math"/>
                  </w:rPr>
                  <m:t>a</m:t>
                </m:r>
              </m:e>
              <m:sub>
                <m:r>
                  <w:rPr>
                    <w:rFonts w:ascii="Cambria Math" w:hAnsi="Cambria Math"/>
                  </w:rPr>
                  <m:t>B</m:t>
                </m:r>
              </m:sub>
            </m:sSub>
          </m:e>
          <m:sup>
            <m:r>
              <w:rPr>
                <w:rFonts w:ascii="Cambria Math" w:hAnsi="Cambria Math"/>
              </w:rPr>
              <m:t>j</m:t>
            </m:r>
          </m:sup>
        </m:sSup>
        <m:r>
          <w:rPr>
            <w:rFonts w:ascii="Cambria Math" w:hAnsi="Cambria Math"/>
          </w:rPr>
          <m:t>,</m:t>
        </m:r>
        <m:sSup>
          <m:sSupPr>
            <m:ctrlPr>
              <w:rPr>
                <w:rFonts w:ascii="Cambria Math" w:hAnsi="Cambria Math"/>
              </w:rPr>
            </m:ctrlPr>
          </m:sSupPr>
          <m:e>
            <m:r>
              <w:rPr>
                <w:rFonts w:ascii="Cambria Math" w:hAnsi="Cambria Math"/>
              </w:rPr>
              <m:t>t</m:t>
            </m:r>
          </m:e>
          <m:sup>
            <m:r>
              <w:rPr>
                <w:rFonts w:ascii="Cambria Math" w:hAnsi="Cambria Math"/>
              </w:rPr>
              <m:t>k</m:t>
            </m:r>
          </m:sup>
        </m:sSup>
        <m:r>
          <w:rPr>
            <w:rFonts w:ascii="Cambria Math" w:hAnsi="Cambria Math"/>
          </w:rPr>
          <m:t>)</m:t>
        </m:r>
      </m:oMath>
      <w:r>
        <w:t xml:space="preserve">. First, the relation </w:t>
      </w:r>
      <m:oMath>
        <m:sSup>
          <m:sSupPr>
            <m:ctrlPr>
              <w:rPr>
                <w:rFonts w:ascii="Cambria Math" w:hAnsi="Cambria Math"/>
              </w:rPr>
            </m:ctrlPr>
          </m:sSupPr>
          <m:e>
            <m:r>
              <w:rPr>
                <w:rFonts w:ascii="Cambria Math" w:hAnsi="Cambria Math"/>
              </w:rPr>
              <m:t>g</m:t>
            </m:r>
          </m:e>
          <m:sup>
            <m:r>
              <w:rPr>
                <w:rFonts w:ascii="Cambria Math" w:hAnsi="Cambria Math"/>
              </w:rPr>
              <m:t>i</m:t>
            </m:r>
            <m:r>
              <w:rPr>
                <w:rFonts w:ascii="Cambria Math" w:hAnsi="Cambria Math"/>
              </w:rPr>
              <m:t>,</m:t>
            </m:r>
            <m:r>
              <w:rPr>
                <w:rFonts w:ascii="Cambria Math" w:hAnsi="Cambria Math"/>
              </w:rPr>
              <m:t>k</m:t>
            </m:r>
          </m:sup>
        </m:sSup>
        <m:r>
          <w:rPr>
            <w:rFonts w:ascii="Cambria Math" w:hAnsi="Cambria Math"/>
          </w:rPr>
          <m:t xml:space="preserve">:  </m:t>
        </m:r>
        <m:sSup>
          <m:sSupPr>
            <m:ctrlPr>
              <w:rPr>
                <w:rFonts w:ascii="Cambria Math" w:hAnsi="Cambria Math"/>
              </w:rPr>
            </m:ctrlPr>
          </m:sSupPr>
          <m:e>
            <m:sSub>
              <m:sSubPr>
                <m:ctrlPr>
                  <w:rPr>
                    <w:rFonts w:ascii="Cambria Math" w:hAnsi="Cambria Math"/>
                  </w:rPr>
                </m:ctrlPr>
              </m:sSubPr>
              <m:e>
                <m:r>
                  <w:rPr>
                    <w:rFonts w:ascii="Cambria Math" w:hAnsi="Cambria Math"/>
                  </w:rPr>
                  <m:t>a</m:t>
                </m:r>
              </m:e>
              <m:sub>
                <m:r>
                  <w:rPr>
                    <w:rFonts w:ascii="Cambria Math" w:hAnsi="Cambria Math"/>
                  </w:rPr>
                  <m:t>B</m:t>
                </m:r>
              </m:sub>
            </m:sSub>
          </m:e>
          <m:sup/>
        </m:sSup>
        <m:r>
          <w:rPr>
            <w:rFonts w:ascii="Cambria Math" w:hAnsi="Cambria Math"/>
          </w:rPr>
          <m:t>↦</m:t>
        </m:r>
        <m:r>
          <w:rPr>
            <w:rFonts w:ascii="Cambria Math" w:hAnsi="Cambria Math"/>
          </w:rPr>
          <m:t xml:space="preserve"> </m:t>
        </m:r>
        <m:r>
          <w:rPr>
            <w:rFonts w:ascii="Cambria Math" w:hAnsi="Cambria Math"/>
          </w:rPr>
          <m:t>δNPP</m:t>
        </m:r>
        <m:r>
          <w:rPr>
            <w:rFonts w:ascii="Cambria Math" w:hAnsi="Cambria Math"/>
          </w:rPr>
          <m:t>(</m:t>
        </m:r>
        <m:sSup>
          <m:sSupPr>
            <m:ctrlPr>
              <w:rPr>
                <w:rFonts w:ascii="Cambria Math" w:hAnsi="Cambria Math"/>
              </w:rPr>
            </m:ctrlPr>
          </m:sSupPr>
          <m:e>
            <m:sSub>
              <m:sSubPr>
                <m:ctrlPr>
                  <w:rPr>
                    <w:rFonts w:ascii="Cambria Math" w:hAnsi="Cambria Math"/>
                  </w:rPr>
                </m:ctrlPr>
              </m:sSubPr>
              <m:e>
                <m:r>
                  <w:rPr>
                    <w:rFonts w:ascii="Cambria Math" w:hAnsi="Cambria Math"/>
                  </w:rPr>
                  <m:t>c</m:t>
                </m:r>
              </m:e>
              <m:sub>
                <m:r>
                  <w:rPr>
                    <w:rFonts w:ascii="Cambria Math" w:hAnsi="Cambria Math"/>
                  </w:rPr>
                  <m:t>B</m:t>
                </m:r>
              </m:sub>
            </m:sSub>
          </m:e>
          <m:sup>
            <m:r>
              <w:rPr>
                <w:rFonts w:ascii="Cambria Math" w:hAnsi="Cambria Math"/>
              </w:rPr>
              <m:t>i</m:t>
            </m:r>
          </m:sup>
        </m:sSup>
        <m:r>
          <w:rPr>
            <w:rFonts w:ascii="Cambria Math" w:hAnsi="Cambria Math"/>
          </w:rPr>
          <m:t>,</m:t>
        </m:r>
        <m:sSup>
          <m:sSupPr>
            <m:ctrlPr>
              <w:rPr>
                <w:rFonts w:ascii="Cambria Math" w:hAnsi="Cambria Math"/>
              </w:rPr>
            </m:ctrlPr>
          </m:sSupPr>
          <m:e>
            <m:sSub>
              <m:sSubPr>
                <m:ctrlPr>
                  <w:rPr>
                    <w:rFonts w:ascii="Cambria Math" w:hAnsi="Cambria Math"/>
                  </w:rPr>
                </m:ctrlPr>
              </m:sSubPr>
              <m:e>
                <m:r>
                  <w:rPr>
                    <w:rFonts w:ascii="Cambria Math" w:hAnsi="Cambria Math"/>
                  </w:rPr>
                  <m:t>a</m:t>
                </m:r>
              </m:e>
              <m:sub>
                <m:r>
                  <w:rPr>
                    <w:rFonts w:ascii="Cambria Math" w:hAnsi="Cambria Math"/>
                  </w:rPr>
                  <m:t>B</m:t>
                </m:r>
              </m:sub>
            </m:sSub>
          </m:e>
          <m:sup/>
        </m:sSup>
        <m:r>
          <w:rPr>
            <w:rFonts w:ascii="Cambria Math" w:hAnsi="Cambria Math"/>
          </w:rPr>
          <m:t>,</m:t>
        </m:r>
        <m:sSup>
          <m:sSupPr>
            <m:ctrlPr>
              <w:rPr>
                <w:rFonts w:ascii="Cambria Math" w:hAnsi="Cambria Math"/>
              </w:rPr>
            </m:ctrlPr>
          </m:sSupPr>
          <m:e>
            <m:r>
              <w:rPr>
                <w:rFonts w:ascii="Cambria Math" w:hAnsi="Cambria Math"/>
              </w:rPr>
              <m:t>t</m:t>
            </m:r>
          </m:e>
          <m:sup>
            <m:r>
              <w:rPr>
                <w:rFonts w:ascii="Cambria Math" w:hAnsi="Cambria Math"/>
              </w:rPr>
              <m:t>k</m:t>
            </m:r>
          </m:sup>
        </m:sSup>
        <m:r>
          <w:rPr>
            <w:rFonts w:ascii="Cambria Math" w:hAnsi="Cambria Math"/>
          </w:rPr>
          <m:t>)</m:t>
        </m:r>
      </m:oMath>
      <w:r>
        <w:t xml:space="preserve"> can be well fitted as the product of a term </w:t>
      </w:r>
      <m:oMath>
        <m:r>
          <w:rPr>
            <w:rFonts w:ascii="Cambria Math" w:hAnsi="Cambria Math"/>
          </w:rPr>
          <m:t>A</m:t>
        </m:r>
        <m:r>
          <w:rPr>
            <w:rFonts w:ascii="Cambria Math" w:hAnsi="Cambria Math"/>
          </w:rPr>
          <m:t>(</m:t>
        </m:r>
        <m:sSup>
          <m:sSupPr>
            <m:ctrlPr>
              <w:rPr>
                <w:rFonts w:ascii="Cambria Math" w:hAnsi="Cambria Math"/>
              </w:rPr>
            </m:ctrlPr>
          </m:sSupPr>
          <m:e>
            <m:sSub>
              <m:sSubPr>
                <m:ctrlPr>
                  <w:rPr>
                    <w:rFonts w:ascii="Cambria Math" w:hAnsi="Cambria Math"/>
                  </w:rPr>
                </m:ctrlPr>
              </m:sSubPr>
              <m:e>
                <m:r>
                  <w:rPr>
                    <w:rFonts w:ascii="Cambria Math" w:hAnsi="Cambria Math"/>
                  </w:rPr>
                  <m:t>c</m:t>
                </m:r>
              </m:e>
              <m:sub>
                <m:r>
                  <w:rPr>
                    <w:rFonts w:ascii="Cambria Math" w:hAnsi="Cambria Math"/>
                  </w:rPr>
                  <m:t>B</m:t>
                </m:r>
              </m:sub>
            </m:sSub>
          </m:e>
          <m:sup>
            <m:r>
              <w:rPr>
                <w:rFonts w:ascii="Cambria Math" w:hAnsi="Cambria Math"/>
              </w:rPr>
              <m:t>i</m:t>
            </m:r>
          </m:sup>
        </m:sSup>
        <m:r>
          <w:rPr>
            <w:rFonts w:ascii="Cambria Math" w:hAnsi="Cambria Math"/>
          </w:rPr>
          <m:t>,</m:t>
        </m:r>
        <m:sSup>
          <m:sSupPr>
            <m:ctrlPr>
              <w:rPr>
                <w:rFonts w:ascii="Cambria Math" w:hAnsi="Cambria Math"/>
              </w:rPr>
            </m:ctrlPr>
          </m:sSupPr>
          <m:e>
            <m:r>
              <w:rPr>
                <w:rFonts w:ascii="Cambria Math" w:hAnsi="Cambria Math"/>
              </w:rPr>
              <m:t>t</m:t>
            </m:r>
          </m:e>
          <m:sup>
            <m:r>
              <w:rPr>
                <w:rFonts w:ascii="Cambria Math" w:hAnsi="Cambria Math"/>
              </w:rPr>
              <m:t>k</m:t>
            </m:r>
          </m:sup>
        </m:sSup>
        <m:r>
          <w:rPr>
            <w:rFonts w:ascii="Cambria Math" w:hAnsi="Cambria Math"/>
          </w:rPr>
          <m:t>)</m:t>
        </m:r>
      </m:oMath>
      <w:r>
        <w:t xml:space="preserve"> that depends only on </w:t>
      </w:r>
      <m:oMath>
        <m:sSup>
          <m:sSupPr>
            <m:ctrlPr>
              <w:rPr>
                <w:rFonts w:ascii="Cambria Math" w:hAnsi="Cambria Math"/>
              </w:rPr>
            </m:ctrlPr>
          </m:sSupPr>
          <m:e>
            <m:sSub>
              <m:sSubPr>
                <m:ctrlPr>
                  <w:rPr>
                    <w:rFonts w:ascii="Cambria Math" w:hAnsi="Cambria Math"/>
                  </w:rPr>
                </m:ctrlPr>
              </m:sSubPr>
              <m:e>
                <m:r>
                  <w:rPr>
                    <w:rFonts w:ascii="Cambria Math" w:hAnsi="Cambria Math"/>
                  </w:rPr>
                  <m:t>c</m:t>
                </m:r>
              </m:e>
              <m:sub>
                <m:r>
                  <w:rPr>
                    <w:rFonts w:ascii="Cambria Math" w:hAnsi="Cambria Math"/>
                  </w:rPr>
                  <m:t>B</m:t>
                </m:r>
              </m:sub>
            </m:sSub>
          </m:e>
          <m:sup>
            <m:r>
              <w:rPr>
                <w:rFonts w:ascii="Cambria Math" w:hAnsi="Cambria Math"/>
              </w:rPr>
              <m:t>i</m:t>
            </m:r>
          </m:sup>
        </m:sSup>
      </m:oMath>
      <w:r>
        <w:t xml:space="preserve"> and </w:t>
      </w:r>
      <m:oMath>
        <m:sSup>
          <m:sSupPr>
            <m:ctrlPr>
              <w:rPr>
                <w:rFonts w:ascii="Cambria Math" w:hAnsi="Cambria Math"/>
              </w:rPr>
            </m:ctrlPr>
          </m:sSupPr>
          <m:e>
            <m:r>
              <w:rPr>
                <w:rFonts w:ascii="Cambria Math" w:hAnsi="Cambria Math"/>
              </w:rPr>
              <m:t>t</m:t>
            </m:r>
          </m:e>
          <m:sup>
            <m:r>
              <w:rPr>
                <w:rFonts w:ascii="Cambria Math" w:hAnsi="Cambria Math"/>
              </w:rPr>
              <m:t>k</m:t>
            </m:r>
          </m:sup>
        </m:sSup>
      </m:oMath>
      <w:r>
        <w:t xml:space="preserve">, by an exponential saturation term </w:t>
      </w:r>
      <m:oMath>
        <m:r>
          <w:rPr>
            <w:rFonts w:ascii="Cambria Math" w:hAnsi="Cambria Math"/>
          </w:rPr>
          <m:t>(1-</m:t>
        </m:r>
        <m:sSup>
          <m:sSupPr>
            <m:ctrlPr>
              <w:rPr>
                <w:rFonts w:ascii="Cambria Math" w:hAnsi="Cambria Math"/>
              </w:rPr>
            </m:ctrlPr>
          </m:sSupPr>
          <m:e>
            <m:r>
              <w:rPr>
                <w:rFonts w:ascii="Cambria Math" w:hAnsi="Cambria Math"/>
              </w:rPr>
              <m:t>e</m:t>
            </m:r>
          </m:e>
          <m:sup>
            <m:r>
              <w:rPr>
                <w:rFonts w:ascii="Cambria Math" w:hAnsi="Cambria Math"/>
              </w:rPr>
              <m:t>-</m:t>
            </m:r>
            <m:r>
              <w:rPr>
                <w:rFonts w:ascii="Cambria Math" w:hAnsi="Cambria Math"/>
              </w:rPr>
              <m:t>γ</m:t>
            </m:r>
            <m:sSub>
              <m:sSubPr>
                <m:ctrlPr>
                  <w:rPr>
                    <w:rFonts w:ascii="Cambria Math" w:hAnsi="Cambria Math"/>
                  </w:rPr>
                </m:ctrlPr>
              </m:sSubPr>
              <m:e>
                <m:r>
                  <w:rPr>
                    <w:rFonts w:ascii="Cambria Math" w:hAnsi="Cambria Math"/>
                  </w:rPr>
                  <m:t>a</m:t>
                </m:r>
              </m:e>
              <m:sub>
                <m:r>
                  <w:rPr>
                    <w:rFonts w:ascii="Cambria Math" w:hAnsi="Cambria Math"/>
                  </w:rPr>
                  <m:t>B</m:t>
                </m:r>
              </m:sub>
            </m:sSub>
          </m:sup>
        </m:sSup>
        <m:r>
          <w:rPr>
            <w:rFonts w:ascii="Cambria Math" w:hAnsi="Cambria Math"/>
          </w:rPr>
          <m:t>)</m:t>
        </m:r>
      </m:oMath>
      <w:r>
        <w:t>.</w:t>
      </w:r>
      <m:oMath>
        <m:r>
          <w:rPr>
            <w:rFonts w:ascii="Cambria Math" w:hAnsi="Cambria Math"/>
          </w:rPr>
          <m:t>f</m:t>
        </m:r>
        <m:r>
          <w:rPr>
            <w:rFonts w:ascii="Cambria Math" w:hAnsi="Cambria Math"/>
          </w:rPr>
          <m:t>(</m:t>
        </m:r>
        <m:sSub>
          <m:sSubPr>
            <m:ctrlPr>
              <w:rPr>
                <w:rFonts w:ascii="Cambria Math" w:hAnsi="Cambria Math"/>
              </w:rPr>
            </m:ctrlPr>
          </m:sSubPr>
          <m:e>
            <m:r>
              <w:rPr>
                <w:rFonts w:ascii="Cambria Math" w:hAnsi="Cambria Math"/>
              </w:rPr>
              <m:t>c</m:t>
            </m:r>
          </m:e>
          <m:sub>
            <m:r>
              <w:rPr>
                <w:rFonts w:ascii="Cambria Math" w:hAnsi="Cambria Math"/>
              </w:rPr>
              <m:t>B</m:t>
            </m:r>
          </m:sub>
        </m:sSub>
        <m:r>
          <w:rPr>
            <w:rFonts w:ascii="Cambria Math" w:hAnsi="Cambria Math"/>
          </w:rPr>
          <m:t>,</m:t>
        </m:r>
        <m:sSub>
          <m:sSubPr>
            <m:ctrlPr>
              <w:rPr>
                <w:rFonts w:ascii="Cambria Math" w:hAnsi="Cambria Math"/>
              </w:rPr>
            </m:ctrlPr>
          </m:sSubPr>
          <m:e>
            <m:r>
              <w:rPr>
                <w:rFonts w:ascii="Cambria Math" w:hAnsi="Cambria Math"/>
              </w:rPr>
              <m:t>a</m:t>
            </m:r>
          </m:e>
          <m:sub>
            <m:r>
              <w:rPr>
                <w:rFonts w:ascii="Cambria Math" w:hAnsi="Cambria Math"/>
              </w:rPr>
              <m:t>B</m:t>
            </m:r>
          </m:sub>
        </m:sSub>
        <m:r>
          <w:rPr>
            <w:rFonts w:ascii="Cambria Math" w:hAnsi="Cambria Math"/>
          </w:rPr>
          <m:t>,</m:t>
        </m:r>
        <m:r>
          <w:rPr>
            <w:rFonts w:ascii="Cambria Math" w:hAnsi="Cambria Math"/>
          </w:rPr>
          <m:t>t</m:t>
        </m:r>
        <m:r>
          <w:rPr>
            <w:rFonts w:ascii="Cambria Math" w:hAnsi="Cambria Math"/>
          </w:rPr>
          <m:t xml:space="preserve">) = </m:t>
        </m:r>
        <m:r>
          <w:rPr>
            <w:rFonts w:ascii="Cambria Math" w:hAnsi="Cambria Math"/>
          </w:rPr>
          <m:t>A</m:t>
        </m:r>
        <m:r>
          <w:rPr>
            <w:rFonts w:ascii="Cambria Math" w:hAnsi="Cambria Math"/>
          </w:rPr>
          <m:t>(</m:t>
        </m:r>
        <m:sSup>
          <m:sSupPr>
            <m:ctrlPr>
              <w:rPr>
                <w:rFonts w:ascii="Cambria Math" w:hAnsi="Cambria Math"/>
              </w:rPr>
            </m:ctrlPr>
          </m:sSupPr>
          <m:e>
            <m:sSub>
              <m:sSubPr>
                <m:ctrlPr>
                  <w:rPr>
                    <w:rFonts w:ascii="Cambria Math" w:hAnsi="Cambria Math"/>
                  </w:rPr>
                </m:ctrlPr>
              </m:sSubPr>
              <m:e>
                <m:r>
                  <w:rPr>
                    <w:rFonts w:ascii="Cambria Math" w:hAnsi="Cambria Math"/>
                  </w:rPr>
                  <m:t>c</m:t>
                </m:r>
              </m:e>
              <m:sub>
                <m:r>
                  <w:rPr>
                    <w:rFonts w:ascii="Cambria Math" w:hAnsi="Cambria Math"/>
                  </w:rPr>
                  <m:t>B</m:t>
                </m:r>
              </m:sub>
            </m:sSub>
          </m:e>
          <m:sup>
            <m:r>
              <w:rPr>
                <w:rFonts w:ascii="Cambria Math" w:hAnsi="Cambria Math"/>
              </w:rPr>
              <m:t>i</m:t>
            </m:r>
          </m:sup>
        </m:sSup>
        <m:r>
          <w:rPr>
            <w:rFonts w:ascii="Cambria Math" w:hAnsi="Cambria Math"/>
          </w:rPr>
          <m:t>,</m:t>
        </m:r>
        <m:sSup>
          <m:sSupPr>
            <m:ctrlPr>
              <w:rPr>
                <w:rFonts w:ascii="Cambria Math" w:hAnsi="Cambria Math"/>
              </w:rPr>
            </m:ctrlPr>
          </m:sSupPr>
          <m:e>
            <m:r>
              <w:rPr>
                <w:rFonts w:ascii="Cambria Math" w:hAnsi="Cambria Math"/>
              </w:rPr>
              <m:t>t</m:t>
            </m:r>
          </m:e>
          <m:sup>
            <m:r>
              <w:rPr>
                <w:rFonts w:ascii="Cambria Math" w:hAnsi="Cambria Math"/>
              </w:rPr>
              <m:t>k</m:t>
            </m:r>
          </m:sup>
        </m:sSup>
        <m:r>
          <w:rPr>
            <w:rFonts w:ascii="Cambria Math" w:hAnsi="Cambria Math"/>
          </w:rPr>
          <m:t>)⋅(1-</m:t>
        </m:r>
        <m:sSup>
          <m:sSupPr>
            <m:ctrlPr>
              <w:rPr>
                <w:rFonts w:ascii="Cambria Math" w:hAnsi="Cambria Math"/>
              </w:rPr>
            </m:ctrlPr>
          </m:sSupPr>
          <m:e>
            <m:r>
              <w:rPr>
                <w:rFonts w:ascii="Cambria Math" w:hAnsi="Cambria Math"/>
              </w:rPr>
              <m:t>e</m:t>
            </m:r>
          </m:e>
          <m:sup>
            <m:r>
              <w:rPr>
                <w:rFonts w:ascii="Cambria Math" w:hAnsi="Cambria Math"/>
              </w:rPr>
              <m:t>-</m:t>
            </m:r>
            <m:r>
              <w:rPr>
                <w:rFonts w:ascii="Cambria Math" w:hAnsi="Cambria Math"/>
              </w:rPr>
              <m:t>γ</m:t>
            </m:r>
            <m:sSub>
              <m:sSubPr>
                <m:ctrlPr>
                  <w:rPr>
                    <w:rFonts w:ascii="Cambria Math" w:hAnsi="Cambria Math"/>
                  </w:rPr>
                </m:ctrlPr>
              </m:sSubPr>
              <m:e>
                <m:r>
                  <w:rPr>
                    <w:rFonts w:ascii="Cambria Math" w:hAnsi="Cambria Math"/>
                  </w:rPr>
                  <m:t>a</m:t>
                </m:r>
              </m:e>
              <m:sub>
                <m:r>
                  <w:rPr>
                    <w:rFonts w:ascii="Cambria Math" w:hAnsi="Cambria Math"/>
                  </w:rPr>
                  <m:t>B</m:t>
                </m:r>
              </m:sub>
            </m:sSub>
          </m:sup>
        </m:sSup>
        <m:r>
          <w:rPr>
            <w:rFonts w:ascii="Cambria Math" w:hAnsi="Cambria Math"/>
          </w:rPr>
          <m:t>)</m:t>
        </m:r>
      </m:oMath>
      <w:r>
        <w:t xml:space="preserve">. This can be observed by plotting </w:t>
      </w:r>
      <m:oMath>
        <m:acc>
          <m:accPr>
            <m:chr m:val="̃"/>
            <m:ctrlPr>
              <w:rPr>
                <w:rFonts w:ascii="Cambria Math" w:hAnsi="Cambria Math"/>
              </w:rPr>
            </m:ctrlPr>
          </m:accPr>
          <m:e>
            <m:sSup>
              <m:sSupPr>
                <m:ctrlPr>
                  <w:rPr>
                    <w:rFonts w:ascii="Cambria Math" w:hAnsi="Cambria Math"/>
                  </w:rPr>
                </m:ctrlPr>
              </m:sSupPr>
              <m:e>
                <m:r>
                  <w:rPr>
                    <w:rFonts w:ascii="Cambria Math" w:hAnsi="Cambria Math"/>
                  </w:rPr>
                  <m:t>g</m:t>
                </m:r>
              </m:e>
              <m:sup>
                <m:r>
                  <w:rPr>
                    <w:rFonts w:ascii="Cambria Math" w:hAnsi="Cambria Math"/>
                  </w:rPr>
                  <m:t>i</m:t>
                </m:r>
                <m:r>
                  <w:rPr>
                    <w:rFonts w:ascii="Cambria Math" w:hAnsi="Cambria Math"/>
                  </w:rPr>
                  <m:t>,</m:t>
                </m:r>
                <m:r>
                  <w:rPr>
                    <w:rFonts w:ascii="Cambria Math" w:hAnsi="Cambria Math"/>
                  </w:rPr>
                  <m:t>k</m:t>
                </m:r>
              </m:sup>
            </m:sSup>
          </m:e>
        </m:acc>
        <m:r>
          <w:rPr>
            <w:rFonts w:ascii="Cambria Math" w:hAnsi="Cambria Math"/>
          </w:rPr>
          <m:t xml:space="preserve">:  </m:t>
        </m:r>
        <m:sSup>
          <m:sSupPr>
            <m:ctrlPr>
              <w:rPr>
                <w:rFonts w:ascii="Cambria Math" w:hAnsi="Cambria Math"/>
              </w:rPr>
            </m:ctrlPr>
          </m:sSupPr>
          <m:e>
            <m:sSub>
              <m:sSubPr>
                <m:ctrlPr>
                  <w:rPr>
                    <w:rFonts w:ascii="Cambria Math" w:hAnsi="Cambria Math"/>
                  </w:rPr>
                </m:ctrlPr>
              </m:sSubPr>
              <m:e>
                <m:r>
                  <w:rPr>
                    <w:rFonts w:ascii="Cambria Math" w:hAnsi="Cambria Math"/>
                  </w:rPr>
                  <m:t>a</m:t>
                </m:r>
              </m:e>
              <m:sub/>
            </m:sSub>
          </m:e>
          <m:sup/>
        </m:sSup>
        <m:r>
          <w:rPr>
            <w:rFonts w:ascii="Cambria Math" w:hAnsi="Cambria Math"/>
          </w:rPr>
          <m:t xml:space="preserve">↦ </m:t>
        </m:r>
        <m:f>
          <m:fPr>
            <m:ctrlPr>
              <w:rPr>
                <w:rFonts w:ascii="Cambria Math" w:hAnsi="Cambria Math"/>
              </w:rPr>
            </m:ctrlPr>
          </m:fPr>
          <m:num>
            <m:r>
              <w:rPr>
                <w:rFonts w:ascii="Cambria Math" w:hAnsi="Cambria Math"/>
              </w:rPr>
              <m:t>δNPP</m:t>
            </m:r>
            <m:r>
              <w:rPr>
                <w:rFonts w:ascii="Cambria Math" w:hAnsi="Cambria Math"/>
              </w:rPr>
              <m:t>(</m:t>
            </m:r>
            <m:sSup>
              <m:sSupPr>
                <m:ctrlPr>
                  <w:rPr>
                    <w:rFonts w:ascii="Cambria Math" w:hAnsi="Cambria Math"/>
                  </w:rPr>
                </m:ctrlPr>
              </m:sSupPr>
              <m:e>
                <m:sSub>
                  <m:sSubPr>
                    <m:ctrlPr>
                      <w:rPr>
                        <w:rFonts w:ascii="Cambria Math" w:hAnsi="Cambria Math"/>
                      </w:rPr>
                    </m:ctrlPr>
                  </m:sSubPr>
                  <m:e>
                    <m:r>
                      <w:rPr>
                        <w:rFonts w:ascii="Cambria Math" w:hAnsi="Cambria Math"/>
                      </w:rPr>
                      <m:t>c</m:t>
                    </m:r>
                  </m:e>
                  <m:sub>
                    <m:r>
                      <w:rPr>
                        <w:rFonts w:ascii="Cambria Math" w:hAnsi="Cambria Math"/>
                      </w:rPr>
                      <m:t>B</m:t>
                    </m:r>
                  </m:sub>
                </m:sSub>
              </m:e>
              <m:sup>
                <m:r>
                  <w:rPr>
                    <w:rFonts w:ascii="Cambria Math" w:hAnsi="Cambria Math"/>
                  </w:rPr>
                  <m:t>i</m:t>
                </m:r>
              </m:sup>
            </m:sSup>
            <m:r>
              <w:rPr>
                <w:rFonts w:ascii="Cambria Math" w:hAnsi="Cambria Math"/>
              </w:rPr>
              <m:t>,</m:t>
            </m:r>
            <m:r>
              <w:rPr>
                <w:rFonts w:ascii="Cambria Math" w:hAnsi="Cambria Math"/>
              </w:rPr>
              <m:t>a</m:t>
            </m:r>
            <m:r>
              <w:rPr>
                <w:rFonts w:ascii="Cambria Math" w:hAnsi="Cambria Math"/>
              </w:rPr>
              <m:t xml:space="preserve"> ,</m:t>
            </m:r>
            <m:sSup>
              <m:sSupPr>
                <m:ctrlPr>
                  <w:rPr>
                    <w:rFonts w:ascii="Cambria Math" w:hAnsi="Cambria Math"/>
                  </w:rPr>
                </m:ctrlPr>
              </m:sSupPr>
              <m:e>
                <m:r>
                  <w:rPr>
                    <w:rFonts w:ascii="Cambria Math" w:hAnsi="Cambria Math"/>
                  </w:rPr>
                  <m:t>t</m:t>
                </m:r>
              </m:e>
              <m:sup>
                <m:r>
                  <w:rPr>
                    <w:rFonts w:ascii="Cambria Math" w:hAnsi="Cambria Math"/>
                  </w:rPr>
                  <m:t>k</m:t>
                </m:r>
              </m:sup>
            </m:sSup>
            <m:r>
              <w:rPr>
                <w:rFonts w:ascii="Cambria Math" w:hAnsi="Cambria Math"/>
              </w:rPr>
              <m:t>)</m:t>
            </m:r>
          </m:num>
          <m:den>
            <m:r>
              <w:rPr>
                <w:rFonts w:ascii="Cambria Math" w:hAnsi="Cambria Math"/>
              </w:rPr>
              <m:t>ma</m:t>
            </m:r>
            <m:sSub>
              <m:sSubPr>
                <m:ctrlPr>
                  <w:rPr>
                    <w:rFonts w:ascii="Cambria Math" w:hAnsi="Cambria Math"/>
                  </w:rPr>
                </m:ctrlPr>
              </m:sSubPr>
              <m:e>
                <m:r>
                  <w:rPr>
                    <w:rFonts w:ascii="Cambria Math" w:hAnsi="Cambria Math"/>
                  </w:rPr>
                  <m:t>x</m:t>
                </m:r>
              </m:e>
              <m:sub>
                <m:r>
                  <w:rPr>
                    <w:rFonts w:ascii="Cambria Math" w:hAnsi="Cambria Math"/>
                  </w:rPr>
                  <m:t>j</m:t>
                </m:r>
              </m:sub>
            </m:sSub>
            <m:r>
              <w:rPr>
                <w:rFonts w:ascii="Cambria Math" w:hAnsi="Cambria Math"/>
              </w:rPr>
              <m:t>(</m:t>
            </m:r>
            <m:r>
              <w:rPr>
                <w:rFonts w:ascii="Cambria Math" w:hAnsi="Cambria Math"/>
              </w:rPr>
              <m:t>δNPP</m:t>
            </m:r>
            <m:r>
              <w:rPr>
                <w:rFonts w:ascii="Cambria Math" w:hAnsi="Cambria Math"/>
              </w:rPr>
              <m:t>(</m:t>
            </m:r>
            <m:sSup>
              <m:sSupPr>
                <m:ctrlPr>
                  <w:rPr>
                    <w:rFonts w:ascii="Cambria Math" w:hAnsi="Cambria Math"/>
                  </w:rPr>
                </m:ctrlPr>
              </m:sSupPr>
              <m:e>
                <m:sSub>
                  <m:sSubPr>
                    <m:ctrlPr>
                      <w:rPr>
                        <w:rFonts w:ascii="Cambria Math" w:hAnsi="Cambria Math"/>
                      </w:rPr>
                    </m:ctrlPr>
                  </m:sSubPr>
                  <m:e>
                    <m:r>
                      <w:rPr>
                        <w:rFonts w:ascii="Cambria Math" w:hAnsi="Cambria Math"/>
                      </w:rPr>
                      <m:t>c</m:t>
                    </m:r>
                  </m:e>
                  <m:sub>
                    <m:r>
                      <w:rPr>
                        <w:rFonts w:ascii="Cambria Math" w:hAnsi="Cambria Math"/>
                      </w:rPr>
                      <m:t>B</m:t>
                    </m:r>
                  </m:sub>
                </m:sSub>
              </m:e>
              <m:sup>
                <m:r>
                  <w:rPr>
                    <w:rFonts w:ascii="Cambria Math" w:hAnsi="Cambria Math"/>
                  </w:rPr>
                  <m:t>i</m:t>
                </m:r>
              </m:sup>
            </m:sSup>
            <m:r>
              <w:rPr>
                <w:rFonts w:ascii="Cambria Math" w:hAnsi="Cambria Math"/>
              </w:rPr>
              <m:t>,</m:t>
            </m:r>
            <m:sSup>
              <m:sSupPr>
                <m:ctrlPr>
                  <w:rPr>
                    <w:rFonts w:ascii="Cambria Math" w:hAnsi="Cambria Math"/>
                  </w:rPr>
                </m:ctrlPr>
              </m:sSupPr>
              <m:e>
                <m:sSub>
                  <m:sSubPr>
                    <m:ctrlPr>
                      <w:rPr>
                        <w:rFonts w:ascii="Cambria Math" w:hAnsi="Cambria Math"/>
                      </w:rPr>
                    </m:ctrlPr>
                  </m:sSubPr>
                  <m:e>
                    <m:r>
                      <w:rPr>
                        <w:rFonts w:ascii="Cambria Math" w:hAnsi="Cambria Math"/>
                      </w:rPr>
                      <m:t>a</m:t>
                    </m:r>
                  </m:e>
                  <m:sub>
                    <m:r>
                      <w:rPr>
                        <w:rFonts w:ascii="Cambria Math" w:hAnsi="Cambria Math"/>
                      </w:rPr>
                      <m:t>B</m:t>
                    </m:r>
                  </m:sub>
                </m:sSub>
              </m:e>
              <m:sup>
                <m:r>
                  <w:rPr>
                    <w:rFonts w:ascii="Cambria Math" w:hAnsi="Cambria Math"/>
                  </w:rPr>
                  <m:t>j</m:t>
                </m:r>
              </m:sup>
            </m:sSup>
            <m:r>
              <w:rPr>
                <w:rFonts w:ascii="Cambria Math" w:hAnsi="Cambria Math"/>
              </w:rPr>
              <m:t>,</m:t>
            </m:r>
            <m:sSup>
              <m:sSupPr>
                <m:ctrlPr>
                  <w:rPr>
                    <w:rFonts w:ascii="Cambria Math" w:hAnsi="Cambria Math"/>
                  </w:rPr>
                </m:ctrlPr>
              </m:sSupPr>
              <m:e>
                <m:r>
                  <w:rPr>
                    <w:rFonts w:ascii="Cambria Math" w:hAnsi="Cambria Math"/>
                  </w:rPr>
                  <m:t>t</m:t>
                </m:r>
              </m:e>
              <m:sup>
                <m:r>
                  <w:rPr>
                    <w:rFonts w:ascii="Cambria Math" w:hAnsi="Cambria Math"/>
                  </w:rPr>
                  <m:t>k</m:t>
                </m:r>
              </m:sup>
            </m:sSup>
            <m:r>
              <w:rPr>
                <w:rFonts w:ascii="Cambria Math" w:hAnsi="Cambria Math"/>
              </w:rPr>
              <m:t>))</m:t>
            </m:r>
          </m:den>
        </m:f>
      </m:oMath>
      <w:r>
        <w:t xml:space="preserve">  to cal</w:t>
      </w:r>
      <w:proofErr w:type="spellStart"/>
      <w:r>
        <w:t>ibrate</w:t>
      </w:r>
      <w:proofErr w:type="spellEnd"/>
      <m:oMath>
        <m:r>
          <w:rPr>
            <w:rFonts w:ascii="Cambria Math" w:hAnsi="Cambria Math"/>
          </w:rPr>
          <m:t xml:space="preserve"> </m:t>
        </m:r>
        <m:r>
          <w:rPr>
            <w:rFonts w:ascii="Cambria Math" w:hAnsi="Cambria Math"/>
          </w:rPr>
          <m:t>γ</m:t>
        </m:r>
      </m:oMath>
      <w:r>
        <w:t xml:space="preserve"> (</w:t>
      </w:r>
      <w:r>
        <w:rPr>
          <w:b/>
        </w:rPr>
        <w:t>Fig S1.2.2)</w:t>
      </w:r>
      <w:r>
        <w:t>.</w:t>
      </w:r>
    </w:p>
    <w:p w:rsidR="00DC23FA" w:rsidRDefault="00DC23FA">
      <w:pPr>
        <w:spacing w:after="0" w:line="240" w:lineRule="auto"/>
      </w:pPr>
      <w:bookmarkStart w:id="14" w:name="_ttrj84c44iu0" w:colFirst="0" w:colLast="0"/>
      <w:bookmarkEnd w:id="14"/>
    </w:p>
    <w:p w:rsidR="00DC23FA" w:rsidRDefault="009C15B2">
      <w:pPr>
        <w:spacing w:after="0" w:line="240" w:lineRule="auto"/>
      </w:pPr>
      <w:bookmarkStart w:id="15" w:name="_85194cgy1hy3" w:colFirst="0" w:colLast="0"/>
      <w:bookmarkEnd w:id="15"/>
      <w:r>
        <w:rPr>
          <w:noProof/>
        </w:rPr>
        <w:lastRenderedPageBreak/>
        <w:drawing>
          <wp:inline distT="114300" distB="114300" distL="114300" distR="114300">
            <wp:extent cx="3099122" cy="3107235"/>
            <wp:effectExtent l="0" t="0" r="0" b="0"/>
            <wp:docPr id="1"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29"/>
                    <a:srcRect/>
                    <a:stretch>
                      <a:fillRect/>
                    </a:stretch>
                  </pic:blipFill>
                  <pic:spPr>
                    <a:xfrm>
                      <a:off x="0" y="0"/>
                      <a:ext cx="3099122" cy="3107235"/>
                    </a:xfrm>
                    <a:prstGeom prst="rect">
                      <a:avLst/>
                    </a:prstGeom>
                    <a:ln/>
                  </pic:spPr>
                </pic:pic>
              </a:graphicData>
            </a:graphic>
          </wp:inline>
        </w:drawing>
      </w:r>
    </w:p>
    <w:p w:rsidR="00DC23FA" w:rsidRDefault="009C15B2">
      <w:pPr>
        <w:spacing w:after="0" w:line="240" w:lineRule="auto"/>
        <w:rPr>
          <w:sz w:val="18"/>
          <w:szCs w:val="18"/>
        </w:rPr>
      </w:pPr>
      <w:r>
        <w:rPr>
          <w:b/>
          <w:sz w:val="18"/>
          <w:szCs w:val="18"/>
        </w:rPr>
        <w:t xml:space="preserve">Fig S1.2.2 Fractional increase of the NPP </w:t>
      </w:r>
      <w:r>
        <w:rPr>
          <w:sz w:val="18"/>
          <w:szCs w:val="18"/>
        </w:rPr>
        <w:t>at</w:t>
      </w:r>
      <w:r>
        <w:rPr>
          <w:b/>
          <w:sz w:val="18"/>
          <w:szCs w:val="18"/>
        </w:rPr>
        <w:t xml:space="preserve"> </w:t>
      </w:r>
      <w:r>
        <w:rPr>
          <w:sz w:val="18"/>
          <w:szCs w:val="18"/>
        </w:rPr>
        <w:t xml:space="preserve">different times and different rock application rates, divided by the fractional increase of NPP over the whole area (i.e. the maximum value over </w:t>
      </w:r>
      <w:proofErr w:type="spellStart"/>
      <w:r>
        <w:rPr>
          <w:sz w:val="18"/>
          <w:szCs w:val="18"/>
        </w:rPr>
        <w:t>a</w:t>
      </w:r>
      <w:r>
        <w:rPr>
          <w:sz w:val="18"/>
          <w:szCs w:val="18"/>
          <w:vertAlign w:val="subscript"/>
        </w:rPr>
        <w:t>B</w:t>
      </w:r>
      <w:proofErr w:type="spellEnd"/>
      <w:r>
        <w:rPr>
          <w:sz w:val="18"/>
          <w:szCs w:val="18"/>
        </w:rPr>
        <w:t xml:space="preserve"> of </w:t>
      </w:r>
      <m:oMath>
        <m:r>
          <w:rPr>
            <w:rFonts w:ascii="Cambria Math" w:hAnsi="Cambria Math"/>
            <w:sz w:val="18"/>
            <w:szCs w:val="18"/>
          </w:rPr>
          <m:t>δNPP</m:t>
        </m:r>
        <m:r>
          <w:rPr>
            <w:rFonts w:ascii="Cambria Math" w:hAnsi="Cambria Math"/>
            <w:sz w:val="18"/>
            <w:szCs w:val="18"/>
          </w:rPr>
          <m:t>(</m:t>
        </m:r>
        <m:sSub>
          <m:sSubPr>
            <m:ctrlPr>
              <w:rPr>
                <w:rFonts w:ascii="Cambria Math" w:hAnsi="Cambria Math"/>
                <w:sz w:val="18"/>
                <w:szCs w:val="18"/>
              </w:rPr>
            </m:ctrlPr>
          </m:sSubPr>
          <m:e>
            <m:r>
              <w:rPr>
                <w:rFonts w:ascii="Cambria Math" w:hAnsi="Cambria Math"/>
                <w:sz w:val="18"/>
                <w:szCs w:val="18"/>
              </w:rPr>
              <m:t>c</m:t>
            </m:r>
          </m:e>
          <m:sub>
            <m:r>
              <w:rPr>
                <w:rFonts w:ascii="Cambria Math" w:hAnsi="Cambria Math"/>
                <w:sz w:val="18"/>
                <w:szCs w:val="18"/>
              </w:rPr>
              <m:t>B</m:t>
            </m:r>
          </m:sub>
        </m:sSub>
        <m:sSub>
          <m:sSubPr>
            <m:ctrlPr>
              <w:rPr>
                <w:rFonts w:ascii="Cambria Math" w:hAnsi="Cambria Math"/>
                <w:sz w:val="18"/>
                <w:szCs w:val="18"/>
              </w:rPr>
            </m:ctrlPr>
          </m:sSubPr>
          <m:e>
            <m:r>
              <w:rPr>
                <w:rFonts w:ascii="Cambria Math" w:hAnsi="Cambria Math"/>
                <w:sz w:val="18"/>
                <w:szCs w:val="18"/>
              </w:rPr>
              <m:t>,</m:t>
            </m:r>
            <m:r>
              <w:rPr>
                <w:rFonts w:ascii="Cambria Math" w:hAnsi="Cambria Math"/>
                <w:sz w:val="18"/>
                <w:szCs w:val="18"/>
              </w:rPr>
              <m:t>a</m:t>
            </m:r>
          </m:e>
          <m:sub>
            <m:r>
              <w:rPr>
                <w:rFonts w:ascii="Cambria Math" w:hAnsi="Cambria Math"/>
                <w:sz w:val="18"/>
                <w:szCs w:val="18"/>
              </w:rPr>
              <m:t>B</m:t>
            </m:r>
          </m:sub>
        </m:sSub>
        <m:r>
          <w:rPr>
            <w:rFonts w:ascii="Cambria Math" w:hAnsi="Cambria Math"/>
            <w:sz w:val="18"/>
            <w:szCs w:val="18"/>
          </w:rPr>
          <m:t>,</m:t>
        </m:r>
        <m:r>
          <w:rPr>
            <w:rFonts w:ascii="Cambria Math" w:hAnsi="Cambria Math"/>
            <w:sz w:val="18"/>
            <w:szCs w:val="18"/>
          </w:rPr>
          <m:t>t</m:t>
        </m:r>
        <m:r>
          <w:rPr>
            <w:rFonts w:ascii="Cambria Math" w:hAnsi="Cambria Math"/>
            <w:sz w:val="18"/>
            <w:szCs w:val="18"/>
          </w:rPr>
          <m:t>)</m:t>
        </m:r>
      </m:oMath>
      <w:r>
        <w:rPr>
          <w:sz w:val="18"/>
          <w:szCs w:val="18"/>
        </w:rPr>
        <w:t xml:space="preserve"> ). The red line is the exponential fit.  </w:t>
      </w:r>
    </w:p>
    <w:p w:rsidR="00DC23FA" w:rsidRDefault="00DC23FA">
      <w:pPr>
        <w:spacing w:after="0" w:line="240" w:lineRule="auto"/>
      </w:pPr>
      <w:bookmarkStart w:id="16" w:name="_g364ikg6pohj" w:colFirst="0" w:colLast="0"/>
      <w:bookmarkEnd w:id="16"/>
    </w:p>
    <w:p w:rsidR="00DC23FA" w:rsidRDefault="00DC23FA">
      <w:pPr>
        <w:spacing w:after="0" w:line="240" w:lineRule="auto"/>
      </w:pPr>
      <w:bookmarkStart w:id="17" w:name="_dpweeqiefbgi" w:colFirst="0" w:colLast="0"/>
      <w:bookmarkEnd w:id="17"/>
    </w:p>
    <w:p w:rsidR="00DC23FA" w:rsidRDefault="009C15B2">
      <w:pPr>
        <w:spacing w:after="0" w:line="240" w:lineRule="auto"/>
      </w:pPr>
      <w:r>
        <w:t xml:space="preserve">Once we have isolated the area-dependency, we want to determine the behaviour of </w:t>
      </w:r>
      <m:oMath>
        <m:r>
          <w:rPr>
            <w:rFonts w:ascii="Cambria Math" w:hAnsi="Cambria Math"/>
          </w:rPr>
          <m:t>δNPP</m:t>
        </m:r>
      </m:oMath>
      <w:r>
        <w:t xml:space="preserve"> as a function of c</w:t>
      </w:r>
      <w:r>
        <w:rPr>
          <w:vertAlign w:val="subscript"/>
        </w:rPr>
        <w:t>B</w:t>
      </w:r>
      <w:r>
        <w:t xml:space="preserve"> and t. We thus apply the same procedure as </w:t>
      </w:r>
      <w:proofErr w:type="spellStart"/>
      <w:r>
        <w:t>precedently</w:t>
      </w:r>
      <w:proofErr w:type="spellEnd"/>
      <w:r>
        <w:t xml:space="preserve"> and try to express  </w:t>
      </w:r>
      <m:oMath>
        <m:r>
          <w:rPr>
            <w:rFonts w:ascii="Cambria Math" w:hAnsi="Cambria Math"/>
          </w:rPr>
          <m:t>δNPP</m:t>
        </m:r>
      </m:oMath>
      <w:r>
        <w:t xml:space="preserve"> as  </w:t>
      </w:r>
      <m:oMath>
        <m:r>
          <w:rPr>
            <w:rFonts w:ascii="Cambria Math" w:hAnsi="Cambria Math"/>
          </w:rPr>
          <m:t>f</m:t>
        </m:r>
        <m:r>
          <w:rPr>
            <w:rFonts w:ascii="Cambria Math" w:hAnsi="Cambria Math"/>
          </w:rPr>
          <m:t>(</m:t>
        </m:r>
        <m:sSub>
          <m:sSubPr>
            <m:ctrlPr>
              <w:rPr>
                <w:rFonts w:ascii="Cambria Math" w:hAnsi="Cambria Math"/>
              </w:rPr>
            </m:ctrlPr>
          </m:sSubPr>
          <m:e>
            <m:r>
              <w:rPr>
                <w:rFonts w:ascii="Cambria Math" w:hAnsi="Cambria Math"/>
              </w:rPr>
              <m:t>c</m:t>
            </m:r>
          </m:e>
          <m:sub>
            <m:r>
              <w:rPr>
                <w:rFonts w:ascii="Cambria Math" w:hAnsi="Cambria Math"/>
              </w:rPr>
              <m:t>B</m:t>
            </m:r>
          </m:sub>
        </m:sSub>
        <m:r>
          <w:rPr>
            <w:rFonts w:ascii="Cambria Math" w:hAnsi="Cambria Math"/>
          </w:rPr>
          <m:t>,</m:t>
        </m:r>
        <m:sSub>
          <m:sSubPr>
            <m:ctrlPr>
              <w:rPr>
                <w:rFonts w:ascii="Cambria Math" w:hAnsi="Cambria Math"/>
              </w:rPr>
            </m:ctrlPr>
          </m:sSubPr>
          <m:e>
            <m:r>
              <w:rPr>
                <w:rFonts w:ascii="Cambria Math" w:hAnsi="Cambria Math"/>
              </w:rPr>
              <m:t>a</m:t>
            </m:r>
          </m:e>
          <m:sub>
            <m:r>
              <w:rPr>
                <w:rFonts w:ascii="Cambria Math" w:hAnsi="Cambria Math"/>
              </w:rPr>
              <m:t>B</m:t>
            </m:r>
          </m:sub>
        </m:sSub>
        <m:r>
          <w:rPr>
            <w:rFonts w:ascii="Cambria Math" w:hAnsi="Cambria Math"/>
          </w:rPr>
          <m:t>,</m:t>
        </m:r>
        <m:r>
          <w:rPr>
            <w:rFonts w:ascii="Cambria Math" w:hAnsi="Cambria Math"/>
          </w:rPr>
          <m:t>t</m:t>
        </m:r>
        <m:r>
          <w:rPr>
            <w:rFonts w:ascii="Cambria Math" w:hAnsi="Cambria Math"/>
          </w:rPr>
          <m:t xml:space="preserve">)= </m:t>
        </m:r>
        <m:r>
          <w:rPr>
            <w:rFonts w:ascii="Cambria Math" w:hAnsi="Cambria Math"/>
          </w:rPr>
          <m:t>B</m:t>
        </m:r>
        <m:r>
          <w:rPr>
            <w:rFonts w:ascii="Cambria Math" w:hAnsi="Cambria Math"/>
          </w:rPr>
          <m:t>(</m:t>
        </m:r>
        <m:r>
          <w:rPr>
            <w:rFonts w:ascii="Cambria Math" w:hAnsi="Cambria Math"/>
          </w:rPr>
          <m:t>t</m:t>
        </m:r>
        <m:r>
          <w:rPr>
            <w:rFonts w:ascii="Cambria Math" w:hAnsi="Cambria Math"/>
          </w:rPr>
          <m:t>)⋅(1-</m:t>
        </m:r>
        <m:sSup>
          <m:sSupPr>
            <m:ctrlPr>
              <w:rPr>
                <w:rFonts w:ascii="Cambria Math" w:hAnsi="Cambria Math"/>
              </w:rPr>
            </m:ctrlPr>
          </m:sSupPr>
          <m:e>
            <m:r>
              <w:rPr>
                <w:rFonts w:ascii="Cambria Math" w:hAnsi="Cambria Math"/>
              </w:rPr>
              <m:t>e</m:t>
            </m:r>
          </m:e>
          <m:sup>
            <m:r>
              <w:rPr>
                <w:rFonts w:ascii="Cambria Math" w:hAnsi="Cambria Math"/>
              </w:rPr>
              <m:t>-</m:t>
            </m:r>
            <m:r>
              <w:rPr>
                <w:rFonts w:ascii="Cambria Math" w:hAnsi="Cambria Math"/>
              </w:rPr>
              <m:t>γ</m:t>
            </m:r>
            <m:sSub>
              <m:sSubPr>
                <m:ctrlPr>
                  <w:rPr>
                    <w:rFonts w:ascii="Cambria Math" w:hAnsi="Cambria Math"/>
                  </w:rPr>
                </m:ctrlPr>
              </m:sSubPr>
              <m:e>
                <m:r>
                  <w:rPr>
                    <w:rFonts w:ascii="Cambria Math" w:hAnsi="Cambria Math"/>
                  </w:rPr>
                  <m:t>a</m:t>
                </m:r>
              </m:e>
              <m:sub>
                <m:r>
                  <w:rPr>
                    <w:rFonts w:ascii="Cambria Math" w:hAnsi="Cambria Math"/>
                  </w:rPr>
                  <m:t>B</m:t>
                </m:r>
              </m:sub>
            </m:sSub>
          </m:sup>
        </m:sSup>
        <m:r>
          <w:rPr>
            <w:rFonts w:ascii="Cambria Math" w:hAnsi="Cambria Math"/>
          </w:rPr>
          <m:t>)⋅(1-</m:t>
        </m:r>
        <m:sSup>
          <m:sSupPr>
            <m:ctrlPr>
              <w:rPr>
                <w:rFonts w:ascii="Cambria Math" w:hAnsi="Cambria Math"/>
              </w:rPr>
            </m:ctrlPr>
          </m:sSupPr>
          <m:e>
            <m:r>
              <w:rPr>
                <w:rFonts w:ascii="Cambria Math" w:hAnsi="Cambria Math"/>
              </w:rPr>
              <m:t>e</m:t>
            </m:r>
          </m:e>
          <m:sup>
            <m:r>
              <w:rPr>
                <w:rFonts w:ascii="Cambria Math" w:hAnsi="Cambria Math"/>
              </w:rPr>
              <m:t>-</m:t>
            </m:r>
            <m:r>
              <w:rPr>
                <w:rFonts w:ascii="Cambria Math" w:hAnsi="Cambria Math"/>
              </w:rPr>
              <m:t>α</m:t>
            </m:r>
            <m:sSub>
              <m:sSubPr>
                <m:ctrlPr>
                  <w:rPr>
                    <w:rFonts w:ascii="Cambria Math" w:hAnsi="Cambria Math"/>
                  </w:rPr>
                </m:ctrlPr>
              </m:sSubPr>
              <m:e>
                <m:r>
                  <w:rPr>
                    <w:rFonts w:ascii="Cambria Math" w:hAnsi="Cambria Math"/>
                  </w:rPr>
                  <m:t>c</m:t>
                </m:r>
              </m:e>
              <m:sub>
                <m:r>
                  <w:rPr>
                    <w:rFonts w:ascii="Cambria Math" w:hAnsi="Cambria Math"/>
                  </w:rPr>
                  <m:t>B</m:t>
                </m:r>
              </m:sub>
            </m:sSub>
          </m:sup>
        </m:sSup>
        <m:r>
          <w:rPr>
            <w:rFonts w:ascii="Cambria Math" w:hAnsi="Cambria Math"/>
          </w:rPr>
          <m:t>)</m:t>
        </m:r>
      </m:oMath>
      <w:r>
        <w:t>,</w:t>
      </w:r>
    </w:p>
    <w:p w:rsidR="00DC23FA" w:rsidRDefault="009C15B2">
      <w:pPr>
        <w:spacing w:after="0" w:line="240" w:lineRule="auto"/>
      </w:pPr>
      <w:bookmarkStart w:id="18" w:name="_7a5uwgt90l56" w:colFirst="0" w:colLast="0"/>
      <w:bookmarkEnd w:id="18"/>
      <w:r>
        <w:t xml:space="preserve"> </w:t>
      </w:r>
    </w:p>
    <w:p w:rsidR="00DC23FA" w:rsidRDefault="009C15B2">
      <w:pPr>
        <w:spacing w:after="0" w:line="240" w:lineRule="auto"/>
      </w:pPr>
      <w:bookmarkStart w:id="19" w:name="_auzn2jpeoebw" w:colFirst="0" w:colLast="0"/>
      <w:bookmarkEnd w:id="19"/>
      <w:r>
        <w:t xml:space="preserve">Similarly, we plot </w:t>
      </w:r>
      <m:oMath>
        <m:acc>
          <m:accPr>
            <m:chr m:val="̃"/>
            <m:ctrlPr>
              <w:rPr>
                <w:rFonts w:ascii="Cambria Math" w:hAnsi="Cambria Math"/>
              </w:rPr>
            </m:ctrlPr>
          </m:accPr>
          <m:e>
            <m:sSup>
              <m:sSupPr>
                <m:ctrlPr>
                  <w:rPr>
                    <w:rFonts w:ascii="Cambria Math" w:hAnsi="Cambria Math"/>
                  </w:rPr>
                </m:ctrlPr>
              </m:sSupPr>
              <m:e>
                <m:r>
                  <w:rPr>
                    <w:rFonts w:ascii="Cambria Math" w:hAnsi="Cambria Math"/>
                  </w:rPr>
                  <m:t>h</m:t>
                </m:r>
              </m:e>
              <m:sup>
                <m:r>
                  <w:rPr>
                    <w:rFonts w:ascii="Cambria Math" w:hAnsi="Cambria Math"/>
                  </w:rPr>
                  <m:t>j</m:t>
                </m:r>
                <m:r>
                  <w:rPr>
                    <w:rFonts w:ascii="Cambria Math" w:hAnsi="Cambria Math"/>
                  </w:rPr>
                  <m:t>,</m:t>
                </m:r>
                <m:r>
                  <w:rPr>
                    <w:rFonts w:ascii="Cambria Math" w:hAnsi="Cambria Math"/>
                  </w:rPr>
                  <m:t>k</m:t>
                </m:r>
              </m:sup>
            </m:sSup>
          </m:e>
        </m:acc>
        <m:r>
          <w:rPr>
            <w:rFonts w:ascii="Cambria Math" w:hAnsi="Cambria Math"/>
          </w:rPr>
          <m:t xml:space="preserve">:  </m:t>
        </m:r>
        <m:sSup>
          <m:sSupPr>
            <m:ctrlPr>
              <w:rPr>
                <w:rFonts w:ascii="Cambria Math" w:hAnsi="Cambria Math"/>
              </w:rPr>
            </m:ctrlPr>
          </m:sSupPr>
          <m:e>
            <m:sSub>
              <m:sSubPr>
                <m:ctrlPr>
                  <w:rPr>
                    <w:rFonts w:ascii="Cambria Math" w:hAnsi="Cambria Math"/>
                  </w:rPr>
                </m:ctrlPr>
              </m:sSubPr>
              <m:e>
                <m:r>
                  <w:rPr>
                    <w:rFonts w:ascii="Cambria Math" w:hAnsi="Cambria Math"/>
                  </w:rPr>
                  <m:t>c</m:t>
                </m:r>
              </m:e>
              <m:sub/>
            </m:sSub>
          </m:e>
          <m:sup/>
        </m:sSup>
        <m:r>
          <w:rPr>
            <w:rFonts w:ascii="Cambria Math" w:hAnsi="Cambria Math"/>
          </w:rPr>
          <m:t xml:space="preserve">↦ </m:t>
        </m:r>
        <m:f>
          <m:fPr>
            <m:ctrlPr>
              <w:rPr>
                <w:rFonts w:ascii="Cambria Math" w:hAnsi="Cambria Math"/>
              </w:rPr>
            </m:ctrlPr>
          </m:fPr>
          <m:num>
            <m:r>
              <w:rPr>
                <w:rFonts w:ascii="Cambria Math" w:hAnsi="Cambria Math"/>
              </w:rPr>
              <m:t>δNPP</m:t>
            </m:r>
            <m:r>
              <w:rPr>
                <w:rFonts w:ascii="Cambria Math" w:hAnsi="Cambria Math"/>
              </w:rPr>
              <m:t>(</m:t>
            </m:r>
            <m:r>
              <w:rPr>
                <w:rFonts w:ascii="Cambria Math" w:hAnsi="Cambria Math"/>
              </w:rPr>
              <m:t>c</m:t>
            </m:r>
            <m:r>
              <w:rPr>
                <w:rFonts w:ascii="Cambria Math" w:hAnsi="Cambria Math"/>
              </w:rPr>
              <m:t>,</m:t>
            </m:r>
            <m:sSup>
              <m:sSupPr>
                <m:ctrlPr>
                  <w:rPr>
                    <w:rFonts w:ascii="Cambria Math" w:hAnsi="Cambria Math"/>
                  </w:rPr>
                </m:ctrlPr>
              </m:sSupPr>
              <m:e>
                <m:sSub>
                  <m:sSubPr>
                    <m:ctrlPr>
                      <w:rPr>
                        <w:rFonts w:ascii="Cambria Math" w:hAnsi="Cambria Math"/>
                      </w:rPr>
                    </m:ctrlPr>
                  </m:sSubPr>
                  <m:e>
                    <m:r>
                      <w:rPr>
                        <w:rFonts w:ascii="Cambria Math" w:hAnsi="Cambria Math"/>
                      </w:rPr>
                      <m:t>a</m:t>
                    </m:r>
                  </m:e>
                  <m:sub>
                    <m:r>
                      <w:rPr>
                        <w:rFonts w:ascii="Cambria Math" w:hAnsi="Cambria Math"/>
                      </w:rPr>
                      <m:t>B</m:t>
                    </m:r>
                  </m:sub>
                </m:sSub>
              </m:e>
              <m:sup>
                <m:r>
                  <w:rPr>
                    <w:rFonts w:ascii="Cambria Math" w:hAnsi="Cambria Math"/>
                  </w:rPr>
                  <m:t>j</m:t>
                </m:r>
              </m:sup>
            </m:sSup>
            <m:r>
              <w:rPr>
                <w:rFonts w:ascii="Cambria Math" w:hAnsi="Cambria Math"/>
              </w:rPr>
              <m:t xml:space="preserve"> ,</m:t>
            </m:r>
            <m:sSup>
              <m:sSupPr>
                <m:ctrlPr>
                  <w:rPr>
                    <w:rFonts w:ascii="Cambria Math" w:hAnsi="Cambria Math"/>
                  </w:rPr>
                </m:ctrlPr>
              </m:sSupPr>
              <m:e>
                <m:r>
                  <w:rPr>
                    <w:rFonts w:ascii="Cambria Math" w:hAnsi="Cambria Math"/>
                  </w:rPr>
                  <m:t>t</m:t>
                </m:r>
              </m:e>
              <m:sup>
                <m:r>
                  <w:rPr>
                    <w:rFonts w:ascii="Cambria Math" w:hAnsi="Cambria Math"/>
                  </w:rPr>
                  <m:t>k</m:t>
                </m:r>
              </m:sup>
            </m:sSup>
            <m:r>
              <w:rPr>
                <w:rFonts w:ascii="Cambria Math" w:hAnsi="Cambria Math"/>
              </w:rPr>
              <m:t>)</m:t>
            </m:r>
          </m:num>
          <m:den>
            <m:r>
              <w:rPr>
                <w:rFonts w:ascii="Cambria Math" w:hAnsi="Cambria Math"/>
              </w:rPr>
              <m:t>ma</m:t>
            </m:r>
            <m:sSub>
              <m:sSubPr>
                <m:ctrlPr>
                  <w:rPr>
                    <w:rFonts w:ascii="Cambria Math" w:hAnsi="Cambria Math"/>
                  </w:rPr>
                </m:ctrlPr>
              </m:sSubPr>
              <m:e>
                <m:r>
                  <w:rPr>
                    <w:rFonts w:ascii="Cambria Math" w:hAnsi="Cambria Math"/>
                  </w:rPr>
                  <m:t>x</m:t>
                </m:r>
              </m:e>
              <m:sub>
                <m:r>
                  <w:rPr>
                    <w:rFonts w:ascii="Cambria Math" w:hAnsi="Cambria Math"/>
                  </w:rPr>
                  <m:t>i</m:t>
                </m:r>
              </m:sub>
            </m:sSub>
            <m:r>
              <w:rPr>
                <w:rFonts w:ascii="Cambria Math" w:hAnsi="Cambria Math"/>
              </w:rPr>
              <m:t>(</m:t>
            </m:r>
            <m:r>
              <w:rPr>
                <w:rFonts w:ascii="Cambria Math" w:hAnsi="Cambria Math"/>
              </w:rPr>
              <m:t>δNPP</m:t>
            </m:r>
            <m:r>
              <w:rPr>
                <w:rFonts w:ascii="Cambria Math" w:hAnsi="Cambria Math"/>
              </w:rPr>
              <m:t>(</m:t>
            </m:r>
            <m:sSup>
              <m:sSupPr>
                <m:ctrlPr>
                  <w:rPr>
                    <w:rFonts w:ascii="Cambria Math" w:hAnsi="Cambria Math"/>
                  </w:rPr>
                </m:ctrlPr>
              </m:sSupPr>
              <m:e>
                <m:sSub>
                  <m:sSubPr>
                    <m:ctrlPr>
                      <w:rPr>
                        <w:rFonts w:ascii="Cambria Math" w:hAnsi="Cambria Math"/>
                      </w:rPr>
                    </m:ctrlPr>
                  </m:sSubPr>
                  <m:e>
                    <m:r>
                      <w:rPr>
                        <w:rFonts w:ascii="Cambria Math" w:hAnsi="Cambria Math"/>
                      </w:rPr>
                      <m:t>c</m:t>
                    </m:r>
                  </m:e>
                  <m:sub>
                    <m:r>
                      <w:rPr>
                        <w:rFonts w:ascii="Cambria Math" w:hAnsi="Cambria Math"/>
                      </w:rPr>
                      <m:t>B</m:t>
                    </m:r>
                  </m:sub>
                </m:sSub>
              </m:e>
              <m:sup>
                <m:r>
                  <w:rPr>
                    <w:rFonts w:ascii="Cambria Math" w:hAnsi="Cambria Math"/>
                  </w:rPr>
                  <m:t>i</m:t>
                </m:r>
              </m:sup>
            </m:sSup>
            <m:r>
              <w:rPr>
                <w:rFonts w:ascii="Cambria Math" w:hAnsi="Cambria Math"/>
              </w:rPr>
              <m:t>,</m:t>
            </m:r>
            <m:sSup>
              <m:sSupPr>
                <m:ctrlPr>
                  <w:rPr>
                    <w:rFonts w:ascii="Cambria Math" w:hAnsi="Cambria Math"/>
                  </w:rPr>
                </m:ctrlPr>
              </m:sSupPr>
              <m:e>
                <m:sSub>
                  <m:sSubPr>
                    <m:ctrlPr>
                      <w:rPr>
                        <w:rFonts w:ascii="Cambria Math" w:hAnsi="Cambria Math"/>
                      </w:rPr>
                    </m:ctrlPr>
                  </m:sSubPr>
                  <m:e>
                    <m:r>
                      <w:rPr>
                        <w:rFonts w:ascii="Cambria Math" w:hAnsi="Cambria Math"/>
                      </w:rPr>
                      <m:t>a</m:t>
                    </m:r>
                  </m:e>
                  <m:sub>
                    <m:r>
                      <w:rPr>
                        <w:rFonts w:ascii="Cambria Math" w:hAnsi="Cambria Math"/>
                      </w:rPr>
                      <m:t>B</m:t>
                    </m:r>
                  </m:sub>
                </m:sSub>
              </m:e>
              <m:sup>
                <m:r>
                  <w:rPr>
                    <w:rFonts w:ascii="Cambria Math" w:hAnsi="Cambria Math"/>
                  </w:rPr>
                  <m:t>j</m:t>
                </m:r>
              </m:sup>
            </m:sSup>
            <m:r>
              <w:rPr>
                <w:rFonts w:ascii="Cambria Math" w:hAnsi="Cambria Math"/>
              </w:rPr>
              <m:t>,</m:t>
            </m:r>
            <m:sSup>
              <m:sSupPr>
                <m:ctrlPr>
                  <w:rPr>
                    <w:rFonts w:ascii="Cambria Math" w:hAnsi="Cambria Math"/>
                  </w:rPr>
                </m:ctrlPr>
              </m:sSupPr>
              <m:e>
                <m:r>
                  <w:rPr>
                    <w:rFonts w:ascii="Cambria Math" w:hAnsi="Cambria Math"/>
                  </w:rPr>
                  <m:t>t</m:t>
                </m:r>
              </m:e>
              <m:sup>
                <m:r>
                  <w:rPr>
                    <w:rFonts w:ascii="Cambria Math" w:hAnsi="Cambria Math"/>
                  </w:rPr>
                  <m:t>k</m:t>
                </m:r>
              </m:sup>
            </m:sSup>
            <m:r>
              <w:rPr>
                <w:rFonts w:ascii="Cambria Math" w:hAnsi="Cambria Math"/>
              </w:rPr>
              <m:t>))</m:t>
            </m:r>
          </m:den>
        </m:f>
      </m:oMath>
      <w:r>
        <w:t xml:space="preserve">. Here, the fit with </w:t>
      </w:r>
      <m:oMath>
        <m:sSub>
          <m:sSubPr>
            <m:ctrlPr>
              <w:rPr>
                <w:rFonts w:ascii="Cambria Math" w:hAnsi="Cambria Math"/>
              </w:rPr>
            </m:ctrlPr>
          </m:sSubPr>
          <m:e>
            <m:r>
              <w:rPr>
                <w:rFonts w:ascii="Cambria Math" w:hAnsi="Cambria Math"/>
              </w:rPr>
              <m:t>c</m:t>
            </m:r>
          </m:e>
          <m:sub>
            <m:r>
              <w:rPr>
                <w:rFonts w:ascii="Cambria Math" w:hAnsi="Cambria Math"/>
              </w:rPr>
              <m:t>B</m:t>
            </m:r>
          </m:sub>
        </m:sSub>
        <m:r>
          <w:rPr>
            <w:rFonts w:ascii="Cambria Math" w:hAnsi="Cambria Math"/>
          </w:rPr>
          <m:t xml:space="preserve"> ↦(1-</m:t>
        </m:r>
        <m:sSup>
          <m:sSupPr>
            <m:ctrlPr>
              <w:rPr>
                <w:rFonts w:ascii="Cambria Math" w:hAnsi="Cambria Math"/>
              </w:rPr>
            </m:ctrlPr>
          </m:sSupPr>
          <m:e>
            <m:r>
              <w:rPr>
                <w:rFonts w:ascii="Cambria Math" w:hAnsi="Cambria Math"/>
              </w:rPr>
              <m:t>e</m:t>
            </m:r>
          </m:e>
          <m:sup>
            <m:r>
              <w:rPr>
                <w:rFonts w:ascii="Cambria Math" w:hAnsi="Cambria Math"/>
              </w:rPr>
              <m:t>-</m:t>
            </m:r>
            <m:r>
              <w:rPr>
                <w:rFonts w:ascii="Cambria Math" w:hAnsi="Cambria Math"/>
              </w:rPr>
              <m:t>α</m:t>
            </m:r>
            <m:sSub>
              <m:sSubPr>
                <m:ctrlPr>
                  <w:rPr>
                    <w:rFonts w:ascii="Cambria Math" w:hAnsi="Cambria Math"/>
                  </w:rPr>
                </m:ctrlPr>
              </m:sSubPr>
              <m:e>
                <m:r>
                  <w:rPr>
                    <w:rFonts w:ascii="Cambria Math" w:hAnsi="Cambria Math"/>
                  </w:rPr>
                  <m:t>c</m:t>
                </m:r>
              </m:e>
              <m:sub>
                <m:r>
                  <w:rPr>
                    <w:rFonts w:ascii="Cambria Math" w:hAnsi="Cambria Math"/>
                  </w:rPr>
                  <m:t>B</m:t>
                </m:r>
              </m:sub>
            </m:sSub>
          </m:sup>
        </m:sSup>
        <m:r>
          <w:rPr>
            <w:rFonts w:ascii="Cambria Math" w:hAnsi="Cambria Math"/>
          </w:rPr>
          <m:t>)</m:t>
        </m:r>
      </m:oMath>
      <w:r>
        <w:t xml:space="preserve">   is less good: </w:t>
      </w:r>
      <m:oMath>
        <m:r>
          <w:rPr>
            <w:rFonts w:ascii="Cambria Math" w:hAnsi="Cambria Math"/>
          </w:rPr>
          <m:t>α</m:t>
        </m:r>
      </m:oMath>
      <w:r>
        <w:t xml:space="preserve"> depends on time (</w:t>
      </w:r>
      <w:r>
        <w:rPr>
          <w:b/>
        </w:rPr>
        <w:t>Fig S1.2.3)</w:t>
      </w:r>
      <w:r>
        <w:t>. From a physical perspective</w:t>
      </w:r>
      <w:r>
        <w:t xml:space="preserve">, </w:t>
      </w:r>
      <m:oMath>
        <m:r>
          <w:rPr>
            <w:rFonts w:ascii="Cambria Math" w:hAnsi="Cambria Math"/>
          </w:rPr>
          <m:t>δNPP</m:t>
        </m:r>
      </m:oMath>
      <w:r>
        <w:t xml:space="preserve"> is the consequence of the release of the phosphorus contained in basalt. </w:t>
      </w:r>
      <m:oMath>
        <m:r>
          <w:rPr>
            <w:rFonts w:ascii="Cambria Math" w:hAnsi="Cambria Math"/>
          </w:rPr>
          <m:t>δNPP</m:t>
        </m:r>
      </m:oMath>
      <w:r>
        <w:t xml:space="preserve"> decreases with time after basalt application, as a consequence of the decrease of the bioavailable phosphorus concentration. We therefore assume that </w:t>
      </w:r>
      <m:oMath>
        <m:r>
          <w:rPr>
            <w:rFonts w:ascii="Cambria Math" w:hAnsi="Cambria Math"/>
          </w:rPr>
          <m:t>δNPP</m:t>
        </m:r>
      </m:oMath>
      <w:r>
        <w:t xml:space="preserve"> can </w:t>
      </w:r>
      <w:r>
        <w:t xml:space="preserve">be approximated by a function of phosphorus concentration </w:t>
      </w:r>
      <w:proofErr w:type="spellStart"/>
      <w:proofErr w:type="gramStart"/>
      <w:r>
        <w:t>c</w:t>
      </w:r>
      <w:r>
        <w:rPr>
          <w:vertAlign w:val="subscript"/>
        </w:rPr>
        <w:t>P</w:t>
      </w:r>
      <w:proofErr w:type="spellEnd"/>
      <w:r>
        <w:rPr>
          <w:vertAlign w:val="subscript"/>
        </w:rPr>
        <w:t xml:space="preserve"> </w:t>
      </w:r>
      <w:r>
        <w:t xml:space="preserve"> and</w:t>
      </w:r>
      <w:proofErr w:type="gramEnd"/>
      <w:r>
        <w:t xml:space="preserve"> application area </w:t>
      </w:r>
      <w:proofErr w:type="spellStart"/>
      <w:r>
        <w:t>a</w:t>
      </w:r>
      <w:r>
        <w:rPr>
          <w:vertAlign w:val="subscript"/>
        </w:rPr>
        <w:t>B</w:t>
      </w:r>
      <w:r>
        <w:t>.</w:t>
      </w:r>
      <w:proofErr w:type="spellEnd"/>
    </w:p>
    <w:p w:rsidR="00DC23FA" w:rsidRDefault="009C15B2">
      <w:pPr>
        <w:spacing w:after="0" w:line="240" w:lineRule="auto"/>
      </w:pPr>
      <w:bookmarkStart w:id="20" w:name="_phkh3173p5it" w:colFirst="0" w:colLast="0"/>
      <w:bookmarkEnd w:id="20"/>
      <m:oMath>
        <m:r>
          <w:rPr>
            <w:rFonts w:ascii="Cambria Math" w:hAnsi="Cambria Math"/>
          </w:rPr>
          <m:t>δNPP</m:t>
        </m:r>
        <m:r>
          <w:rPr>
            <w:rFonts w:ascii="Cambria Math" w:hAnsi="Cambria Math"/>
          </w:rPr>
          <m:t>(</m:t>
        </m:r>
        <m:sSub>
          <m:sSubPr>
            <m:ctrlPr>
              <w:rPr>
                <w:rFonts w:ascii="Cambria Math" w:hAnsi="Cambria Math"/>
              </w:rPr>
            </m:ctrlPr>
          </m:sSubPr>
          <m:e>
            <m:r>
              <w:rPr>
                <w:rFonts w:ascii="Cambria Math" w:hAnsi="Cambria Math"/>
              </w:rPr>
              <m:t>c</m:t>
            </m:r>
          </m:e>
          <m:sub>
            <m:r>
              <w:rPr>
                <w:rFonts w:ascii="Cambria Math" w:hAnsi="Cambria Math"/>
              </w:rPr>
              <m:t>B</m:t>
            </m:r>
          </m:sub>
        </m:sSub>
        <m:r>
          <w:rPr>
            <w:rFonts w:ascii="Cambria Math" w:hAnsi="Cambria Math"/>
          </w:rPr>
          <m:t>,</m:t>
        </m:r>
        <m:sSub>
          <m:sSubPr>
            <m:ctrlPr>
              <w:rPr>
                <w:rFonts w:ascii="Cambria Math" w:hAnsi="Cambria Math"/>
              </w:rPr>
            </m:ctrlPr>
          </m:sSubPr>
          <m:e>
            <m:r>
              <w:rPr>
                <w:rFonts w:ascii="Cambria Math" w:hAnsi="Cambria Math"/>
              </w:rPr>
              <m:t>a</m:t>
            </m:r>
          </m:e>
          <m:sub>
            <m:r>
              <w:rPr>
                <w:rFonts w:ascii="Cambria Math" w:hAnsi="Cambria Math"/>
              </w:rPr>
              <m:t>B</m:t>
            </m:r>
          </m:sub>
        </m:sSub>
        <m:r>
          <w:rPr>
            <w:rFonts w:ascii="Cambria Math" w:hAnsi="Cambria Math"/>
          </w:rPr>
          <m:t>,</m:t>
        </m:r>
        <m:r>
          <w:rPr>
            <w:rFonts w:ascii="Cambria Math" w:hAnsi="Cambria Math"/>
          </w:rPr>
          <m:t>t</m:t>
        </m:r>
        <m:r>
          <w:rPr>
            <w:rFonts w:ascii="Cambria Math" w:hAnsi="Cambria Math"/>
          </w:rPr>
          <m:t xml:space="preserve">)= </m:t>
        </m:r>
        <m:r>
          <w:rPr>
            <w:rFonts w:ascii="Cambria Math" w:hAnsi="Cambria Math"/>
          </w:rPr>
          <m:t>δ</m:t>
        </m:r>
        <m:acc>
          <m:accPr>
            <m:ctrlPr>
              <w:rPr>
                <w:rFonts w:ascii="Cambria Math" w:hAnsi="Cambria Math"/>
              </w:rPr>
            </m:ctrlPr>
          </m:accPr>
          <m:e>
            <m:r>
              <w:rPr>
                <w:rFonts w:ascii="Cambria Math" w:hAnsi="Cambria Math"/>
              </w:rPr>
              <m:t>NPP</m:t>
            </m:r>
          </m:e>
        </m:acc>
        <m:r>
          <w:rPr>
            <w:rFonts w:ascii="Cambria Math" w:hAnsi="Cambria Math"/>
          </w:rPr>
          <m:t>(</m:t>
        </m:r>
        <m:sSub>
          <m:sSubPr>
            <m:ctrlPr>
              <w:rPr>
                <w:rFonts w:ascii="Cambria Math" w:hAnsi="Cambria Math"/>
              </w:rPr>
            </m:ctrlPr>
          </m:sSubPr>
          <m:e>
            <m:r>
              <w:rPr>
                <w:rFonts w:ascii="Cambria Math" w:hAnsi="Cambria Math"/>
              </w:rPr>
              <m:t>c</m:t>
            </m:r>
          </m:e>
          <m:sub>
            <m:r>
              <w:rPr>
                <w:rFonts w:ascii="Cambria Math" w:hAnsi="Cambria Math"/>
              </w:rPr>
              <m:t>P</m:t>
            </m:r>
          </m:sub>
        </m:sSub>
        <m:r>
          <w:rPr>
            <w:rFonts w:ascii="Cambria Math" w:hAnsi="Cambria Math"/>
          </w:rPr>
          <m:t>(</m:t>
        </m:r>
        <m:r>
          <w:rPr>
            <w:rFonts w:ascii="Cambria Math" w:hAnsi="Cambria Math"/>
          </w:rPr>
          <m:t>t</m:t>
        </m:r>
        <m:r>
          <w:rPr>
            <w:rFonts w:ascii="Cambria Math" w:hAnsi="Cambria Math"/>
          </w:rPr>
          <m:t>),</m:t>
        </m:r>
        <m:sSub>
          <m:sSubPr>
            <m:ctrlPr>
              <w:rPr>
                <w:rFonts w:ascii="Cambria Math" w:hAnsi="Cambria Math"/>
              </w:rPr>
            </m:ctrlPr>
          </m:sSubPr>
          <m:e>
            <m:r>
              <w:rPr>
                <w:rFonts w:ascii="Cambria Math" w:hAnsi="Cambria Math"/>
              </w:rPr>
              <m:t>a</m:t>
            </m:r>
          </m:e>
          <m:sub>
            <m:r>
              <w:rPr>
                <w:rFonts w:ascii="Cambria Math" w:hAnsi="Cambria Math"/>
              </w:rPr>
              <m:t>B</m:t>
            </m:r>
          </m:sub>
        </m:sSub>
        <m:r>
          <w:rPr>
            <w:rFonts w:ascii="Cambria Math" w:hAnsi="Cambria Math"/>
          </w:rPr>
          <m:t>)=</m:t>
        </m:r>
        <m:r>
          <w:rPr>
            <w:rFonts w:ascii="Cambria Math" w:hAnsi="Cambria Math"/>
          </w:rPr>
          <m:t>δNP</m:t>
        </m:r>
        <m:sSub>
          <m:sSubPr>
            <m:ctrlPr>
              <w:rPr>
                <w:rFonts w:ascii="Cambria Math" w:hAnsi="Cambria Math"/>
              </w:rPr>
            </m:ctrlPr>
          </m:sSubPr>
          <m:e>
            <m:r>
              <w:rPr>
                <w:rFonts w:ascii="Cambria Math" w:hAnsi="Cambria Math"/>
              </w:rPr>
              <m:t>P</m:t>
            </m:r>
          </m:e>
          <m:sub>
            <m:r>
              <w:rPr>
                <w:rFonts w:ascii="Cambria Math" w:hAnsi="Cambria Math"/>
              </w:rPr>
              <m:t>max</m:t>
            </m:r>
          </m:sub>
        </m:sSub>
        <m:r>
          <w:rPr>
            <w:rFonts w:ascii="Cambria Math" w:hAnsi="Cambria Math"/>
          </w:rPr>
          <m:t>(1-</m:t>
        </m:r>
        <m:sSup>
          <m:sSupPr>
            <m:ctrlPr>
              <w:rPr>
                <w:rFonts w:ascii="Cambria Math" w:hAnsi="Cambria Math"/>
              </w:rPr>
            </m:ctrlPr>
          </m:sSupPr>
          <m:e>
            <m:r>
              <w:rPr>
                <w:rFonts w:ascii="Cambria Math" w:hAnsi="Cambria Math"/>
              </w:rPr>
              <m:t>e</m:t>
            </m:r>
          </m:e>
          <m:sup>
            <m:r>
              <w:rPr>
                <w:rFonts w:ascii="Cambria Math" w:hAnsi="Cambria Math"/>
              </w:rPr>
              <m:t>-</m:t>
            </m:r>
            <m:r>
              <w:rPr>
                <w:rFonts w:ascii="Cambria Math" w:hAnsi="Cambria Math"/>
              </w:rPr>
              <m:t>γ</m:t>
            </m:r>
            <m:sSub>
              <m:sSubPr>
                <m:ctrlPr>
                  <w:rPr>
                    <w:rFonts w:ascii="Cambria Math" w:hAnsi="Cambria Math"/>
                  </w:rPr>
                </m:ctrlPr>
              </m:sSubPr>
              <m:e>
                <m:r>
                  <w:rPr>
                    <w:rFonts w:ascii="Cambria Math" w:hAnsi="Cambria Math"/>
                  </w:rPr>
                  <m:t>a</m:t>
                </m:r>
              </m:e>
              <m:sub>
                <m:r>
                  <w:rPr>
                    <w:rFonts w:ascii="Cambria Math" w:hAnsi="Cambria Math"/>
                  </w:rPr>
                  <m:t>B</m:t>
                </m:r>
              </m:sub>
            </m:sSub>
          </m:sup>
        </m:sSup>
        <m:r>
          <w:rPr>
            <w:rFonts w:ascii="Cambria Math" w:hAnsi="Cambria Math"/>
          </w:rPr>
          <m:t>)⋅(1-</m:t>
        </m:r>
        <m:sSup>
          <m:sSupPr>
            <m:ctrlPr>
              <w:rPr>
                <w:rFonts w:ascii="Cambria Math" w:hAnsi="Cambria Math"/>
              </w:rPr>
            </m:ctrlPr>
          </m:sSupPr>
          <m:e>
            <m:r>
              <w:rPr>
                <w:rFonts w:ascii="Cambria Math" w:hAnsi="Cambria Math"/>
              </w:rPr>
              <m:t>e</m:t>
            </m:r>
          </m:e>
          <m:sup>
            <m:r>
              <w:rPr>
                <w:rFonts w:ascii="Cambria Math" w:hAnsi="Cambria Math"/>
              </w:rPr>
              <m:t>-</m:t>
            </m:r>
            <m:r>
              <w:rPr>
                <w:rFonts w:ascii="Cambria Math" w:hAnsi="Cambria Math"/>
              </w:rPr>
              <m:t>α</m:t>
            </m:r>
            <m:sSub>
              <m:sSubPr>
                <m:ctrlPr>
                  <w:rPr>
                    <w:rFonts w:ascii="Cambria Math" w:hAnsi="Cambria Math"/>
                  </w:rPr>
                </m:ctrlPr>
              </m:sSubPr>
              <m:e>
                <m:r>
                  <w:rPr>
                    <w:rFonts w:ascii="Cambria Math" w:hAnsi="Cambria Math"/>
                  </w:rPr>
                  <m:t>λc</m:t>
                </m:r>
              </m:e>
              <m:sub>
                <m:r>
                  <w:rPr>
                    <w:rFonts w:ascii="Cambria Math" w:hAnsi="Cambria Math"/>
                  </w:rPr>
                  <m:t>P</m:t>
                </m:r>
              </m:sub>
            </m:sSub>
            <m:r>
              <w:rPr>
                <w:rFonts w:ascii="Cambria Math" w:hAnsi="Cambria Math"/>
              </w:rPr>
              <m:t>(</m:t>
            </m:r>
            <m:r>
              <w:rPr>
                <w:rFonts w:ascii="Cambria Math" w:hAnsi="Cambria Math"/>
              </w:rPr>
              <m:t>t</m:t>
            </m:r>
            <m:r>
              <w:rPr>
                <w:rFonts w:ascii="Cambria Math" w:hAnsi="Cambria Math"/>
              </w:rPr>
              <m:t>)</m:t>
            </m:r>
          </m:sup>
        </m:sSup>
        <m:r>
          <w:rPr>
            <w:rFonts w:ascii="Cambria Math" w:hAnsi="Cambria Math"/>
          </w:rPr>
          <m:t>)</m:t>
        </m:r>
      </m:oMath>
      <w:r>
        <w:t xml:space="preserve">, where </w:t>
      </w:r>
      <m:oMath>
        <m:sSub>
          <m:sSubPr>
            <m:ctrlPr>
              <w:rPr>
                <w:rFonts w:ascii="Cambria Math" w:hAnsi="Cambria Math"/>
              </w:rPr>
            </m:ctrlPr>
          </m:sSubPr>
          <m:e>
            <m:r>
              <w:rPr>
                <w:rFonts w:ascii="Cambria Math" w:hAnsi="Cambria Math"/>
              </w:rPr>
              <m:t>λc</m:t>
            </m:r>
          </m:e>
          <m:sub>
            <m:r>
              <w:rPr>
                <w:rFonts w:ascii="Cambria Math" w:hAnsi="Cambria Math"/>
              </w:rPr>
              <m:t>P</m:t>
            </m:r>
          </m:sub>
        </m:sSub>
        <m: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0</m:t>
            </m:r>
          </m:sub>
        </m:sSub>
        <m:r>
          <w:rPr>
            <w:rFonts w:ascii="Cambria Math" w:hAnsi="Cambria Math"/>
          </w:rPr>
          <m:t>)=</m:t>
        </m:r>
        <m:sSub>
          <m:sSubPr>
            <m:ctrlPr>
              <w:rPr>
                <w:rFonts w:ascii="Cambria Math" w:hAnsi="Cambria Math"/>
              </w:rPr>
            </m:ctrlPr>
          </m:sSubPr>
          <m:e>
            <m:r>
              <w:rPr>
                <w:rFonts w:ascii="Cambria Math" w:hAnsi="Cambria Math"/>
              </w:rPr>
              <m:t>c</m:t>
            </m:r>
          </m:e>
          <m:sub>
            <m:r>
              <w:rPr>
                <w:rFonts w:ascii="Cambria Math" w:hAnsi="Cambria Math"/>
              </w:rPr>
              <m:t>B</m:t>
            </m:r>
          </m:sub>
        </m:sSub>
      </m:oMath>
    </w:p>
    <w:p w:rsidR="00DC23FA" w:rsidRDefault="009C15B2">
      <w:pPr>
        <w:spacing w:after="0" w:line="240" w:lineRule="auto"/>
      </w:pPr>
      <w:bookmarkStart w:id="21" w:name="_orwl5rlu5ceq" w:colFirst="0" w:colLast="0"/>
      <w:bookmarkEnd w:id="21"/>
      <w:r>
        <w:t>For the sake of simplicity, we will neglect the d</w:t>
      </w:r>
      <w:r>
        <w:t xml:space="preserve">imension of </w:t>
      </w:r>
      <w:proofErr w:type="spellStart"/>
      <w:r>
        <w:t>c</w:t>
      </w:r>
      <w:r>
        <w:rPr>
          <w:vertAlign w:val="subscript"/>
        </w:rPr>
        <w:t>P</w:t>
      </w:r>
      <w:proofErr w:type="spellEnd"/>
      <w:r>
        <w:t xml:space="preserve"> in the following and assume that </w:t>
      </w:r>
      <m:oMath>
        <m:r>
          <w:rPr>
            <w:rFonts w:ascii="Cambria Math" w:hAnsi="Cambria Math"/>
          </w:rPr>
          <m:t>λ</m:t>
        </m:r>
      </m:oMath>
      <w:r>
        <w:t>=1.</w:t>
      </w:r>
    </w:p>
    <w:p w:rsidR="00DC23FA" w:rsidRDefault="00DC23FA">
      <w:pPr>
        <w:spacing w:after="0" w:line="240" w:lineRule="auto"/>
      </w:pPr>
      <w:bookmarkStart w:id="22" w:name="_2r80bop37kfy" w:colFirst="0" w:colLast="0"/>
      <w:bookmarkEnd w:id="22"/>
    </w:p>
    <w:p w:rsidR="00DC23FA" w:rsidRDefault="009C15B2">
      <w:pPr>
        <w:spacing w:after="0" w:line="240" w:lineRule="auto"/>
      </w:pPr>
      <w:bookmarkStart w:id="23" w:name="_sttezmkuwdkf" w:colFirst="0" w:colLast="0"/>
      <w:bookmarkEnd w:id="23"/>
      <w:r>
        <w:rPr>
          <w:noProof/>
        </w:rPr>
        <w:drawing>
          <wp:inline distT="114300" distB="114300" distL="114300" distR="114300">
            <wp:extent cx="2838767" cy="2838767"/>
            <wp:effectExtent l="0" t="0" r="0" b="0"/>
            <wp:docPr id="18"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30"/>
                    <a:srcRect/>
                    <a:stretch>
                      <a:fillRect/>
                    </a:stretch>
                  </pic:blipFill>
                  <pic:spPr>
                    <a:xfrm>
                      <a:off x="0" y="0"/>
                      <a:ext cx="2838767" cy="2838767"/>
                    </a:xfrm>
                    <a:prstGeom prst="rect">
                      <a:avLst/>
                    </a:prstGeom>
                    <a:ln/>
                  </pic:spPr>
                </pic:pic>
              </a:graphicData>
            </a:graphic>
          </wp:inline>
        </w:drawing>
      </w:r>
    </w:p>
    <w:p w:rsidR="00DC23FA" w:rsidRDefault="009C15B2">
      <w:pPr>
        <w:spacing w:after="0" w:line="240" w:lineRule="auto"/>
        <w:rPr>
          <w:sz w:val="18"/>
          <w:szCs w:val="18"/>
        </w:rPr>
      </w:pPr>
      <w:r>
        <w:rPr>
          <w:b/>
          <w:sz w:val="18"/>
          <w:szCs w:val="18"/>
        </w:rPr>
        <w:lastRenderedPageBreak/>
        <w:t xml:space="preserve">Fig S1.2.3 Fractional increase of the NPP </w:t>
      </w:r>
      <w:r>
        <w:rPr>
          <w:sz w:val="18"/>
          <w:szCs w:val="18"/>
        </w:rPr>
        <w:t>at</w:t>
      </w:r>
      <w:r>
        <w:rPr>
          <w:b/>
          <w:sz w:val="18"/>
          <w:szCs w:val="18"/>
        </w:rPr>
        <w:t xml:space="preserve"> </w:t>
      </w:r>
      <w:r>
        <w:rPr>
          <w:sz w:val="18"/>
          <w:szCs w:val="18"/>
        </w:rPr>
        <w:t xml:space="preserve">different times and different rock application rates, normalised by the fractional increase of NPP for the maximum application </w:t>
      </w:r>
      <w:proofErr w:type="gramStart"/>
      <w:r>
        <w:rPr>
          <w:sz w:val="18"/>
          <w:szCs w:val="18"/>
        </w:rPr>
        <w:t>rate .</w:t>
      </w:r>
      <w:proofErr w:type="gramEnd"/>
      <w:r>
        <w:rPr>
          <w:sz w:val="18"/>
          <w:szCs w:val="18"/>
        </w:rPr>
        <w:t xml:space="preserve"> The red line is the </w:t>
      </w:r>
      <w:r>
        <w:rPr>
          <w:sz w:val="18"/>
          <w:szCs w:val="18"/>
        </w:rPr>
        <w:t xml:space="preserve">exponential fit.  </w:t>
      </w:r>
    </w:p>
    <w:p w:rsidR="00DC23FA" w:rsidRDefault="00DC23FA">
      <w:pPr>
        <w:spacing w:after="0" w:line="240" w:lineRule="auto"/>
        <w:rPr>
          <w:sz w:val="18"/>
          <w:szCs w:val="18"/>
        </w:rPr>
      </w:pPr>
    </w:p>
    <w:p w:rsidR="00DC23FA" w:rsidRDefault="009C15B2">
      <w:pPr>
        <w:spacing w:after="0" w:line="240" w:lineRule="auto"/>
      </w:pPr>
      <w:bookmarkStart w:id="24" w:name="_5n485lev5wzh" w:colFirst="0" w:colLast="0"/>
      <w:bookmarkEnd w:id="24"/>
      <w:r>
        <w:t xml:space="preserve">The NPP response is thus a multiplicative function of the area of application </w:t>
      </w:r>
      <m:oMath>
        <m:sSub>
          <m:sSubPr>
            <m:ctrlPr>
              <w:rPr>
                <w:rFonts w:ascii="Cambria Math" w:hAnsi="Cambria Math"/>
              </w:rPr>
            </m:ctrlPr>
          </m:sSubPr>
          <m:e>
            <m:r>
              <w:rPr>
                <w:rFonts w:ascii="Cambria Math" w:hAnsi="Cambria Math"/>
              </w:rPr>
              <m:t>a</m:t>
            </m:r>
          </m:e>
          <m:sub>
            <m:r>
              <w:rPr>
                <w:rFonts w:ascii="Cambria Math" w:hAnsi="Cambria Math"/>
              </w:rPr>
              <m:t>B</m:t>
            </m:r>
          </m:sub>
        </m:sSub>
      </m:oMath>
      <w:r>
        <w:t xml:space="preserve"> [Mkm</w:t>
      </w:r>
      <w:r>
        <w:rPr>
          <w:vertAlign w:val="superscript"/>
        </w:rPr>
        <w:t>2</w:t>
      </w:r>
      <w:r>
        <w:t xml:space="preserve">] and phosphorus concentration </w:t>
      </w:r>
      <m:oMath>
        <m:sSub>
          <m:sSubPr>
            <m:ctrlPr>
              <w:rPr>
                <w:rFonts w:ascii="Cambria Math" w:hAnsi="Cambria Math"/>
              </w:rPr>
            </m:ctrlPr>
          </m:sSubPr>
          <m:e>
            <m:r>
              <w:rPr>
                <w:rFonts w:ascii="Cambria Math" w:hAnsi="Cambria Math"/>
              </w:rPr>
              <m:t>δc</m:t>
            </m:r>
          </m:e>
          <m:sub>
            <m:r>
              <w:rPr>
                <w:rFonts w:ascii="Cambria Math" w:hAnsi="Cambria Math"/>
              </w:rPr>
              <m:t>P</m:t>
            </m:r>
          </m:sub>
        </m:sSub>
      </m:oMath>
      <w:r>
        <w:rPr>
          <w:b/>
        </w:rPr>
        <w:t>[</w:t>
      </w:r>
      <w:proofErr w:type="gramStart"/>
      <w:r>
        <w:rPr>
          <w:b/>
        </w:rPr>
        <w:t>Gt.Mkm</w:t>
      </w:r>
      <w:proofErr w:type="gramEnd"/>
      <w:r>
        <w:rPr>
          <w:b/>
          <w:vertAlign w:val="superscript"/>
        </w:rPr>
        <w:t>-2</w:t>
      </w:r>
      <w:r>
        <w:rPr>
          <w:b/>
        </w:rPr>
        <w:t>]</w:t>
      </w:r>
      <w:r>
        <w:t xml:space="preserve"> (E.2, </w:t>
      </w:r>
      <w:r>
        <w:rPr>
          <w:b/>
        </w:rPr>
        <w:t>Fig. S1.2.4</w:t>
      </w:r>
      <w:r>
        <w:t>).</w:t>
      </w:r>
    </w:p>
    <w:p w:rsidR="00DC23FA" w:rsidRDefault="00DC23FA">
      <w:pPr>
        <w:spacing w:after="0" w:line="240" w:lineRule="auto"/>
        <w:ind w:firstLine="720"/>
      </w:pPr>
    </w:p>
    <w:p w:rsidR="00DC23FA" w:rsidRDefault="009C15B2">
      <w:pPr>
        <w:spacing w:after="0" w:line="240" w:lineRule="auto"/>
      </w:pPr>
      <m:oMath>
        <m:r>
          <w:rPr>
            <w:rFonts w:ascii="Cambria Math" w:hAnsi="Cambria Math"/>
          </w:rPr>
          <m:t>δNPP</m:t>
        </m:r>
        <m:r>
          <w:rPr>
            <w:rFonts w:ascii="Cambria Math" w:hAnsi="Cambria Math"/>
          </w:rPr>
          <m:t>=</m:t>
        </m:r>
        <m:r>
          <w:rPr>
            <w:rFonts w:ascii="Cambria Math" w:hAnsi="Cambria Math"/>
          </w:rPr>
          <m:t>δNP</m:t>
        </m:r>
        <m:sSub>
          <m:sSubPr>
            <m:ctrlPr>
              <w:rPr>
                <w:rFonts w:ascii="Cambria Math" w:hAnsi="Cambria Math"/>
              </w:rPr>
            </m:ctrlPr>
          </m:sSubPr>
          <m:e>
            <m:r>
              <w:rPr>
                <w:rFonts w:ascii="Cambria Math" w:hAnsi="Cambria Math"/>
              </w:rPr>
              <m:t>P</m:t>
            </m:r>
          </m:e>
          <m:sub>
            <m:r>
              <w:rPr>
                <w:rFonts w:ascii="Cambria Math" w:hAnsi="Cambria Math"/>
              </w:rPr>
              <m:t>max</m:t>
            </m:r>
          </m:sub>
        </m:sSub>
        <m:d>
          <m:dPr>
            <m:ctrlPr>
              <w:rPr>
                <w:rFonts w:ascii="Cambria Math" w:hAnsi="Cambria Math"/>
              </w:rPr>
            </m:ctrlPr>
          </m:dPr>
          <m:e>
            <m:r>
              <w:rPr>
                <w:rFonts w:ascii="Cambria Math" w:hAnsi="Cambria Math"/>
              </w:rPr>
              <m:t>1-</m:t>
            </m:r>
            <m:sSup>
              <m:sSupPr>
                <m:ctrlPr>
                  <w:rPr>
                    <w:rFonts w:ascii="Cambria Math" w:hAnsi="Cambria Math"/>
                  </w:rPr>
                </m:ctrlPr>
              </m:sSupPr>
              <m:e>
                <m:r>
                  <w:rPr>
                    <w:rFonts w:ascii="Cambria Math" w:hAnsi="Cambria Math"/>
                  </w:rPr>
                  <m:t>e</m:t>
                </m:r>
              </m:e>
              <m:sup>
                <m:r>
                  <w:rPr>
                    <w:rFonts w:ascii="Cambria Math" w:hAnsi="Cambria Math"/>
                  </w:rPr>
                  <m:t>-</m:t>
                </m:r>
                <m:r>
                  <w:rPr>
                    <w:rFonts w:ascii="Cambria Math" w:hAnsi="Cambria Math"/>
                  </w:rPr>
                  <m:t>α</m:t>
                </m:r>
                <m:sSub>
                  <m:sSubPr>
                    <m:ctrlPr>
                      <w:rPr>
                        <w:rFonts w:ascii="Cambria Math" w:hAnsi="Cambria Math"/>
                      </w:rPr>
                    </m:ctrlPr>
                  </m:sSubPr>
                  <m:e>
                    <m:r>
                      <w:rPr>
                        <w:rFonts w:ascii="Cambria Math" w:hAnsi="Cambria Math"/>
                      </w:rPr>
                      <m:t>δc</m:t>
                    </m:r>
                  </m:e>
                  <m:sub>
                    <m:r>
                      <w:rPr>
                        <w:rFonts w:ascii="Cambria Math" w:hAnsi="Cambria Math"/>
                      </w:rPr>
                      <m:t>P</m:t>
                    </m:r>
                  </m:sub>
                </m:sSub>
              </m:sup>
            </m:sSup>
          </m:e>
        </m:d>
        <m:d>
          <m:dPr>
            <m:ctrlPr>
              <w:rPr>
                <w:rFonts w:ascii="Cambria Math" w:hAnsi="Cambria Math"/>
              </w:rPr>
            </m:ctrlPr>
          </m:dPr>
          <m:e>
            <m:r>
              <w:rPr>
                <w:rFonts w:ascii="Cambria Math" w:hAnsi="Cambria Math"/>
              </w:rPr>
              <m:t>1-</m:t>
            </m:r>
            <m:sSup>
              <m:sSupPr>
                <m:ctrlPr>
                  <w:rPr>
                    <w:rFonts w:ascii="Cambria Math" w:hAnsi="Cambria Math"/>
                  </w:rPr>
                </m:ctrlPr>
              </m:sSupPr>
              <m:e>
                <m:r>
                  <w:rPr>
                    <w:rFonts w:ascii="Cambria Math" w:hAnsi="Cambria Math"/>
                  </w:rPr>
                  <m:t>e</m:t>
                </m:r>
              </m:e>
              <m:sup>
                <m:r>
                  <w:rPr>
                    <w:rFonts w:ascii="Cambria Math" w:hAnsi="Cambria Math"/>
                  </w:rPr>
                  <m:t>-</m:t>
                </m:r>
                <m:r>
                  <w:rPr>
                    <w:rFonts w:ascii="Cambria Math" w:hAnsi="Cambria Math"/>
                  </w:rPr>
                  <m:t>γ</m:t>
                </m:r>
                <m:sSub>
                  <m:sSubPr>
                    <m:ctrlPr>
                      <w:rPr>
                        <w:rFonts w:ascii="Cambria Math" w:hAnsi="Cambria Math"/>
                      </w:rPr>
                    </m:ctrlPr>
                  </m:sSubPr>
                  <m:e>
                    <m:r>
                      <w:rPr>
                        <w:rFonts w:ascii="Cambria Math" w:hAnsi="Cambria Math"/>
                      </w:rPr>
                      <m:t>a</m:t>
                    </m:r>
                  </m:e>
                  <m:sub>
                    <m:r>
                      <w:rPr>
                        <w:rFonts w:ascii="Cambria Math" w:hAnsi="Cambria Math"/>
                      </w:rPr>
                      <m:t>B</m:t>
                    </m:r>
                  </m:sub>
                </m:sSub>
              </m:sup>
            </m:sSup>
          </m:e>
        </m:d>
      </m:oMath>
      <w:r>
        <w:rPr>
          <w:b/>
        </w:rPr>
        <w:tab/>
      </w:r>
      <w:r>
        <w:rPr>
          <w:b/>
        </w:rPr>
        <w:tab/>
      </w:r>
      <w:r>
        <w:rPr>
          <w:b/>
        </w:rPr>
        <w:tab/>
      </w:r>
      <w:r>
        <w:t>(E.5)</w:t>
      </w:r>
    </w:p>
    <w:p w:rsidR="00DC23FA" w:rsidRDefault="00DC23FA">
      <w:pPr>
        <w:spacing w:after="0" w:line="240" w:lineRule="auto"/>
      </w:pPr>
    </w:p>
    <w:p w:rsidR="00DC23FA" w:rsidRDefault="00DC23FA">
      <w:pPr>
        <w:spacing w:after="0" w:line="240" w:lineRule="auto"/>
      </w:pPr>
    </w:p>
    <w:p w:rsidR="00DC23FA" w:rsidRDefault="00DC23FA">
      <w:pPr>
        <w:spacing w:after="0" w:line="240" w:lineRule="auto"/>
        <w:ind w:left="2880"/>
      </w:pPr>
    </w:p>
    <w:p w:rsidR="00DC23FA" w:rsidRDefault="009C15B2">
      <w:pPr>
        <w:spacing w:after="0" w:line="240" w:lineRule="auto"/>
      </w:pPr>
      <w:r>
        <w:t xml:space="preserve">The dynamic evolution of the soil phosphorus concentration </w:t>
      </w:r>
      <m:oMath>
        <m:sSub>
          <m:sSubPr>
            <m:ctrlPr>
              <w:rPr>
                <w:rFonts w:ascii="Cambria Math" w:hAnsi="Cambria Math"/>
              </w:rPr>
            </m:ctrlPr>
          </m:sSubPr>
          <m:e>
            <m:r>
              <w:rPr>
                <w:rFonts w:ascii="Cambria Math" w:hAnsi="Cambria Math"/>
              </w:rPr>
              <m:t>δc</m:t>
            </m:r>
          </m:e>
          <m:sub>
            <m:r>
              <w:rPr>
                <w:rFonts w:ascii="Cambria Math" w:hAnsi="Cambria Math"/>
              </w:rPr>
              <m:t>P</m:t>
            </m:r>
          </m:sub>
        </m:sSub>
      </m:oMath>
      <w:r>
        <w:rPr>
          <w:b/>
        </w:rPr>
        <w:t xml:space="preserve"> </w:t>
      </w:r>
      <w:r>
        <w:t xml:space="preserve">is designed to reproduce the results of ORCHIDEE. It is modelled with an auxiliary pool of phosphorus which is unavailable to plants, exchanges phosphorus with the soil concentration with a </w:t>
      </w:r>
      <w:r>
        <w:t xml:space="preserve">turnover time </w:t>
      </w:r>
      <m:oMath>
        <m:sSub>
          <m:sSubPr>
            <m:ctrlPr>
              <w:rPr>
                <w:rFonts w:ascii="Cambria Math" w:hAnsi="Cambria Math"/>
              </w:rPr>
            </m:ctrlPr>
          </m:sSubPr>
          <m:e>
            <m:r>
              <w:rPr>
                <w:rFonts w:ascii="Cambria Math" w:hAnsi="Cambria Math"/>
              </w:rPr>
              <m:t>τ</m:t>
            </m:r>
          </m:e>
          <m:sub>
            <m:r>
              <w:rPr>
                <w:rFonts w:ascii="Cambria Math" w:hAnsi="Cambria Math"/>
              </w:rPr>
              <m:t>e</m:t>
            </m:r>
          </m:sub>
        </m:sSub>
      </m:oMath>
      <w:r>
        <w:t xml:space="preserve">=60 years, and leaches with a decay constant </w:t>
      </w:r>
      <m:oMath>
        <m:sSub>
          <m:sSubPr>
            <m:ctrlPr>
              <w:rPr>
                <w:rFonts w:ascii="Cambria Math" w:hAnsi="Cambria Math"/>
              </w:rPr>
            </m:ctrlPr>
          </m:sSubPr>
          <m:e>
            <m:r>
              <w:rPr>
                <w:rFonts w:ascii="Cambria Math" w:hAnsi="Cambria Math"/>
              </w:rPr>
              <m:t>τ</m:t>
            </m:r>
          </m:e>
          <m:sub>
            <m:r>
              <w:rPr>
                <w:rFonts w:ascii="Cambria Math" w:hAnsi="Cambria Math"/>
              </w:rPr>
              <m:t>l</m:t>
            </m:r>
          </m:sub>
        </m:sSub>
      </m:oMath>
      <w:r>
        <w:t xml:space="preserve"> = 300 </w:t>
      </w:r>
      <w:proofErr w:type="gramStart"/>
      <w:r>
        <w:t>years  (</w:t>
      </w:r>
      <w:proofErr w:type="gramEnd"/>
      <w:r>
        <w:rPr>
          <w:b/>
        </w:rPr>
        <w:t>Figure 1.2.2)</w:t>
      </w:r>
    </w:p>
    <w:p w:rsidR="00DC23FA" w:rsidRDefault="009C15B2">
      <w:pPr>
        <w:spacing w:after="0" w:line="240" w:lineRule="auto"/>
      </w:pPr>
      <m:oMath>
        <m:f>
          <m:fPr>
            <m:ctrlPr>
              <w:rPr>
                <w:rFonts w:ascii="Cambria Math" w:hAnsi="Cambria Math"/>
              </w:rPr>
            </m:ctrlPr>
          </m:fPr>
          <m:num>
            <m:r>
              <w:rPr>
                <w:rFonts w:ascii="Cambria Math" w:hAnsi="Cambria Math"/>
              </w:rPr>
              <m:t>dδ</m:t>
            </m:r>
            <m:sSub>
              <m:sSubPr>
                <m:ctrlPr>
                  <w:rPr>
                    <w:rFonts w:ascii="Cambria Math" w:hAnsi="Cambria Math"/>
                  </w:rPr>
                </m:ctrlPr>
              </m:sSubPr>
              <m:e>
                <m:r>
                  <w:rPr>
                    <w:rFonts w:ascii="Cambria Math" w:hAnsi="Cambria Math"/>
                  </w:rPr>
                  <m:t>c</m:t>
                </m:r>
              </m:e>
              <m:sub>
                <m:r>
                  <w:rPr>
                    <w:rFonts w:ascii="Cambria Math" w:hAnsi="Cambria Math"/>
                  </w:rPr>
                  <m:t>P</m:t>
                </m:r>
              </m:sub>
            </m:sSub>
          </m:num>
          <m:den>
            <m:r>
              <w:rPr>
                <w:rFonts w:ascii="Cambria Math" w:hAnsi="Cambria Math"/>
              </w:rPr>
              <m:t>dt</m:t>
            </m:r>
          </m:den>
        </m:f>
        <m:r>
          <w:rPr>
            <w:rFonts w:ascii="Cambria Math" w:hAnsi="Cambria Math"/>
          </w:rPr>
          <m:t>=</m:t>
        </m:r>
        <m:f>
          <m:fPr>
            <m:ctrlPr>
              <w:rPr>
                <w:rFonts w:ascii="Cambria Math" w:hAnsi="Cambria Math"/>
              </w:rPr>
            </m:ctrlPr>
          </m:fPr>
          <m:num>
            <m:r>
              <w:rPr>
                <w:rFonts w:ascii="Cambria Math" w:hAnsi="Cambria Math"/>
              </w:rPr>
              <m:t>λ</m:t>
            </m:r>
            <m:sSub>
              <m:sSubPr>
                <m:ctrlPr>
                  <w:rPr>
                    <w:rFonts w:ascii="Cambria Math" w:hAnsi="Cambria Math"/>
                  </w:rPr>
                </m:ctrlPr>
              </m:sSubPr>
              <m:e>
                <m:r>
                  <w:rPr>
                    <w:rFonts w:ascii="Cambria Math" w:hAnsi="Cambria Math"/>
                  </w:rPr>
                  <m:t>w</m:t>
                </m:r>
              </m:e>
              <m:sub>
                <m:r>
                  <w:rPr>
                    <w:rFonts w:ascii="Cambria Math" w:hAnsi="Cambria Math"/>
                  </w:rPr>
                  <m:t>r</m:t>
                </m:r>
              </m:sub>
            </m:sSub>
            <m:r>
              <w:rPr>
                <w:rFonts w:ascii="Cambria Math" w:hAnsi="Cambria Math"/>
              </w:rPr>
              <m:t>B</m:t>
            </m:r>
          </m:num>
          <m:den>
            <m:sSub>
              <m:sSubPr>
                <m:ctrlPr>
                  <w:rPr>
                    <w:rFonts w:ascii="Cambria Math" w:hAnsi="Cambria Math"/>
                  </w:rPr>
                </m:ctrlPr>
              </m:sSubPr>
              <m:e>
                <m:r>
                  <w:rPr>
                    <w:rFonts w:ascii="Cambria Math" w:hAnsi="Cambria Math"/>
                  </w:rPr>
                  <m:t>a</m:t>
                </m:r>
              </m:e>
              <m:sub>
                <m:r>
                  <w:rPr>
                    <w:rFonts w:ascii="Cambria Math" w:hAnsi="Cambria Math"/>
                  </w:rPr>
                  <m:t>B</m:t>
                </m:r>
              </m:sub>
            </m:sSub>
          </m:den>
        </m:f>
        <m:r>
          <w:rPr>
            <w:rFonts w:ascii="Cambria Math" w:hAnsi="Cambria Math"/>
          </w:rPr>
          <m:t>-</m:t>
        </m:r>
        <m:f>
          <m:fPr>
            <m:ctrlPr>
              <w:rPr>
                <w:rFonts w:ascii="Cambria Math" w:hAnsi="Cambria Math"/>
              </w:rPr>
            </m:ctrlPr>
          </m:fPr>
          <m:num>
            <m:sSub>
              <m:sSubPr>
                <m:ctrlPr>
                  <w:rPr>
                    <w:rFonts w:ascii="Cambria Math" w:hAnsi="Cambria Math"/>
                  </w:rPr>
                </m:ctrlPr>
              </m:sSubPr>
              <m:e>
                <m:r>
                  <w:rPr>
                    <w:rFonts w:ascii="Cambria Math" w:hAnsi="Cambria Math"/>
                  </w:rPr>
                  <m:t>δc</m:t>
                </m:r>
              </m:e>
              <m:sub>
                <m:r>
                  <w:rPr>
                    <w:rFonts w:ascii="Cambria Math" w:hAnsi="Cambria Math"/>
                  </w:rPr>
                  <m:t>P</m:t>
                </m:r>
              </m:sub>
            </m:sSub>
          </m:num>
          <m:den>
            <m:sSub>
              <m:sSubPr>
                <m:ctrlPr>
                  <w:rPr>
                    <w:rFonts w:ascii="Cambria Math" w:hAnsi="Cambria Math"/>
                  </w:rPr>
                </m:ctrlPr>
              </m:sSubPr>
              <m:e>
                <m:r>
                  <w:rPr>
                    <w:rFonts w:ascii="Cambria Math" w:hAnsi="Cambria Math"/>
                  </w:rPr>
                  <m:t>τ</m:t>
                </m:r>
              </m:e>
              <m:sub>
                <m:r>
                  <w:rPr>
                    <w:rFonts w:ascii="Cambria Math" w:hAnsi="Cambria Math"/>
                  </w:rPr>
                  <m:t>e</m:t>
                </m:r>
              </m:sub>
            </m:sSub>
          </m:den>
        </m:f>
        <m:r>
          <w:rPr>
            <w:rFonts w:ascii="Cambria Math" w:hAnsi="Cambria Math"/>
          </w:rPr>
          <m:t>+</m:t>
        </m:r>
        <m:f>
          <m:fPr>
            <m:ctrlPr>
              <w:rPr>
                <w:rFonts w:ascii="Cambria Math" w:hAnsi="Cambria Math"/>
              </w:rPr>
            </m:ctrlPr>
          </m:fPr>
          <m:num>
            <m:sSub>
              <m:sSubPr>
                <m:ctrlPr>
                  <w:rPr>
                    <w:rFonts w:ascii="Cambria Math" w:hAnsi="Cambria Math"/>
                  </w:rPr>
                </m:ctrlPr>
              </m:sSubPr>
              <m:e>
                <m:r>
                  <w:rPr>
                    <w:rFonts w:ascii="Cambria Math" w:hAnsi="Cambria Math"/>
                  </w:rPr>
                  <m:t>δu</m:t>
                </m:r>
              </m:e>
              <m:sub>
                <m:r>
                  <w:rPr>
                    <w:rFonts w:ascii="Cambria Math" w:hAnsi="Cambria Math"/>
                  </w:rPr>
                  <m:t>P</m:t>
                </m:r>
              </m:sub>
            </m:sSub>
          </m:num>
          <m:den>
            <m:sSub>
              <m:sSubPr>
                <m:ctrlPr>
                  <w:rPr>
                    <w:rFonts w:ascii="Cambria Math" w:hAnsi="Cambria Math"/>
                  </w:rPr>
                </m:ctrlPr>
              </m:sSubPr>
              <m:e>
                <m:r>
                  <w:rPr>
                    <w:rFonts w:ascii="Cambria Math" w:hAnsi="Cambria Math"/>
                  </w:rPr>
                  <m:t>τ</m:t>
                </m:r>
              </m:e>
              <m:sub>
                <m:r>
                  <w:rPr>
                    <w:rFonts w:ascii="Cambria Math" w:hAnsi="Cambria Math"/>
                  </w:rPr>
                  <m:t>e</m:t>
                </m:r>
              </m:sub>
            </m:sSub>
          </m:den>
        </m:f>
      </m:oMath>
      <w:r>
        <w:rPr>
          <w:b/>
        </w:rPr>
        <w:t xml:space="preserve"> </w:t>
      </w:r>
      <w:r>
        <w:rPr>
          <w:b/>
        </w:rPr>
        <w:tab/>
      </w:r>
      <w:r>
        <w:rPr>
          <w:b/>
        </w:rPr>
        <w:tab/>
      </w:r>
      <w:r>
        <w:rPr>
          <w:b/>
        </w:rPr>
        <w:tab/>
      </w:r>
      <w:r>
        <w:rPr>
          <w:b/>
        </w:rPr>
        <w:tab/>
      </w:r>
      <w:r>
        <w:rPr>
          <w:b/>
        </w:rPr>
        <w:tab/>
      </w:r>
      <w:r>
        <w:t>(E.6a)</w:t>
      </w:r>
    </w:p>
    <w:bookmarkStart w:id="25" w:name="_tyjcwt" w:colFirst="0" w:colLast="0"/>
    <w:bookmarkEnd w:id="25"/>
    <w:p w:rsidR="00DC23FA" w:rsidRDefault="009C15B2">
      <w:pPr>
        <w:spacing w:after="0" w:line="240" w:lineRule="auto"/>
      </w:pPr>
      <m:oMath>
        <m:f>
          <m:fPr>
            <m:ctrlPr>
              <w:rPr>
                <w:rFonts w:ascii="Cambria Math" w:hAnsi="Cambria Math"/>
              </w:rPr>
            </m:ctrlPr>
          </m:fPr>
          <m:num>
            <m:r>
              <w:rPr>
                <w:rFonts w:ascii="Cambria Math" w:hAnsi="Cambria Math"/>
              </w:rPr>
              <m:t>d</m:t>
            </m:r>
            <m:sSub>
              <m:sSubPr>
                <m:ctrlPr>
                  <w:rPr>
                    <w:rFonts w:ascii="Cambria Math" w:hAnsi="Cambria Math"/>
                  </w:rPr>
                </m:ctrlPr>
              </m:sSubPr>
              <m:e>
                <m:r>
                  <w:rPr>
                    <w:rFonts w:ascii="Cambria Math" w:hAnsi="Cambria Math"/>
                  </w:rPr>
                  <m:t>u</m:t>
                </m:r>
              </m:e>
              <m:sub>
                <m:r>
                  <w:rPr>
                    <w:rFonts w:ascii="Cambria Math" w:hAnsi="Cambria Math"/>
                  </w:rPr>
                  <m:t>P</m:t>
                </m:r>
              </m:sub>
            </m:sSub>
          </m:num>
          <m:den>
            <m:r>
              <w:rPr>
                <w:rFonts w:ascii="Cambria Math" w:hAnsi="Cambria Math"/>
              </w:rPr>
              <m:t>dt</m:t>
            </m:r>
          </m:den>
        </m:f>
        <m:r>
          <w:rPr>
            <w:rFonts w:ascii="Cambria Math" w:hAnsi="Cambria Math"/>
          </w:rPr>
          <m:t>=</m:t>
        </m:r>
        <m:f>
          <m:fPr>
            <m:ctrlPr>
              <w:rPr>
                <w:rFonts w:ascii="Cambria Math" w:hAnsi="Cambria Math"/>
              </w:rPr>
            </m:ctrlPr>
          </m:fPr>
          <m:num>
            <m:sSub>
              <m:sSubPr>
                <m:ctrlPr>
                  <w:rPr>
                    <w:rFonts w:ascii="Cambria Math" w:hAnsi="Cambria Math"/>
                  </w:rPr>
                </m:ctrlPr>
              </m:sSubPr>
              <m:e>
                <m:r>
                  <w:rPr>
                    <w:rFonts w:ascii="Cambria Math" w:hAnsi="Cambria Math"/>
                  </w:rPr>
                  <m:t>δc</m:t>
                </m:r>
              </m:e>
              <m:sub>
                <m:r>
                  <w:rPr>
                    <w:rFonts w:ascii="Cambria Math" w:hAnsi="Cambria Math"/>
                  </w:rPr>
                  <m:t>P</m:t>
                </m:r>
              </m:sub>
            </m:sSub>
          </m:num>
          <m:den>
            <m:sSub>
              <m:sSubPr>
                <m:ctrlPr>
                  <w:rPr>
                    <w:rFonts w:ascii="Cambria Math" w:hAnsi="Cambria Math"/>
                  </w:rPr>
                </m:ctrlPr>
              </m:sSubPr>
              <m:e>
                <m:r>
                  <w:rPr>
                    <w:rFonts w:ascii="Cambria Math" w:hAnsi="Cambria Math"/>
                  </w:rPr>
                  <m:t>τ</m:t>
                </m:r>
              </m:e>
              <m:sub>
                <m:r>
                  <w:rPr>
                    <w:rFonts w:ascii="Cambria Math" w:hAnsi="Cambria Math"/>
                  </w:rPr>
                  <m:t>e</m:t>
                </m:r>
              </m:sub>
            </m:sSub>
          </m:den>
        </m:f>
        <m:r>
          <w:rPr>
            <w:rFonts w:ascii="Cambria Math" w:hAnsi="Cambria Math"/>
          </w:rPr>
          <m:t>-</m:t>
        </m:r>
        <m:f>
          <m:fPr>
            <m:ctrlPr>
              <w:rPr>
                <w:rFonts w:ascii="Cambria Math" w:hAnsi="Cambria Math"/>
              </w:rPr>
            </m:ctrlPr>
          </m:fPr>
          <m:num>
            <m:r>
              <w:rPr>
                <w:rFonts w:ascii="Cambria Math" w:hAnsi="Cambria Math"/>
              </w:rPr>
              <m:t>δ</m:t>
            </m:r>
            <m:sSub>
              <m:sSubPr>
                <m:ctrlPr>
                  <w:rPr>
                    <w:rFonts w:ascii="Cambria Math" w:hAnsi="Cambria Math"/>
                  </w:rPr>
                </m:ctrlPr>
              </m:sSubPr>
              <m:e>
                <m:r>
                  <w:rPr>
                    <w:rFonts w:ascii="Cambria Math" w:hAnsi="Cambria Math"/>
                  </w:rPr>
                  <m:t>r</m:t>
                </m:r>
              </m:e>
              <m:sub>
                <m:r>
                  <w:rPr>
                    <w:rFonts w:ascii="Cambria Math" w:hAnsi="Cambria Math"/>
                  </w:rPr>
                  <m:t>P</m:t>
                </m:r>
              </m:sub>
            </m:sSub>
          </m:num>
          <m:den>
            <m:sSub>
              <m:sSubPr>
                <m:ctrlPr>
                  <w:rPr>
                    <w:rFonts w:ascii="Cambria Math" w:hAnsi="Cambria Math"/>
                  </w:rPr>
                </m:ctrlPr>
              </m:sSubPr>
              <m:e>
                <m:r>
                  <w:rPr>
                    <w:rFonts w:ascii="Cambria Math" w:hAnsi="Cambria Math"/>
                  </w:rPr>
                  <m:t>τ</m:t>
                </m:r>
              </m:e>
              <m:sub>
                <m:r>
                  <w:rPr>
                    <w:rFonts w:ascii="Cambria Math" w:hAnsi="Cambria Math"/>
                  </w:rPr>
                  <m:t>e</m:t>
                </m:r>
              </m:sub>
            </m:sSub>
          </m:den>
        </m:f>
        <m:r>
          <w:rPr>
            <w:rFonts w:ascii="Cambria Math" w:hAnsi="Cambria Math"/>
          </w:rPr>
          <m:t>-</m:t>
        </m:r>
        <m:f>
          <m:fPr>
            <m:ctrlPr>
              <w:rPr>
                <w:rFonts w:ascii="Cambria Math" w:hAnsi="Cambria Math"/>
              </w:rPr>
            </m:ctrlPr>
          </m:fPr>
          <m:num>
            <m:r>
              <w:rPr>
                <w:rFonts w:ascii="Cambria Math" w:hAnsi="Cambria Math"/>
              </w:rPr>
              <m:t>δ</m:t>
            </m:r>
            <m:sSub>
              <m:sSubPr>
                <m:ctrlPr>
                  <w:rPr>
                    <w:rFonts w:ascii="Cambria Math" w:hAnsi="Cambria Math"/>
                  </w:rPr>
                </m:ctrlPr>
              </m:sSubPr>
              <m:e>
                <m:r>
                  <w:rPr>
                    <w:rFonts w:ascii="Cambria Math" w:hAnsi="Cambria Math"/>
                  </w:rPr>
                  <m:t>u</m:t>
                </m:r>
              </m:e>
              <m:sub>
                <m:r>
                  <w:rPr>
                    <w:rFonts w:ascii="Cambria Math" w:hAnsi="Cambria Math"/>
                  </w:rPr>
                  <m:t>P</m:t>
                </m:r>
              </m:sub>
            </m:sSub>
          </m:num>
          <m:den>
            <m:sSub>
              <m:sSubPr>
                <m:ctrlPr>
                  <w:rPr>
                    <w:rFonts w:ascii="Cambria Math" w:hAnsi="Cambria Math"/>
                  </w:rPr>
                </m:ctrlPr>
              </m:sSubPr>
              <m:e>
                <m:r>
                  <w:rPr>
                    <w:rFonts w:ascii="Cambria Math" w:hAnsi="Cambria Math"/>
                  </w:rPr>
                  <m:t>τ</m:t>
                </m:r>
              </m:e>
              <m:sub>
                <m:r>
                  <w:rPr>
                    <w:rFonts w:ascii="Cambria Math" w:hAnsi="Cambria Math"/>
                  </w:rPr>
                  <m:t>l</m:t>
                </m:r>
              </m:sub>
            </m:sSub>
          </m:den>
        </m:f>
      </m:oMath>
      <w:r>
        <w:rPr>
          <w:b/>
        </w:rPr>
        <w:t xml:space="preserve"> </w:t>
      </w:r>
      <w:r>
        <w:rPr>
          <w:b/>
        </w:rPr>
        <w:tab/>
      </w:r>
      <w:r>
        <w:rPr>
          <w:b/>
        </w:rPr>
        <w:tab/>
      </w:r>
      <w:r>
        <w:rPr>
          <w:b/>
        </w:rPr>
        <w:tab/>
      </w:r>
      <w:r>
        <w:rPr>
          <w:b/>
        </w:rPr>
        <w:tab/>
      </w:r>
      <w:r>
        <w:rPr>
          <w:b/>
        </w:rPr>
        <w:tab/>
      </w:r>
      <w:r>
        <w:t>(E.6b)</w:t>
      </w:r>
    </w:p>
    <w:p w:rsidR="00DC23FA" w:rsidRDefault="009C15B2">
      <w:pPr>
        <w:spacing w:after="0" w:line="240" w:lineRule="auto"/>
        <w:jc w:val="both"/>
      </w:pPr>
      <w:r>
        <w:rPr>
          <w:noProof/>
        </w:rPr>
        <w:drawing>
          <wp:inline distT="114300" distB="114300" distL="114300" distR="114300">
            <wp:extent cx="5760410" cy="1485900"/>
            <wp:effectExtent l="0" t="0" r="0" b="0"/>
            <wp:docPr id="22"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1"/>
                    <a:srcRect/>
                    <a:stretch>
                      <a:fillRect/>
                    </a:stretch>
                  </pic:blipFill>
                  <pic:spPr>
                    <a:xfrm>
                      <a:off x="0" y="0"/>
                      <a:ext cx="5760410" cy="1485900"/>
                    </a:xfrm>
                    <a:prstGeom prst="rect">
                      <a:avLst/>
                    </a:prstGeom>
                    <a:ln/>
                  </pic:spPr>
                </pic:pic>
              </a:graphicData>
            </a:graphic>
          </wp:inline>
        </w:drawing>
      </w:r>
    </w:p>
    <w:p w:rsidR="00DC23FA" w:rsidRDefault="009C15B2">
      <w:pPr>
        <w:spacing w:after="200" w:line="240" w:lineRule="auto"/>
      </w:pPr>
      <w:r>
        <w:rPr>
          <w:b/>
          <w:sz w:val="18"/>
          <w:szCs w:val="18"/>
        </w:rPr>
        <w:t>Figure 1.2.2 Phosphorus cycle emulation.</w:t>
      </w:r>
      <w:r>
        <w:rPr>
          <w:sz w:val="18"/>
          <w:szCs w:val="18"/>
        </w:rPr>
        <w:t xml:space="preserve"> R</w:t>
      </w:r>
      <w:r>
        <w:rPr>
          <w:sz w:val="18"/>
          <w:szCs w:val="18"/>
        </w:rPr>
        <w:t xml:space="preserve">ectangles: pools. Red arrows: flows. Brown arrows: effects on the carbon cycle. </w:t>
      </w:r>
    </w:p>
    <w:p w:rsidR="00DC23FA" w:rsidRDefault="009C15B2">
      <w:pPr>
        <w:spacing w:after="0" w:line="240" w:lineRule="auto"/>
        <w:ind w:firstLine="720"/>
        <w:rPr>
          <w:b/>
        </w:rPr>
      </w:pPr>
      <w:r>
        <w:t>The comparison with ORCHIDEE data shows that the increase of NPP is generally slightly underestimated by the emulator.</w:t>
      </w:r>
      <w:r>
        <w:tab/>
        <w:t xml:space="preserve">When the phosphorus addition has stopped, </w:t>
      </w:r>
      <m:oMath>
        <m:r>
          <w:rPr>
            <w:rFonts w:ascii="Cambria Math" w:hAnsi="Cambria Math"/>
          </w:rPr>
          <m:t>δ</m:t>
        </m:r>
      </m:oMath>
      <w:r>
        <w:t>NPP graduall</w:t>
      </w:r>
      <w:r>
        <w:t xml:space="preserve">y turns to zero, with a characteristic timescale of </w:t>
      </w:r>
      <m:oMath>
        <m:sSub>
          <m:sSubPr>
            <m:ctrlPr>
              <w:rPr>
                <w:rFonts w:ascii="Cambria Math" w:hAnsi="Cambria Math"/>
              </w:rPr>
            </m:ctrlPr>
          </m:sSubPr>
          <m:e>
            <m:r>
              <w:rPr>
                <w:rFonts w:ascii="Cambria Math" w:hAnsi="Cambria Math"/>
              </w:rPr>
              <m:t>τ</m:t>
            </m:r>
          </m:e>
          <m:sub>
            <m:r>
              <w:rPr>
                <w:rFonts w:ascii="Cambria Math" w:hAnsi="Cambria Math"/>
              </w:rPr>
              <m:t>l</m:t>
            </m:r>
          </m:sub>
        </m:sSub>
      </m:oMath>
      <w:r>
        <w:t xml:space="preserve"> = 300 years. As a consequence, the additional carbon stored progressively returns to the atmosphere. (</w:t>
      </w:r>
      <w:r>
        <w:rPr>
          <w:b/>
        </w:rPr>
        <w:t>Fig 1.2.3)</w:t>
      </w:r>
    </w:p>
    <w:p w:rsidR="00DC23FA" w:rsidRDefault="009C15B2">
      <w:pPr>
        <w:spacing w:after="0" w:line="240" w:lineRule="auto"/>
        <w:rPr>
          <w:b/>
        </w:rPr>
      </w:pPr>
      <w:r>
        <w:rPr>
          <w:noProof/>
        </w:rPr>
        <w:lastRenderedPageBreak/>
        <w:drawing>
          <wp:inline distT="114300" distB="114300" distL="114300" distR="114300">
            <wp:extent cx="5295736" cy="8134033"/>
            <wp:effectExtent l="0" t="0" r="0" b="0"/>
            <wp:docPr id="23"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32"/>
                    <a:srcRect/>
                    <a:stretch>
                      <a:fillRect/>
                    </a:stretch>
                  </pic:blipFill>
                  <pic:spPr>
                    <a:xfrm>
                      <a:off x="0" y="0"/>
                      <a:ext cx="5295736" cy="8134033"/>
                    </a:xfrm>
                    <a:prstGeom prst="rect">
                      <a:avLst/>
                    </a:prstGeom>
                    <a:ln/>
                  </pic:spPr>
                </pic:pic>
              </a:graphicData>
            </a:graphic>
          </wp:inline>
        </w:drawing>
      </w:r>
    </w:p>
    <w:p w:rsidR="00DC23FA" w:rsidRDefault="009C15B2">
      <w:pPr>
        <w:spacing w:line="240" w:lineRule="auto"/>
        <w:rPr>
          <w:sz w:val="18"/>
          <w:szCs w:val="18"/>
        </w:rPr>
      </w:pPr>
      <w:r>
        <w:rPr>
          <w:b/>
          <w:sz w:val="18"/>
          <w:szCs w:val="18"/>
        </w:rPr>
        <w:t xml:space="preserve">Fig 1.2.3 </w:t>
      </w:r>
      <w:r>
        <w:rPr>
          <w:b/>
          <w:sz w:val="18"/>
          <w:szCs w:val="18"/>
        </w:rPr>
        <w:t>Response of the land carbon stocks, land carbon flows and phosphorus pools</w:t>
      </w:r>
      <w:r>
        <w:rPr>
          <w:sz w:val="18"/>
          <w:szCs w:val="18"/>
        </w:rPr>
        <w:t xml:space="preserve"> to a basalt addition at year 0. </w:t>
      </w:r>
      <w:proofErr w:type="gramStart"/>
      <w:r>
        <w:rPr>
          <w:sz w:val="18"/>
          <w:szCs w:val="18"/>
        </w:rPr>
        <w:t>( weathering</w:t>
      </w:r>
      <w:proofErr w:type="gramEnd"/>
      <w:r>
        <w:rPr>
          <w:sz w:val="18"/>
          <w:szCs w:val="18"/>
        </w:rPr>
        <w:t xml:space="preserve"> rate = 26%), CO</w:t>
      </w:r>
      <w:r>
        <w:rPr>
          <w:sz w:val="18"/>
          <w:szCs w:val="18"/>
          <w:vertAlign w:val="subscript"/>
        </w:rPr>
        <w:t>2</w:t>
      </w:r>
      <w:r>
        <w:rPr>
          <w:sz w:val="18"/>
          <w:szCs w:val="18"/>
        </w:rPr>
        <w:t xml:space="preserve"> and temperature conditions of the year 2000. </w:t>
      </w:r>
      <w:r>
        <w:rPr>
          <w:b/>
          <w:sz w:val="18"/>
          <w:szCs w:val="18"/>
        </w:rPr>
        <w:t xml:space="preserve">First panel: </w:t>
      </w:r>
      <w:r>
        <w:rPr>
          <w:sz w:val="18"/>
          <w:szCs w:val="18"/>
        </w:rPr>
        <w:t xml:space="preserve">dotted lines represent </w:t>
      </w:r>
      <w:proofErr w:type="gramStart"/>
      <w:r>
        <w:rPr>
          <w:sz w:val="18"/>
          <w:szCs w:val="18"/>
        </w:rPr>
        <w:t>the  increase</w:t>
      </w:r>
      <w:proofErr w:type="gramEnd"/>
      <w:r>
        <w:rPr>
          <w:sz w:val="18"/>
          <w:szCs w:val="18"/>
        </w:rPr>
        <w:t xml:space="preserve"> of heterotrophic respira</w:t>
      </w:r>
      <w:r>
        <w:rPr>
          <w:sz w:val="18"/>
          <w:szCs w:val="18"/>
        </w:rPr>
        <w:t xml:space="preserve">tion (HR), solid line the increase of net primary production (NPP). </w:t>
      </w:r>
      <w:r>
        <w:rPr>
          <w:b/>
          <w:sz w:val="18"/>
          <w:szCs w:val="18"/>
        </w:rPr>
        <w:t xml:space="preserve">Second panel: </w:t>
      </w:r>
      <w:r>
        <w:rPr>
          <w:sz w:val="18"/>
          <w:szCs w:val="18"/>
        </w:rPr>
        <w:t xml:space="preserve">Net flow from atmosphere to land carbon (NPP-HR). </w:t>
      </w:r>
      <w:r>
        <w:rPr>
          <w:b/>
          <w:sz w:val="18"/>
          <w:szCs w:val="18"/>
        </w:rPr>
        <w:t xml:space="preserve">Third panel: </w:t>
      </w:r>
      <w:r>
        <w:rPr>
          <w:sz w:val="18"/>
          <w:szCs w:val="18"/>
        </w:rPr>
        <w:t xml:space="preserve">Cumulative land carbon </w:t>
      </w:r>
      <w:proofErr w:type="spellStart"/>
      <w:proofErr w:type="gramStart"/>
      <w:r>
        <w:rPr>
          <w:sz w:val="18"/>
          <w:szCs w:val="18"/>
        </w:rPr>
        <w:t>increase.</w:t>
      </w:r>
      <w:r>
        <w:rPr>
          <w:b/>
          <w:sz w:val="18"/>
          <w:szCs w:val="18"/>
        </w:rPr>
        <w:t>Fourth</w:t>
      </w:r>
      <w:proofErr w:type="spellEnd"/>
      <w:proofErr w:type="gramEnd"/>
      <w:r>
        <w:rPr>
          <w:b/>
          <w:sz w:val="18"/>
          <w:szCs w:val="18"/>
        </w:rPr>
        <w:t xml:space="preserve"> panel: </w:t>
      </w:r>
      <w:r>
        <w:rPr>
          <w:sz w:val="18"/>
          <w:szCs w:val="18"/>
        </w:rPr>
        <w:t>dotted lines represent the unavailable phosphorus pool, solid lin</w:t>
      </w:r>
      <w:r>
        <w:rPr>
          <w:sz w:val="18"/>
          <w:szCs w:val="18"/>
        </w:rPr>
        <w:t>e the soil phosphorus pool.</w:t>
      </w:r>
    </w:p>
    <w:p w:rsidR="00DC23FA" w:rsidRDefault="00DC23FA">
      <w:pPr>
        <w:spacing w:line="240" w:lineRule="auto"/>
        <w:rPr>
          <w:b/>
          <w:sz w:val="28"/>
          <w:szCs w:val="28"/>
        </w:rPr>
      </w:pPr>
    </w:p>
    <w:p w:rsidR="00DC23FA" w:rsidRDefault="009C15B2">
      <w:pPr>
        <w:pStyle w:val="Titre3"/>
        <w:spacing w:line="240" w:lineRule="auto"/>
      </w:pPr>
      <w:bookmarkStart w:id="26" w:name="_4npvom7t18n0" w:colFirst="0" w:colLast="0"/>
      <w:bookmarkEnd w:id="26"/>
      <w:r>
        <w:t>1.3 Basalt application in mitigation scenarios</w:t>
      </w:r>
    </w:p>
    <w:p w:rsidR="00DC23FA" w:rsidRDefault="009C15B2">
      <w:r>
        <w:t>The maximum surface of application is 40Mkm</w:t>
      </w:r>
      <w:r>
        <w:rPr>
          <w:vertAlign w:val="superscript"/>
        </w:rPr>
        <w:t>2</w:t>
      </w:r>
      <w:r>
        <w:t>, which is roughly the global forest area. The mean surface over which basalt is applied during the 21</w:t>
      </w:r>
      <w:r>
        <w:rPr>
          <w:vertAlign w:val="superscript"/>
        </w:rPr>
        <w:t>st</w:t>
      </w:r>
      <w:r>
        <w:rPr>
          <w:vertAlign w:val="subscript"/>
        </w:rPr>
        <w:t xml:space="preserve"> </w:t>
      </w:r>
      <w:r>
        <w:t xml:space="preserve">century is assumed </w:t>
      </w:r>
      <w:r>
        <w:t>constant, otherwise each application area would have to be treated independently. This constant surface of application is endogenously optimised: it increases with the projected quantity of basalt application on forests. It is between 28Mkm</w:t>
      </w:r>
      <w:r>
        <w:rPr>
          <w:vertAlign w:val="superscript"/>
        </w:rPr>
        <w:t>2</w:t>
      </w:r>
      <w:r>
        <w:t xml:space="preserve"> (in the 1.5C w</w:t>
      </w:r>
      <w:r>
        <w:t>ith high OS scenario) and 13 Mkm</w:t>
      </w:r>
      <w:r>
        <w:rPr>
          <w:vertAlign w:val="superscript"/>
        </w:rPr>
        <w:t>2</w:t>
      </w:r>
      <w:r>
        <w:t xml:space="preserve"> in the 1.5°C with low OS scenario.  </w:t>
      </w:r>
    </w:p>
    <w:p w:rsidR="00DC23FA" w:rsidRDefault="009C15B2">
      <w:pPr>
        <w:pStyle w:val="Titre3"/>
        <w:spacing w:line="240" w:lineRule="auto"/>
      </w:pPr>
      <w:bookmarkStart w:id="27" w:name="_cfrls9wkm67c" w:colFirst="0" w:colLast="0"/>
      <w:bookmarkEnd w:id="27"/>
      <w:r>
        <w:rPr>
          <w:noProof/>
        </w:rPr>
        <w:drawing>
          <wp:inline distT="114300" distB="114300" distL="114300" distR="114300">
            <wp:extent cx="5286693" cy="4284350"/>
            <wp:effectExtent l="0" t="0" r="0" b="0"/>
            <wp:docPr id="13"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33"/>
                    <a:srcRect/>
                    <a:stretch>
                      <a:fillRect/>
                    </a:stretch>
                  </pic:blipFill>
                  <pic:spPr>
                    <a:xfrm>
                      <a:off x="0" y="0"/>
                      <a:ext cx="5286693" cy="4284350"/>
                    </a:xfrm>
                    <a:prstGeom prst="rect">
                      <a:avLst/>
                    </a:prstGeom>
                    <a:ln/>
                  </pic:spPr>
                </pic:pic>
              </a:graphicData>
            </a:graphic>
          </wp:inline>
        </w:drawing>
      </w:r>
    </w:p>
    <w:p w:rsidR="00DC23FA" w:rsidRDefault="009C15B2">
      <w:pPr>
        <w:spacing w:line="240" w:lineRule="auto"/>
        <w:rPr>
          <w:sz w:val="18"/>
          <w:szCs w:val="18"/>
        </w:rPr>
      </w:pPr>
      <w:r>
        <w:rPr>
          <w:b/>
          <w:sz w:val="18"/>
          <w:szCs w:val="18"/>
        </w:rPr>
        <w:t xml:space="preserve">Fig </w:t>
      </w:r>
      <w:proofErr w:type="gramStart"/>
      <w:r>
        <w:rPr>
          <w:b/>
          <w:sz w:val="18"/>
          <w:szCs w:val="18"/>
        </w:rPr>
        <w:t>1.3.4  Forest</w:t>
      </w:r>
      <w:proofErr w:type="gramEnd"/>
      <w:r>
        <w:rPr>
          <w:b/>
          <w:sz w:val="18"/>
          <w:szCs w:val="18"/>
        </w:rPr>
        <w:t xml:space="preserve"> area of basalt application</w:t>
      </w:r>
      <w:r>
        <w:rPr>
          <w:sz w:val="18"/>
          <w:szCs w:val="18"/>
        </w:rPr>
        <w:t xml:space="preserve"> in the different climate policy scenarios.</w:t>
      </w:r>
    </w:p>
    <w:p w:rsidR="00DC23FA" w:rsidRDefault="00DC23FA"/>
    <w:p w:rsidR="00DC23FA" w:rsidRDefault="009C15B2">
      <w:r>
        <w:t>We compute the marginal revenues and costs of applying basalt. The revenue (NPV) of basalt app</w:t>
      </w:r>
      <w:r>
        <w:t xml:space="preserve">lication can be mathematically expressed as the discounted sum of the products of the future marginal CDR times future carbon prices. </w:t>
      </w:r>
    </w:p>
    <w:p w:rsidR="00DC23FA" w:rsidRDefault="009C15B2">
      <w:r>
        <w:t xml:space="preserve">  </w:t>
      </w:r>
      <w:hyperlink r:id="rId34" w:anchor="0">
        <w:r>
          <w:rPr>
            <w:noProof/>
          </w:rPr>
          <w:drawing>
            <wp:inline distT="19050" distB="19050" distL="19050" distR="19050">
              <wp:extent cx="3111500" cy="355600"/>
              <wp:effectExtent l="0" t="0" r="0" b="0"/>
              <wp:docPr id="17"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35"/>
                      <a:srcRect/>
                      <a:stretch>
                        <a:fillRect/>
                      </a:stretch>
                    </pic:blipFill>
                    <pic:spPr>
                      <a:xfrm>
                        <a:off x="0" y="0"/>
                        <a:ext cx="3111500" cy="355600"/>
                      </a:xfrm>
                      <a:prstGeom prst="rect">
                        <a:avLst/>
                      </a:prstGeom>
                      <a:ln/>
                    </pic:spPr>
                  </pic:pic>
                </a:graphicData>
              </a:graphic>
            </wp:inline>
          </w:drawing>
        </w:r>
      </w:hyperlink>
      <w:r>
        <w:t xml:space="preserve"> </w:t>
      </w:r>
    </w:p>
    <w:p w:rsidR="00DC23FA" w:rsidRDefault="009C15B2">
      <w:r>
        <w:t>Where CDR(k) is the marginal biotic capture at time k, P</w:t>
      </w:r>
      <w:r>
        <w:rPr>
          <w:vertAlign w:val="subscript"/>
        </w:rPr>
        <w:t>m</w:t>
      </w:r>
      <w:r>
        <w:t xml:space="preserve">(k) is the marginal cost of carbon abatement at time k, </w:t>
      </w:r>
      <m:oMath>
        <m:r>
          <w:rPr>
            <w:rFonts w:ascii="Cambria Math" w:hAnsi="Cambria Math"/>
          </w:rPr>
          <m:t>ρ</m:t>
        </m:r>
      </m:oMath>
      <w:r>
        <w:t xml:space="preserve"> is the discount factor, and r</w:t>
      </w:r>
      <w:r>
        <w:rPr>
          <w:vertAlign w:val="subscript"/>
        </w:rPr>
        <w:t>CO2</w:t>
      </w:r>
      <w:r>
        <w:t xml:space="preserve"> is the rate of</w:t>
      </w:r>
      <w:r>
        <w:t xml:space="preserve"> geochemical capture per ton of basalt, </w:t>
      </w:r>
      <w:proofErr w:type="spellStart"/>
      <w:r>
        <w:t>w</w:t>
      </w:r>
      <w:r>
        <w:rPr>
          <w:vertAlign w:val="subscript"/>
        </w:rPr>
        <w:t>r</w:t>
      </w:r>
      <w:proofErr w:type="spellEnd"/>
      <w:r>
        <w:t xml:space="preserve"> is the weathering rate. The revenue of basalt application increases with future carbon prices. On the other hand, the cost of basalt application also increases with the carbon price, which affects the energy inten</w:t>
      </w:r>
      <w:r>
        <w:t xml:space="preserve">sity of basalt application (although this is nearly negligible when basalt is applied on croplands). Since the model optimises revenues and costs, basalt is applied as soon as the marginal revenues equal </w:t>
      </w:r>
      <w:r>
        <w:lastRenderedPageBreak/>
        <w:t xml:space="preserve">the marginal costs. If the marginal revenues exceed </w:t>
      </w:r>
      <w:r>
        <w:t xml:space="preserve">the marginal costs, it means that the application of basalt has reached a limit (for instance, there is no available croplands left). Otherwise, the application level would increase until the marginal cost increase and reaches the marginal revenue. </w:t>
      </w:r>
    </w:p>
    <w:p w:rsidR="00DC23FA" w:rsidRDefault="009C15B2">
      <w:pPr>
        <w:widowControl w:val="0"/>
        <w:spacing w:after="0" w:line="276" w:lineRule="auto"/>
        <w:rPr>
          <w:sz w:val="18"/>
          <w:szCs w:val="18"/>
        </w:rPr>
      </w:pPr>
      <w:r>
        <w:rPr>
          <w:noProof/>
        </w:rPr>
        <w:drawing>
          <wp:inline distT="114300" distB="114300" distL="114300" distR="114300">
            <wp:extent cx="5760410" cy="3098800"/>
            <wp:effectExtent l="0" t="0" r="0" b="0"/>
            <wp:docPr id="3"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6"/>
                    <a:srcRect/>
                    <a:stretch>
                      <a:fillRect/>
                    </a:stretch>
                  </pic:blipFill>
                  <pic:spPr>
                    <a:xfrm>
                      <a:off x="0" y="0"/>
                      <a:ext cx="5760410" cy="3098800"/>
                    </a:xfrm>
                    <a:prstGeom prst="rect">
                      <a:avLst/>
                    </a:prstGeom>
                    <a:ln/>
                  </pic:spPr>
                </pic:pic>
              </a:graphicData>
            </a:graphic>
          </wp:inline>
        </w:drawing>
      </w:r>
    </w:p>
    <w:p w:rsidR="00DC23FA" w:rsidRDefault="00DC23FA">
      <w:pPr>
        <w:widowControl w:val="0"/>
        <w:spacing w:after="0" w:line="276" w:lineRule="auto"/>
      </w:pPr>
    </w:p>
    <w:p w:rsidR="00DC23FA" w:rsidRDefault="009C15B2">
      <w:pPr>
        <w:widowControl w:val="0"/>
        <w:spacing w:after="0" w:line="276" w:lineRule="auto"/>
        <w:rPr>
          <w:sz w:val="18"/>
          <w:szCs w:val="18"/>
        </w:rPr>
      </w:pPr>
      <w:r>
        <w:rPr>
          <w:b/>
          <w:sz w:val="18"/>
          <w:szCs w:val="18"/>
        </w:rPr>
        <w:t>Fig</w:t>
      </w:r>
      <w:r>
        <w:rPr>
          <w:b/>
          <w:sz w:val="18"/>
          <w:szCs w:val="18"/>
        </w:rPr>
        <w:t xml:space="preserve"> 1.3.5 Marginal revenues and </w:t>
      </w:r>
      <w:proofErr w:type="gramStart"/>
      <w:r>
        <w:rPr>
          <w:b/>
          <w:sz w:val="18"/>
          <w:szCs w:val="18"/>
        </w:rPr>
        <w:t>costs  of</w:t>
      </w:r>
      <w:proofErr w:type="gramEnd"/>
      <w:r>
        <w:rPr>
          <w:b/>
          <w:sz w:val="18"/>
          <w:szCs w:val="18"/>
        </w:rPr>
        <w:t xml:space="preserve">  basalt application</w:t>
      </w:r>
      <w:r>
        <w:rPr>
          <w:sz w:val="18"/>
          <w:szCs w:val="18"/>
        </w:rPr>
        <w:t xml:space="preserve"> in the different climate policy scenarios. Shaded </w:t>
      </w:r>
      <w:proofErr w:type="gramStart"/>
      <w:r>
        <w:rPr>
          <w:sz w:val="18"/>
          <w:szCs w:val="18"/>
        </w:rPr>
        <w:t>area :</w:t>
      </w:r>
      <w:proofErr w:type="gramEnd"/>
      <w:r>
        <w:rPr>
          <w:sz w:val="18"/>
          <w:szCs w:val="18"/>
        </w:rPr>
        <w:t xml:space="preserve"> 25-75% range. </w:t>
      </w:r>
      <w:r>
        <w:rPr>
          <w:b/>
          <w:sz w:val="18"/>
          <w:szCs w:val="18"/>
        </w:rPr>
        <w:t>Dotted lines</w:t>
      </w:r>
      <w:r>
        <w:rPr>
          <w:sz w:val="18"/>
          <w:szCs w:val="18"/>
        </w:rPr>
        <w:t>: energy cost a</w:t>
      </w:r>
      <w:r>
        <w:rPr>
          <w:b/>
          <w:sz w:val="18"/>
          <w:szCs w:val="18"/>
        </w:rPr>
        <w:t xml:space="preserve">s </w:t>
      </w:r>
      <w:r>
        <w:rPr>
          <w:sz w:val="18"/>
          <w:szCs w:val="18"/>
        </w:rPr>
        <w:t>a share of marginal basalt application cost (right y-axis). The marginal revenue of basalt applic</w:t>
      </w:r>
      <w:r>
        <w:rPr>
          <w:sz w:val="18"/>
          <w:szCs w:val="18"/>
        </w:rPr>
        <w:t>ation is defined as the nominal benefit associated with the CDR resulting from the application of one ton of rock, if no financial or energy expenditure is required. The marginal cost of basalt application is the nominal cost of applying one ton of rock wi</w:t>
      </w:r>
      <w:r>
        <w:rPr>
          <w:sz w:val="18"/>
          <w:szCs w:val="18"/>
        </w:rPr>
        <w:t>thout any resulting CDR. The energy cost is the nominal price of the energy that would be used to apply one ton of basalt.</w:t>
      </w:r>
      <w:r>
        <w:br w:type="page"/>
      </w:r>
    </w:p>
    <w:p w:rsidR="00DC23FA" w:rsidRDefault="009C15B2">
      <w:pPr>
        <w:pStyle w:val="Titre2"/>
        <w:spacing w:line="240" w:lineRule="auto"/>
      </w:pPr>
      <w:bookmarkStart w:id="28" w:name="_cfcfd4l4dj5c" w:colFirst="0" w:colLast="0"/>
      <w:bookmarkEnd w:id="28"/>
      <w:r>
        <w:lastRenderedPageBreak/>
        <w:t>2- Sensitivity Analysis</w:t>
      </w:r>
    </w:p>
    <w:p w:rsidR="00DC23FA" w:rsidRDefault="009C15B2">
      <w:pPr>
        <w:pStyle w:val="Titre3"/>
      </w:pPr>
      <w:bookmarkStart w:id="29" w:name="_ald9k0u8v8td" w:colFirst="0" w:colLast="0"/>
      <w:bookmarkEnd w:id="29"/>
      <w:r>
        <w:t>2.1 Parameters distributions</w:t>
      </w:r>
    </w:p>
    <w:p w:rsidR="00DC23FA" w:rsidRDefault="00DC23FA"/>
    <w:p w:rsidR="00DC23FA" w:rsidRDefault="009C15B2">
      <w:r>
        <w:t>For several parameters, we base the cost uncertainty range on the “Technologic</w:t>
      </w:r>
      <w:r>
        <w:t>al Readiness Level” (TRL). The Technological Readiness Level (TRL) describes the maturity of a technology or innovation. It provides a scale to evaluate the progress of a technology from its conception to its deployment in real-world application</w:t>
      </w:r>
      <w:hyperlink r:id="rId37">
        <w:r>
          <w:rPr>
            <w:vertAlign w:val="superscript"/>
          </w:rPr>
          <w:t>12</w:t>
        </w:r>
      </w:hyperlink>
      <w:r>
        <w:t>. Although TRL does not explicitly address the cost uncertainty, it reflects the overall progress of a technology, which can influence the accuracy of future costs projections. An exhaustive assessment o</w:t>
      </w:r>
      <w:r>
        <w:t>f cost uncertainty would consider the additional factors such as economies of scale, learning effects, supply chains, labour costs and regulatory requirements that may affect cost estimates.</w:t>
      </w:r>
    </w:p>
    <w:tbl>
      <w:tblPr>
        <w:tblStyle w:val="a1"/>
        <w:tblW w:w="10140" w:type="dxa"/>
        <w:tblInd w:w="-315" w:type="dxa"/>
        <w:tblLayout w:type="fixed"/>
        <w:tblLook w:val="0400" w:firstRow="0" w:lastRow="0" w:firstColumn="0" w:lastColumn="0" w:noHBand="0" w:noVBand="1"/>
      </w:tblPr>
      <w:tblGrid>
        <w:gridCol w:w="2265"/>
        <w:gridCol w:w="3015"/>
        <w:gridCol w:w="1350"/>
        <w:gridCol w:w="3510"/>
      </w:tblGrid>
      <w:tr w:rsidR="00DC23FA">
        <w:trPr>
          <w:trHeight w:val="360"/>
        </w:trPr>
        <w:tc>
          <w:tcPr>
            <w:tcW w:w="2265" w:type="dxa"/>
            <w:tcBorders>
              <w:bottom w:val="single" w:sz="4" w:space="0" w:color="000000"/>
            </w:tcBorders>
            <w:shd w:val="clear" w:color="auto" w:fill="auto"/>
            <w:tcMar>
              <w:top w:w="56" w:type="dxa"/>
              <w:left w:w="56" w:type="dxa"/>
              <w:bottom w:w="56" w:type="dxa"/>
              <w:right w:w="56" w:type="dxa"/>
            </w:tcMar>
          </w:tcPr>
          <w:p w:rsidR="00DC23FA" w:rsidRDefault="009C15B2">
            <w:pPr>
              <w:spacing w:after="0" w:line="240" w:lineRule="auto"/>
              <w:rPr>
                <w:b/>
                <w:color w:val="000000"/>
              </w:rPr>
            </w:pPr>
            <w:r>
              <w:rPr>
                <w:b/>
                <w:color w:val="000000"/>
              </w:rPr>
              <w:t>Parameter</w:t>
            </w:r>
          </w:p>
        </w:tc>
        <w:tc>
          <w:tcPr>
            <w:tcW w:w="3015" w:type="dxa"/>
            <w:tcBorders>
              <w:bottom w:val="single" w:sz="4" w:space="0" w:color="000000"/>
            </w:tcBorders>
            <w:shd w:val="clear" w:color="auto" w:fill="auto"/>
            <w:tcMar>
              <w:top w:w="56" w:type="dxa"/>
              <w:left w:w="56" w:type="dxa"/>
              <w:bottom w:w="56" w:type="dxa"/>
              <w:right w:w="56" w:type="dxa"/>
            </w:tcMar>
          </w:tcPr>
          <w:p w:rsidR="00DC23FA" w:rsidRDefault="009C15B2">
            <w:pPr>
              <w:spacing w:after="0" w:line="240" w:lineRule="auto"/>
              <w:rPr>
                <w:b/>
                <w:color w:val="000000"/>
              </w:rPr>
            </w:pPr>
            <w:r>
              <w:rPr>
                <w:b/>
                <w:color w:val="000000"/>
              </w:rPr>
              <w:t>Range</w:t>
            </w:r>
          </w:p>
        </w:tc>
        <w:tc>
          <w:tcPr>
            <w:tcW w:w="1350" w:type="dxa"/>
            <w:tcBorders>
              <w:bottom w:val="single" w:sz="4" w:space="0" w:color="000000"/>
            </w:tcBorders>
            <w:shd w:val="clear" w:color="auto" w:fill="auto"/>
            <w:tcMar>
              <w:top w:w="56" w:type="dxa"/>
              <w:left w:w="56" w:type="dxa"/>
              <w:bottom w:w="56" w:type="dxa"/>
              <w:right w:w="56" w:type="dxa"/>
            </w:tcMar>
          </w:tcPr>
          <w:p w:rsidR="00DC23FA" w:rsidRDefault="009C15B2">
            <w:pPr>
              <w:spacing w:after="0" w:line="240" w:lineRule="auto"/>
              <w:rPr>
                <w:b/>
                <w:color w:val="000000"/>
              </w:rPr>
            </w:pPr>
            <w:r>
              <w:rPr>
                <w:b/>
                <w:color w:val="000000"/>
              </w:rPr>
              <w:t>distribution</w:t>
            </w:r>
          </w:p>
        </w:tc>
        <w:tc>
          <w:tcPr>
            <w:tcW w:w="3510" w:type="dxa"/>
            <w:tcBorders>
              <w:bottom w:val="single" w:sz="4" w:space="0" w:color="000000"/>
            </w:tcBorders>
            <w:shd w:val="clear" w:color="auto" w:fill="auto"/>
            <w:tcMar>
              <w:top w:w="56" w:type="dxa"/>
              <w:left w:w="56" w:type="dxa"/>
              <w:bottom w:w="56" w:type="dxa"/>
              <w:right w:w="56" w:type="dxa"/>
            </w:tcMar>
          </w:tcPr>
          <w:p w:rsidR="00DC23FA" w:rsidRDefault="009C15B2">
            <w:pPr>
              <w:spacing w:after="0" w:line="240" w:lineRule="auto"/>
              <w:rPr>
                <w:b/>
                <w:color w:val="000000"/>
              </w:rPr>
            </w:pPr>
            <w:r>
              <w:rPr>
                <w:b/>
                <w:color w:val="000000"/>
              </w:rPr>
              <w:t>Justification</w:t>
            </w:r>
          </w:p>
        </w:tc>
      </w:tr>
      <w:tr w:rsidR="00DC23FA">
        <w:trPr>
          <w:trHeight w:val="288"/>
        </w:trPr>
        <w:tc>
          <w:tcPr>
            <w:tcW w:w="2265" w:type="dxa"/>
            <w:shd w:val="clear" w:color="auto" w:fill="auto"/>
            <w:tcMar>
              <w:top w:w="56" w:type="dxa"/>
              <w:left w:w="56" w:type="dxa"/>
              <w:bottom w:w="56" w:type="dxa"/>
              <w:right w:w="56" w:type="dxa"/>
            </w:tcMar>
          </w:tcPr>
          <w:p w:rsidR="00DC23FA" w:rsidRDefault="009C15B2">
            <w:pPr>
              <w:spacing w:after="0" w:line="240" w:lineRule="auto"/>
              <w:rPr>
                <w:color w:val="000000"/>
              </w:rPr>
            </w:pPr>
            <w:r>
              <w:t>Initial b</w:t>
            </w:r>
            <w:r>
              <w:rPr>
                <w:color w:val="000000"/>
              </w:rPr>
              <w:t>ioenergy price</w:t>
            </w:r>
          </w:p>
        </w:tc>
        <w:tc>
          <w:tcPr>
            <w:tcW w:w="3015"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1.5-4.9 $/GJ</w:t>
            </w:r>
          </w:p>
        </w:tc>
        <w:tc>
          <w:tcPr>
            <w:tcW w:w="1350"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Uniform</w:t>
            </w:r>
          </w:p>
        </w:tc>
        <w:tc>
          <w:tcPr>
            <w:tcW w:w="3510" w:type="dxa"/>
            <w:shd w:val="clear" w:color="auto" w:fill="auto"/>
            <w:tcMar>
              <w:top w:w="56" w:type="dxa"/>
              <w:left w:w="56" w:type="dxa"/>
              <w:bottom w:w="56" w:type="dxa"/>
              <w:right w:w="56" w:type="dxa"/>
            </w:tcMar>
          </w:tcPr>
          <w:p w:rsidR="00DC23FA" w:rsidRDefault="009C15B2">
            <w:pPr>
              <w:spacing w:after="0" w:line="240" w:lineRule="auto"/>
              <w:rPr>
                <w:color w:val="000000"/>
              </w:rPr>
            </w:pPr>
            <w:proofErr w:type="spellStart"/>
            <w:r>
              <w:rPr>
                <w:color w:val="000000"/>
              </w:rPr>
              <w:t>Domingues</w:t>
            </w:r>
            <w:proofErr w:type="spellEnd"/>
            <w:r>
              <w:rPr>
                <w:color w:val="000000"/>
              </w:rPr>
              <w:t xml:space="preserve"> 2022, Cost of </w:t>
            </w:r>
            <w:proofErr w:type="spellStart"/>
            <w:r>
              <w:rPr>
                <w:color w:val="000000"/>
              </w:rPr>
              <w:t>ligno</w:t>
            </w:r>
            <w:proofErr w:type="spellEnd"/>
            <w:r>
              <w:rPr>
                <w:color w:val="000000"/>
              </w:rPr>
              <w:t>-cellulosic biomass production for bioenergy</w:t>
            </w:r>
          </w:p>
        </w:tc>
      </w:tr>
      <w:tr w:rsidR="00DC23FA">
        <w:trPr>
          <w:trHeight w:val="288"/>
        </w:trPr>
        <w:tc>
          <w:tcPr>
            <w:tcW w:w="2265"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Energy demand</w:t>
            </w:r>
          </w:p>
        </w:tc>
        <w:tc>
          <w:tcPr>
            <w:tcW w:w="3015"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mult</w:t>
            </w:r>
            <w:r>
              <w:t>iplied</w:t>
            </w:r>
            <w:r>
              <w:rPr>
                <w:color w:val="000000"/>
              </w:rPr>
              <w:t xml:space="preserve"> by 0.75-1.25</w:t>
            </w:r>
          </w:p>
        </w:tc>
        <w:tc>
          <w:tcPr>
            <w:tcW w:w="1350"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Uniform</w:t>
            </w:r>
          </w:p>
        </w:tc>
        <w:tc>
          <w:tcPr>
            <w:tcW w:w="3510"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 xml:space="preserve">Source: SSP database. The standard deviation of the final energy use in 2100 (across SSP2 scenarios) is </w:t>
            </w:r>
            <w:r>
              <w:t xml:space="preserve">assumed to be </w:t>
            </w:r>
            <w:r>
              <w:rPr>
                <w:color w:val="000000"/>
              </w:rPr>
              <w:t xml:space="preserve">25% of its mean value. </w:t>
            </w:r>
          </w:p>
        </w:tc>
      </w:tr>
      <w:tr w:rsidR="00DC23FA">
        <w:trPr>
          <w:trHeight w:val="288"/>
        </w:trPr>
        <w:tc>
          <w:tcPr>
            <w:tcW w:w="2265"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Price elasticity of demand</w:t>
            </w:r>
          </w:p>
        </w:tc>
        <w:tc>
          <w:tcPr>
            <w:tcW w:w="3015"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-0.4 for electricity, and space heating, -0.2 for industrial process heat and feedstock, -0.3 for transport demand. +/- 0.05</w:t>
            </w:r>
          </w:p>
        </w:tc>
        <w:tc>
          <w:tcPr>
            <w:tcW w:w="1350"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Uniform</w:t>
            </w:r>
          </w:p>
        </w:tc>
        <w:tc>
          <w:tcPr>
            <w:tcW w:w="3510" w:type="dxa"/>
            <w:shd w:val="clear" w:color="auto" w:fill="auto"/>
            <w:tcMar>
              <w:top w:w="56" w:type="dxa"/>
              <w:left w:w="56" w:type="dxa"/>
              <w:bottom w:w="56" w:type="dxa"/>
              <w:right w:w="56" w:type="dxa"/>
            </w:tcMar>
          </w:tcPr>
          <w:p w:rsidR="00DC23FA" w:rsidRDefault="00DC23FA">
            <w:pPr>
              <w:spacing w:after="0" w:line="240" w:lineRule="auto"/>
              <w:rPr>
                <w:color w:val="000000"/>
              </w:rPr>
            </w:pPr>
          </w:p>
        </w:tc>
      </w:tr>
      <w:tr w:rsidR="00DC23FA">
        <w:trPr>
          <w:trHeight w:val="288"/>
        </w:trPr>
        <w:tc>
          <w:tcPr>
            <w:tcW w:w="2265" w:type="dxa"/>
            <w:shd w:val="clear" w:color="auto" w:fill="auto"/>
            <w:tcMar>
              <w:top w:w="56" w:type="dxa"/>
              <w:left w:w="56" w:type="dxa"/>
              <w:bottom w:w="56" w:type="dxa"/>
              <w:right w:w="56" w:type="dxa"/>
            </w:tcMar>
          </w:tcPr>
          <w:p w:rsidR="00DC23FA" w:rsidRDefault="009C15B2">
            <w:pPr>
              <w:spacing w:after="0" w:line="240" w:lineRule="auto"/>
              <w:rPr>
                <w:color w:val="000000"/>
              </w:rPr>
            </w:pPr>
            <w:r>
              <w:t>Electric share of PHEV use</w:t>
            </w:r>
          </w:p>
        </w:tc>
        <w:tc>
          <w:tcPr>
            <w:tcW w:w="3015"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0.2-0.69</w:t>
            </w:r>
          </w:p>
        </w:tc>
        <w:tc>
          <w:tcPr>
            <w:tcW w:w="1350"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Uniform</w:t>
            </w:r>
          </w:p>
        </w:tc>
        <w:tc>
          <w:tcPr>
            <w:tcW w:w="3510" w:type="dxa"/>
            <w:shd w:val="clear" w:color="auto" w:fill="auto"/>
            <w:tcMar>
              <w:top w:w="56" w:type="dxa"/>
              <w:left w:w="56" w:type="dxa"/>
              <w:bottom w:w="56" w:type="dxa"/>
              <w:right w:w="56" w:type="dxa"/>
            </w:tcMar>
          </w:tcPr>
          <w:p w:rsidR="00DC23FA" w:rsidRDefault="009C15B2">
            <w:pPr>
              <w:spacing w:after="0" w:line="240" w:lineRule="auto"/>
              <w:rPr>
                <w:color w:val="000000"/>
              </w:rPr>
            </w:pPr>
            <w:proofErr w:type="gramStart"/>
            <w:r>
              <w:rPr>
                <w:color w:val="000000"/>
              </w:rPr>
              <w:t>0.69 :</w:t>
            </w:r>
            <w:proofErr w:type="gramEnd"/>
            <w:r>
              <w:rPr>
                <w:color w:val="000000"/>
              </w:rPr>
              <w:t xml:space="preserve"> NEDC, 20% real-world</w:t>
            </w:r>
          </w:p>
        </w:tc>
      </w:tr>
      <w:tr w:rsidR="00DC23FA">
        <w:trPr>
          <w:trHeight w:val="288"/>
        </w:trPr>
        <w:tc>
          <w:tcPr>
            <w:tcW w:w="2265" w:type="dxa"/>
            <w:shd w:val="clear" w:color="auto" w:fill="auto"/>
            <w:tcMar>
              <w:top w:w="56" w:type="dxa"/>
              <w:left w:w="56" w:type="dxa"/>
              <w:bottom w:w="56" w:type="dxa"/>
              <w:right w:w="56" w:type="dxa"/>
            </w:tcMar>
          </w:tcPr>
          <w:p w:rsidR="00DC23FA" w:rsidRDefault="009C15B2">
            <w:pPr>
              <w:spacing w:after="0" w:line="240" w:lineRule="auto"/>
            </w:pPr>
            <w:r>
              <w:t>Flexibility of market shares: technology diffusi</w:t>
            </w:r>
            <w:r>
              <w:t xml:space="preserve">on constraints (e.g.: CCS cannot be used in more than 70% of urban heating systems). </w:t>
            </w:r>
          </w:p>
        </w:tc>
        <w:tc>
          <w:tcPr>
            <w:tcW w:w="3015"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constraints mult</w:t>
            </w:r>
            <w:r>
              <w:t>iplied</w:t>
            </w:r>
            <w:r>
              <w:rPr>
                <w:color w:val="000000"/>
              </w:rPr>
              <w:t xml:space="preserve"> by 0.9-1.1</w:t>
            </w:r>
          </w:p>
        </w:tc>
        <w:tc>
          <w:tcPr>
            <w:tcW w:w="1350"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Uniform</w:t>
            </w:r>
          </w:p>
        </w:tc>
        <w:tc>
          <w:tcPr>
            <w:tcW w:w="3510" w:type="dxa"/>
            <w:shd w:val="clear" w:color="auto" w:fill="auto"/>
            <w:tcMar>
              <w:top w:w="56" w:type="dxa"/>
              <w:left w:w="56" w:type="dxa"/>
              <w:bottom w:w="56" w:type="dxa"/>
              <w:right w:w="56" w:type="dxa"/>
            </w:tcMar>
          </w:tcPr>
          <w:p w:rsidR="00DC23FA" w:rsidRDefault="009C15B2">
            <w:pPr>
              <w:spacing w:after="0" w:line="240" w:lineRule="auto"/>
              <w:rPr>
                <w:color w:val="000000"/>
              </w:rPr>
            </w:pPr>
            <w:r>
              <w:t xml:space="preserve"> </w:t>
            </w:r>
          </w:p>
        </w:tc>
      </w:tr>
      <w:tr w:rsidR="00DC23FA">
        <w:trPr>
          <w:trHeight w:val="288"/>
        </w:trPr>
        <w:tc>
          <w:tcPr>
            <w:tcW w:w="2265" w:type="dxa"/>
            <w:shd w:val="clear" w:color="auto" w:fill="auto"/>
            <w:tcMar>
              <w:top w:w="56" w:type="dxa"/>
              <w:left w:w="56" w:type="dxa"/>
              <w:bottom w:w="56" w:type="dxa"/>
              <w:right w:w="56" w:type="dxa"/>
            </w:tcMar>
          </w:tcPr>
          <w:p w:rsidR="00DC23FA" w:rsidRDefault="009C15B2">
            <w:pPr>
              <w:spacing w:after="0" w:line="240" w:lineRule="auto"/>
            </w:pPr>
            <w:r>
              <w:t>H2 vehicle costs</w:t>
            </w:r>
          </w:p>
        </w:tc>
        <w:tc>
          <w:tcPr>
            <w:tcW w:w="3015"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Incremental cost (compared to internal combustion engine vehicle): 3,000$/car, 25,020$ for bus and trucks, m</w:t>
            </w:r>
            <w:r>
              <w:rPr>
                <w:color w:val="000000"/>
              </w:rPr>
              <w:t>ultiplied by 0.3-2.7</w:t>
            </w:r>
          </w:p>
        </w:tc>
        <w:tc>
          <w:tcPr>
            <w:tcW w:w="1350"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Uniform</w:t>
            </w:r>
          </w:p>
        </w:tc>
        <w:tc>
          <w:tcPr>
            <w:tcW w:w="3510" w:type="dxa"/>
            <w:shd w:val="clear" w:color="auto" w:fill="auto"/>
            <w:tcMar>
              <w:top w:w="56" w:type="dxa"/>
              <w:left w:w="56" w:type="dxa"/>
              <w:bottom w:w="56" w:type="dxa"/>
              <w:right w:w="56" w:type="dxa"/>
            </w:tcMar>
          </w:tcPr>
          <w:p w:rsidR="00DC23FA" w:rsidRDefault="009C15B2">
            <w:pPr>
              <w:spacing w:after="0" w:line="240" w:lineRule="auto"/>
            </w:pPr>
            <w:r>
              <w:rPr>
                <w:color w:val="000000"/>
              </w:rPr>
              <w:t xml:space="preserve">Multiplier range from </w:t>
            </w:r>
            <w:r>
              <w:t>C</w:t>
            </w:r>
            <w:r>
              <w:rPr>
                <w:color w:val="000000"/>
              </w:rPr>
              <w:t>ox, et al 2021</w:t>
            </w:r>
            <w:hyperlink r:id="rId38">
              <w:r>
                <w:rPr>
                  <w:vertAlign w:val="superscript"/>
                </w:rPr>
                <w:t>13</w:t>
              </w:r>
            </w:hyperlink>
            <w:r>
              <w:rPr>
                <w:color w:val="000000"/>
              </w:rPr>
              <w:t xml:space="preserve">. </w:t>
            </w:r>
          </w:p>
        </w:tc>
      </w:tr>
      <w:tr w:rsidR="00DC23FA">
        <w:trPr>
          <w:trHeight w:val="288"/>
        </w:trPr>
        <w:tc>
          <w:tcPr>
            <w:tcW w:w="2265" w:type="dxa"/>
            <w:shd w:val="clear" w:color="auto" w:fill="auto"/>
            <w:tcMar>
              <w:top w:w="56" w:type="dxa"/>
              <w:left w:w="56" w:type="dxa"/>
              <w:bottom w:w="56" w:type="dxa"/>
              <w:right w:w="56" w:type="dxa"/>
            </w:tcMar>
          </w:tcPr>
          <w:p w:rsidR="00DC23FA" w:rsidRDefault="009C15B2">
            <w:pPr>
              <w:spacing w:after="0" w:line="240" w:lineRule="auto"/>
            </w:pPr>
            <w:r>
              <w:t>EV costs (PHEV &amp; BEV)</w:t>
            </w:r>
          </w:p>
        </w:tc>
        <w:tc>
          <w:tcPr>
            <w:tcW w:w="3015"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 xml:space="preserve">Incremental cost (compared to internal combustion engine vehicle): </w:t>
            </w:r>
            <w:r>
              <w:rPr>
                <w:color w:val="000000"/>
              </w:rPr>
              <w:t xml:space="preserve">7,200$/car, 62,200$ for bus and trucks, </w:t>
            </w:r>
            <w:r>
              <w:t>multiplied</w:t>
            </w:r>
            <w:r>
              <w:rPr>
                <w:color w:val="000000"/>
              </w:rPr>
              <w:t xml:space="preserve"> by 0.9-1.9</w:t>
            </w:r>
          </w:p>
        </w:tc>
        <w:tc>
          <w:tcPr>
            <w:tcW w:w="1350"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Uniform</w:t>
            </w:r>
          </w:p>
        </w:tc>
        <w:tc>
          <w:tcPr>
            <w:tcW w:w="3510"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 xml:space="preserve">Multiplier range from </w:t>
            </w:r>
            <w:r>
              <w:t>C</w:t>
            </w:r>
            <w:r>
              <w:rPr>
                <w:color w:val="000000"/>
              </w:rPr>
              <w:t>ox, et al.</w:t>
            </w:r>
            <w:hyperlink r:id="rId39">
              <w:r>
                <w:rPr>
                  <w:vertAlign w:val="superscript"/>
                </w:rPr>
                <w:t>13</w:t>
              </w:r>
            </w:hyperlink>
          </w:p>
        </w:tc>
      </w:tr>
      <w:tr w:rsidR="00DC23FA">
        <w:trPr>
          <w:trHeight w:val="288"/>
        </w:trPr>
        <w:tc>
          <w:tcPr>
            <w:tcW w:w="2265" w:type="dxa"/>
            <w:shd w:val="clear" w:color="auto" w:fill="auto"/>
            <w:tcMar>
              <w:top w:w="56" w:type="dxa"/>
              <w:left w:w="56" w:type="dxa"/>
              <w:bottom w:w="56" w:type="dxa"/>
              <w:right w:w="56" w:type="dxa"/>
            </w:tcMar>
          </w:tcPr>
          <w:p w:rsidR="00DC23FA" w:rsidRDefault="009C15B2">
            <w:pPr>
              <w:spacing w:after="0" w:line="240" w:lineRule="auto"/>
            </w:pPr>
            <w:r>
              <w:t>CCS costs</w:t>
            </w:r>
          </w:p>
        </w:tc>
        <w:tc>
          <w:tcPr>
            <w:tcW w:w="3015"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The extra cost of adding CCS to an energy conversion plant (</w:t>
            </w:r>
            <w:r>
              <w:t>1,340</w:t>
            </w:r>
            <w:r>
              <w:rPr>
                <w:color w:val="000000"/>
              </w:rPr>
              <w:t>$/kW for gas</w:t>
            </w:r>
            <w:r>
              <w:rPr>
                <w:color w:val="000000"/>
              </w:rPr>
              <w:t xml:space="preserve"> to electricity, </w:t>
            </w:r>
            <w:r>
              <w:t>1</w:t>
            </w:r>
            <w:r>
              <w:rPr>
                <w:color w:val="000000"/>
              </w:rPr>
              <w:t>,</w:t>
            </w:r>
            <w:r>
              <w:t>920</w:t>
            </w:r>
            <w:r>
              <w:rPr>
                <w:color w:val="000000"/>
              </w:rPr>
              <w:t xml:space="preserve">$/kW for coal </w:t>
            </w:r>
            <w:r>
              <w:rPr>
                <w:color w:val="000000"/>
              </w:rPr>
              <w:lastRenderedPageBreak/>
              <w:t>to electricity and biom</w:t>
            </w:r>
            <w:r>
              <w:t>ass</w:t>
            </w:r>
            <w:r>
              <w:rPr>
                <w:color w:val="000000"/>
              </w:rPr>
              <w:t xml:space="preserve"> to elec</w:t>
            </w:r>
            <w:r>
              <w:t>tricity</w:t>
            </w:r>
            <w:r>
              <w:rPr>
                <w:color w:val="000000"/>
              </w:rPr>
              <w:t>, 1,0</w:t>
            </w:r>
            <w:r>
              <w:t>5</w:t>
            </w:r>
            <w:r>
              <w:rPr>
                <w:color w:val="000000"/>
              </w:rPr>
              <w:t>0$/kW for biomass to H2, 1,5</w:t>
            </w:r>
            <w:r>
              <w:t>8</w:t>
            </w:r>
            <w:r>
              <w:rPr>
                <w:color w:val="000000"/>
              </w:rPr>
              <w:t xml:space="preserve">0$ for biomass to MeOH) is multiplied by 0.8-1.2. </w:t>
            </w:r>
          </w:p>
        </w:tc>
        <w:tc>
          <w:tcPr>
            <w:tcW w:w="1350"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lastRenderedPageBreak/>
              <w:t>Uniform</w:t>
            </w:r>
          </w:p>
        </w:tc>
        <w:tc>
          <w:tcPr>
            <w:tcW w:w="3510" w:type="dxa"/>
            <w:shd w:val="clear" w:color="auto" w:fill="auto"/>
            <w:tcMar>
              <w:top w:w="56" w:type="dxa"/>
              <w:left w:w="56" w:type="dxa"/>
              <w:bottom w:w="56" w:type="dxa"/>
              <w:right w:w="56" w:type="dxa"/>
            </w:tcMar>
          </w:tcPr>
          <w:p w:rsidR="00DC23FA" w:rsidRDefault="009C15B2">
            <w:pPr>
              <w:spacing w:after="0" w:line="240" w:lineRule="auto"/>
            </w:pPr>
            <w:r>
              <w:t xml:space="preserve">The technology readiness level (TRL) is quite low: 6 to 7 (biomass), and 8 to 9 (coal &amp; gas). </w:t>
            </w:r>
          </w:p>
          <w:p w:rsidR="00DC23FA" w:rsidRDefault="00DC23FA">
            <w:pPr>
              <w:spacing w:after="0" w:line="240" w:lineRule="auto"/>
              <w:rPr>
                <w:color w:val="000000"/>
              </w:rPr>
            </w:pPr>
          </w:p>
        </w:tc>
      </w:tr>
      <w:tr w:rsidR="00DC23FA">
        <w:trPr>
          <w:trHeight w:val="288"/>
        </w:trPr>
        <w:tc>
          <w:tcPr>
            <w:tcW w:w="2265" w:type="dxa"/>
            <w:shd w:val="clear" w:color="auto" w:fill="auto"/>
            <w:tcMar>
              <w:top w:w="56" w:type="dxa"/>
              <w:left w:w="56" w:type="dxa"/>
              <w:bottom w:w="56" w:type="dxa"/>
              <w:right w:w="56" w:type="dxa"/>
            </w:tcMar>
          </w:tcPr>
          <w:p w:rsidR="00DC23FA" w:rsidRDefault="009C15B2">
            <w:pPr>
              <w:spacing w:after="0" w:line="240" w:lineRule="auto"/>
            </w:pPr>
            <w:r>
              <w:t>Variable renewable energy costs</w:t>
            </w:r>
          </w:p>
        </w:tc>
        <w:tc>
          <w:tcPr>
            <w:tcW w:w="3015"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 xml:space="preserve">1,100$/kW (onshore wind), 895$/kW (solar), </w:t>
            </w:r>
            <w:r>
              <w:t>multiplied</w:t>
            </w:r>
            <w:r>
              <w:rPr>
                <w:color w:val="000000"/>
              </w:rPr>
              <w:t xml:space="preserve"> by 0.9-1.1</w:t>
            </w:r>
          </w:p>
        </w:tc>
        <w:tc>
          <w:tcPr>
            <w:tcW w:w="1350"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Uniform</w:t>
            </w:r>
          </w:p>
        </w:tc>
        <w:tc>
          <w:tcPr>
            <w:tcW w:w="3510" w:type="dxa"/>
            <w:shd w:val="clear" w:color="auto" w:fill="auto"/>
            <w:tcMar>
              <w:top w:w="56" w:type="dxa"/>
              <w:left w:w="56" w:type="dxa"/>
              <w:bottom w:w="56" w:type="dxa"/>
              <w:right w:w="56" w:type="dxa"/>
            </w:tcMar>
          </w:tcPr>
          <w:p w:rsidR="00DC23FA" w:rsidRDefault="009C15B2">
            <w:pPr>
              <w:spacing w:after="0" w:line="240" w:lineRule="auto"/>
              <w:rPr>
                <w:color w:val="000000"/>
              </w:rPr>
            </w:pPr>
            <w:r>
              <w:t>TRL</w:t>
            </w:r>
            <w:r>
              <w:rPr>
                <w:vertAlign w:val="superscript"/>
              </w:rPr>
              <w:footnoteReference w:id="1"/>
            </w:r>
            <w:r>
              <w:t xml:space="preserve"> is </w:t>
            </w:r>
            <w:proofErr w:type="gramStart"/>
            <w:r>
              <w:t>high :</w:t>
            </w:r>
            <w:proofErr w:type="gramEnd"/>
            <w:r>
              <w:t xml:space="preserve"> 9-10</w:t>
            </w:r>
          </w:p>
        </w:tc>
      </w:tr>
      <w:tr w:rsidR="00DC23FA">
        <w:trPr>
          <w:trHeight w:val="288"/>
        </w:trPr>
        <w:tc>
          <w:tcPr>
            <w:tcW w:w="2265" w:type="dxa"/>
            <w:shd w:val="clear" w:color="auto" w:fill="auto"/>
            <w:tcMar>
              <w:top w:w="56" w:type="dxa"/>
              <w:left w:w="56" w:type="dxa"/>
              <w:bottom w:w="56" w:type="dxa"/>
              <w:right w:w="56" w:type="dxa"/>
            </w:tcMar>
          </w:tcPr>
          <w:p w:rsidR="00DC23FA" w:rsidRDefault="009C15B2">
            <w:pPr>
              <w:spacing w:after="0" w:line="240" w:lineRule="auto"/>
            </w:pPr>
            <w:r>
              <w:t>Nuclear costs</w:t>
            </w:r>
          </w:p>
        </w:tc>
        <w:tc>
          <w:tcPr>
            <w:tcW w:w="3015"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 xml:space="preserve">5,240$/kW, </w:t>
            </w:r>
            <w:r>
              <w:t>multiplied</w:t>
            </w:r>
            <w:r>
              <w:rPr>
                <w:color w:val="000000"/>
              </w:rPr>
              <w:t xml:space="preserve"> by 0.95-1.05</w:t>
            </w:r>
          </w:p>
        </w:tc>
        <w:tc>
          <w:tcPr>
            <w:tcW w:w="1350"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Uniform</w:t>
            </w:r>
          </w:p>
        </w:tc>
        <w:tc>
          <w:tcPr>
            <w:tcW w:w="3510" w:type="dxa"/>
            <w:shd w:val="clear" w:color="auto" w:fill="auto"/>
            <w:tcMar>
              <w:top w:w="56" w:type="dxa"/>
              <w:left w:w="56" w:type="dxa"/>
              <w:bottom w:w="56" w:type="dxa"/>
              <w:right w:w="56" w:type="dxa"/>
            </w:tcMar>
          </w:tcPr>
          <w:p w:rsidR="00DC23FA" w:rsidRDefault="009C15B2">
            <w:pPr>
              <w:spacing w:after="0" w:line="240" w:lineRule="auto"/>
              <w:rPr>
                <w:color w:val="000000"/>
                <w:vertAlign w:val="superscript"/>
              </w:rPr>
            </w:pPr>
            <w:r>
              <w:t xml:space="preserve">TRL is </w:t>
            </w:r>
            <w:proofErr w:type="gramStart"/>
            <w:r>
              <w:t>high :</w:t>
            </w:r>
            <w:proofErr w:type="gramEnd"/>
            <w:r>
              <w:t xml:space="preserve"> 10 to 11</w:t>
            </w:r>
          </w:p>
        </w:tc>
      </w:tr>
      <w:tr w:rsidR="00DC23FA">
        <w:trPr>
          <w:trHeight w:val="288"/>
        </w:trPr>
        <w:tc>
          <w:tcPr>
            <w:tcW w:w="2265" w:type="dxa"/>
            <w:shd w:val="clear" w:color="auto" w:fill="auto"/>
            <w:tcMar>
              <w:top w:w="56" w:type="dxa"/>
              <w:left w:w="56" w:type="dxa"/>
              <w:bottom w:w="56" w:type="dxa"/>
              <w:right w:w="56" w:type="dxa"/>
            </w:tcMar>
          </w:tcPr>
          <w:p w:rsidR="00DC23FA" w:rsidRDefault="009C15B2">
            <w:pPr>
              <w:spacing w:after="0" w:line="240" w:lineRule="auto"/>
            </w:pPr>
            <w:r>
              <w:t>Biomass to H2 or Methanol costs</w:t>
            </w:r>
          </w:p>
        </w:tc>
        <w:tc>
          <w:tcPr>
            <w:tcW w:w="3015"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 xml:space="preserve">6,000$/kW and 3000$/kW for MeOH and H2 (without CCS), respectively, </w:t>
            </w:r>
            <w:r>
              <w:t>multiplied</w:t>
            </w:r>
            <w:r>
              <w:rPr>
                <w:color w:val="000000"/>
              </w:rPr>
              <w:t xml:space="preserve"> by 0.7-1.3</w:t>
            </w:r>
          </w:p>
        </w:tc>
        <w:tc>
          <w:tcPr>
            <w:tcW w:w="1350"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Uniform</w:t>
            </w:r>
          </w:p>
        </w:tc>
        <w:tc>
          <w:tcPr>
            <w:tcW w:w="3510"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Low TRL (5 to 6)</w:t>
            </w:r>
          </w:p>
        </w:tc>
      </w:tr>
      <w:tr w:rsidR="00DC23FA">
        <w:trPr>
          <w:trHeight w:val="288"/>
        </w:trPr>
        <w:tc>
          <w:tcPr>
            <w:tcW w:w="2265" w:type="dxa"/>
            <w:shd w:val="clear" w:color="auto" w:fill="auto"/>
            <w:tcMar>
              <w:top w:w="56" w:type="dxa"/>
              <w:left w:w="56" w:type="dxa"/>
              <w:bottom w:w="56" w:type="dxa"/>
              <w:right w:w="56" w:type="dxa"/>
            </w:tcMar>
          </w:tcPr>
          <w:p w:rsidR="00DC23FA" w:rsidRDefault="009C15B2">
            <w:pPr>
              <w:spacing w:after="0" w:line="240" w:lineRule="auto"/>
            </w:pPr>
            <w:r>
              <w:t>Electrolysers costs</w:t>
            </w:r>
          </w:p>
        </w:tc>
        <w:tc>
          <w:tcPr>
            <w:tcW w:w="3015"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 xml:space="preserve">1,500$/kW (400$/kW in 2050) </w:t>
            </w:r>
            <w:r>
              <w:t>mult</w:t>
            </w:r>
            <w:r>
              <w:t>iplied</w:t>
            </w:r>
            <w:r>
              <w:rPr>
                <w:color w:val="000000"/>
              </w:rPr>
              <w:t xml:space="preserve"> by 0.9-1.1</w:t>
            </w:r>
          </w:p>
        </w:tc>
        <w:tc>
          <w:tcPr>
            <w:tcW w:w="1350"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Uniform</w:t>
            </w:r>
          </w:p>
        </w:tc>
        <w:tc>
          <w:tcPr>
            <w:tcW w:w="3510"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TRL is quite high (9)</w:t>
            </w:r>
          </w:p>
        </w:tc>
      </w:tr>
      <w:tr w:rsidR="00DC23FA">
        <w:trPr>
          <w:trHeight w:val="288"/>
        </w:trPr>
        <w:tc>
          <w:tcPr>
            <w:tcW w:w="2265" w:type="dxa"/>
            <w:shd w:val="clear" w:color="auto" w:fill="auto"/>
            <w:tcMar>
              <w:top w:w="56" w:type="dxa"/>
              <w:left w:w="56" w:type="dxa"/>
              <w:bottom w:w="56" w:type="dxa"/>
              <w:right w:w="56" w:type="dxa"/>
            </w:tcMar>
          </w:tcPr>
          <w:p w:rsidR="00DC23FA" w:rsidRDefault="009C15B2">
            <w:pPr>
              <w:spacing w:after="0" w:line="240" w:lineRule="auto"/>
            </w:pPr>
            <w:r>
              <w:t>Storage costs</w:t>
            </w:r>
          </w:p>
        </w:tc>
        <w:tc>
          <w:tcPr>
            <w:tcW w:w="3015"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 xml:space="preserve">2,500$/kW </w:t>
            </w:r>
            <w:r>
              <w:t>multiplied</w:t>
            </w:r>
            <w:r>
              <w:rPr>
                <w:color w:val="000000"/>
              </w:rPr>
              <w:t xml:space="preserve"> by 0.85-1.15</w:t>
            </w:r>
          </w:p>
        </w:tc>
        <w:tc>
          <w:tcPr>
            <w:tcW w:w="1350"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Uniform</w:t>
            </w:r>
          </w:p>
        </w:tc>
        <w:tc>
          <w:tcPr>
            <w:tcW w:w="3510"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TRL 8-9</w:t>
            </w:r>
          </w:p>
        </w:tc>
      </w:tr>
      <w:tr w:rsidR="00DC23FA">
        <w:trPr>
          <w:trHeight w:val="288"/>
        </w:trPr>
        <w:tc>
          <w:tcPr>
            <w:tcW w:w="2265" w:type="dxa"/>
            <w:shd w:val="clear" w:color="auto" w:fill="auto"/>
            <w:tcMar>
              <w:top w:w="56" w:type="dxa"/>
              <w:left w:w="56" w:type="dxa"/>
              <w:bottom w:w="56" w:type="dxa"/>
              <w:right w:w="56" w:type="dxa"/>
            </w:tcMar>
          </w:tcPr>
          <w:p w:rsidR="00DC23FA" w:rsidRDefault="009C15B2">
            <w:pPr>
              <w:spacing w:after="0" w:line="240" w:lineRule="auto"/>
            </w:pPr>
            <w:r>
              <w:t>capacity factor of wind and solar</w:t>
            </w:r>
          </w:p>
        </w:tc>
        <w:tc>
          <w:tcPr>
            <w:tcW w:w="3015"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 xml:space="preserve">0.36 for wind, 0.16 solar. </w:t>
            </w:r>
            <w:r>
              <w:t>multiplied</w:t>
            </w:r>
            <w:r>
              <w:rPr>
                <w:color w:val="000000"/>
              </w:rPr>
              <w:t xml:space="preserve"> by 0.8-1.00</w:t>
            </w:r>
          </w:p>
        </w:tc>
        <w:tc>
          <w:tcPr>
            <w:tcW w:w="1350"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Uniform</w:t>
            </w:r>
          </w:p>
        </w:tc>
        <w:tc>
          <w:tcPr>
            <w:tcW w:w="3510"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Coupling of power</w:t>
            </w:r>
            <w:r>
              <w:t xml:space="preserve"> system model </w:t>
            </w:r>
            <w:r>
              <w:rPr>
                <w:color w:val="000000"/>
              </w:rPr>
              <w:t>with MESSAGE: slight overestimation of VRE capacity factor in IAMs (</w:t>
            </w:r>
            <w:proofErr w:type="spellStart"/>
            <w:r>
              <w:rPr>
                <w:color w:val="000000"/>
              </w:rPr>
              <w:t>Brinkerink</w:t>
            </w:r>
            <w:proofErr w:type="spellEnd"/>
            <w:r>
              <w:rPr>
                <w:color w:val="000000"/>
              </w:rPr>
              <w:t>, et al. 2022)</w:t>
            </w:r>
          </w:p>
        </w:tc>
      </w:tr>
      <w:tr w:rsidR="00DC23FA">
        <w:trPr>
          <w:trHeight w:val="288"/>
        </w:trPr>
        <w:tc>
          <w:tcPr>
            <w:tcW w:w="2265" w:type="dxa"/>
            <w:shd w:val="clear" w:color="auto" w:fill="auto"/>
            <w:tcMar>
              <w:top w:w="56" w:type="dxa"/>
              <w:left w:w="56" w:type="dxa"/>
              <w:bottom w:w="56" w:type="dxa"/>
              <w:right w:w="56" w:type="dxa"/>
            </w:tcMar>
          </w:tcPr>
          <w:p w:rsidR="00DC23FA" w:rsidRDefault="009C15B2">
            <w:pPr>
              <w:spacing w:after="0" w:line="240" w:lineRule="auto"/>
            </w:pPr>
            <w:r>
              <w:t>carbon storage cost</w:t>
            </w:r>
          </w:p>
        </w:tc>
        <w:tc>
          <w:tcPr>
            <w:tcW w:w="3015"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37 $/</w:t>
            </w:r>
            <w:proofErr w:type="spellStart"/>
            <w:r>
              <w:rPr>
                <w:color w:val="000000"/>
              </w:rPr>
              <w:t>tC</w:t>
            </w:r>
            <w:proofErr w:type="spellEnd"/>
            <w:r>
              <w:rPr>
                <w:color w:val="000000"/>
              </w:rPr>
              <w:t xml:space="preserve"> for fossil carbon, 73$/</w:t>
            </w:r>
            <w:proofErr w:type="spellStart"/>
            <w:r>
              <w:rPr>
                <w:color w:val="000000"/>
              </w:rPr>
              <w:t>tC</w:t>
            </w:r>
            <w:proofErr w:type="spellEnd"/>
            <w:r>
              <w:rPr>
                <w:color w:val="000000"/>
              </w:rPr>
              <w:t xml:space="preserve"> for bio carbon, </w:t>
            </w:r>
            <w:r>
              <w:t>multiplied</w:t>
            </w:r>
            <w:r>
              <w:rPr>
                <w:color w:val="000000"/>
              </w:rPr>
              <w:t xml:space="preserve"> by 0.85-1.15</w:t>
            </w:r>
          </w:p>
        </w:tc>
        <w:tc>
          <w:tcPr>
            <w:tcW w:w="1350"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Uniform</w:t>
            </w:r>
          </w:p>
        </w:tc>
        <w:tc>
          <w:tcPr>
            <w:tcW w:w="3510"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 xml:space="preserve">Base: GET7.0 parameters, range due to medium TRL (7-8). </w:t>
            </w:r>
          </w:p>
        </w:tc>
      </w:tr>
      <w:tr w:rsidR="00DC23FA">
        <w:trPr>
          <w:trHeight w:val="1294"/>
        </w:trPr>
        <w:tc>
          <w:tcPr>
            <w:tcW w:w="2265" w:type="dxa"/>
            <w:shd w:val="clear" w:color="auto" w:fill="auto"/>
            <w:tcMar>
              <w:top w:w="56" w:type="dxa"/>
              <w:left w:w="56" w:type="dxa"/>
              <w:bottom w:w="56" w:type="dxa"/>
              <w:right w:w="56" w:type="dxa"/>
            </w:tcMar>
          </w:tcPr>
          <w:p w:rsidR="00DC23FA" w:rsidRDefault="009C15B2">
            <w:pPr>
              <w:spacing w:after="0" w:line="240" w:lineRule="auto"/>
            </w:pPr>
            <w:r>
              <w:t>Bi</w:t>
            </w:r>
            <w:r>
              <w:t>oenergy crops potential</w:t>
            </w:r>
          </w:p>
        </w:tc>
        <w:tc>
          <w:tcPr>
            <w:tcW w:w="3015" w:type="dxa"/>
            <w:shd w:val="clear" w:color="auto" w:fill="auto"/>
            <w:tcMar>
              <w:top w:w="56" w:type="dxa"/>
              <w:left w:w="56" w:type="dxa"/>
              <w:bottom w:w="56" w:type="dxa"/>
              <w:right w:w="56" w:type="dxa"/>
            </w:tcMar>
          </w:tcPr>
          <w:p w:rsidR="00DC23FA" w:rsidRDefault="009C15B2">
            <w:pPr>
              <w:spacing w:after="0" w:line="240" w:lineRule="auto"/>
              <w:rPr>
                <w:color w:val="000000"/>
              </w:rPr>
            </w:pPr>
            <w:r>
              <w:t>210</w:t>
            </w:r>
            <w:r>
              <w:rPr>
                <w:color w:val="000000"/>
              </w:rPr>
              <w:t>-</w:t>
            </w:r>
            <w:r>
              <w:t>31</w:t>
            </w:r>
            <w:r>
              <w:rPr>
                <w:color w:val="000000"/>
              </w:rPr>
              <w:t xml:space="preserve">0 EJ/year, that added to 50EJ of other bioenergy sources (residuals, waste) </w:t>
            </w:r>
            <w:proofErr w:type="gramStart"/>
            <w:r>
              <w:rPr>
                <w:color w:val="000000"/>
              </w:rPr>
              <w:t>amount  to</w:t>
            </w:r>
            <w:proofErr w:type="gramEnd"/>
            <w:r>
              <w:rPr>
                <w:color w:val="000000"/>
              </w:rPr>
              <w:t xml:space="preserve"> the range 210-310 EJ/year presented in the text.  </w:t>
            </w:r>
          </w:p>
        </w:tc>
        <w:tc>
          <w:tcPr>
            <w:tcW w:w="1350"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Uniform</w:t>
            </w:r>
          </w:p>
        </w:tc>
        <w:tc>
          <w:tcPr>
            <w:tcW w:w="3510"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Global Energy Assessment</w:t>
            </w:r>
            <w:hyperlink r:id="rId40">
              <w:r>
                <w:rPr>
                  <w:vertAlign w:val="superscript"/>
                </w:rPr>
                <w:t>14</w:t>
              </w:r>
            </w:hyperlink>
            <w:r>
              <w:t>, range from Li, et al (2021)</w:t>
            </w:r>
            <w:hyperlink r:id="rId41">
              <w:r>
                <w:rPr>
                  <w:vertAlign w:val="superscript"/>
                </w:rPr>
                <w:t>15</w:t>
              </w:r>
            </w:hyperlink>
          </w:p>
        </w:tc>
      </w:tr>
      <w:tr w:rsidR="00DC23FA">
        <w:trPr>
          <w:trHeight w:val="383"/>
        </w:trPr>
        <w:tc>
          <w:tcPr>
            <w:tcW w:w="2265" w:type="dxa"/>
            <w:shd w:val="clear" w:color="auto" w:fill="auto"/>
            <w:tcMar>
              <w:top w:w="56" w:type="dxa"/>
              <w:left w:w="56" w:type="dxa"/>
              <w:bottom w:w="56" w:type="dxa"/>
              <w:right w:w="56" w:type="dxa"/>
            </w:tcMar>
          </w:tcPr>
          <w:p w:rsidR="00DC23FA" w:rsidRDefault="009C15B2">
            <w:pPr>
              <w:spacing w:after="0" w:line="240" w:lineRule="auto"/>
            </w:pPr>
            <w:r>
              <w:t>Max. capital growth</w:t>
            </w:r>
          </w:p>
        </w:tc>
        <w:tc>
          <w:tcPr>
            <w:tcW w:w="3015"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10-20%</w:t>
            </w:r>
          </w:p>
        </w:tc>
        <w:tc>
          <w:tcPr>
            <w:tcW w:w="1350"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Uniform</w:t>
            </w:r>
          </w:p>
        </w:tc>
        <w:tc>
          <w:tcPr>
            <w:tcW w:w="3510"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 xml:space="preserve">Base 15% per year (GET7.0 parameter). </w:t>
            </w:r>
          </w:p>
        </w:tc>
      </w:tr>
      <w:tr w:rsidR="00DC23FA">
        <w:trPr>
          <w:trHeight w:val="288"/>
        </w:trPr>
        <w:tc>
          <w:tcPr>
            <w:tcW w:w="2265" w:type="dxa"/>
            <w:shd w:val="clear" w:color="auto" w:fill="auto"/>
            <w:tcMar>
              <w:top w:w="56" w:type="dxa"/>
              <w:left w:w="56" w:type="dxa"/>
              <w:bottom w:w="56" w:type="dxa"/>
              <w:right w:w="56" w:type="dxa"/>
            </w:tcMar>
          </w:tcPr>
          <w:p w:rsidR="00DC23FA" w:rsidRDefault="00DC23FA">
            <w:pPr>
              <w:spacing w:after="0" w:line="240" w:lineRule="auto"/>
            </w:pPr>
          </w:p>
        </w:tc>
        <w:tc>
          <w:tcPr>
            <w:tcW w:w="3015" w:type="dxa"/>
            <w:shd w:val="clear" w:color="auto" w:fill="auto"/>
            <w:tcMar>
              <w:top w:w="56" w:type="dxa"/>
              <w:left w:w="56" w:type="dxa"/>
              <w:bottom w:w="56" w:type="dxa"/>
              <w:right w:w="56" w:type="dxa"/>
            </w:tcMar>
          </w:tcPr>
          <w:p w:rsidR="00DC23FA" w:rsidRDefault="00DC23FA">
            <w:pPr>
              <w:spacing w:after="0" w:line="240" w:lineRule="auto"/>
              <w:rPr>
                <w:color w:val="000000"/>
              </w:rPr>
            </w:pPr>
          </w:p>
        </w:tc>
        <w:tc>
          <w:tcPr>
            <w:tcW w:w="1350" w:type="dxa"/>
            <w:shd w:val="clear" w:color="auto" w:fill="auto"/>
            <w:tcMar>
              <w:top w:w="56" w:type="dxa"/>
              <w:left w:w="56" w:type="dxa"/>
              <w:bottom w:w="56" w:type="dxa"/>
              <w:right w:w="56" w:type="dxa"/>
            </w:tcMar>
          </w:tcPr>
          <w:p w:rsidR="00DC23FA" w:rsidRDefault="00DC23FA">
            <w:pPr>
              <w:spacing w:after="0" w:line="240" w:lineRule="auto"/>
              <w:rPr>
                <w:color w:val="000000"/>
              </w:rPr>
            </w:pPr>
          </w:p>
        </w:tc>
        <w:tc>
          <w:tcPr>
            <w:tcW w:w="3510" w:type="dxa"/>
            <w:shd w:val="clear" w:color="auto" w:fill="auto"/>
            <w:tcMar>
              <w:top w:w="56" w:type="dxa"/>
              <w:left w:w="56" w:type="dxa"/>
              <w:bottom w:w="56" w:type="dxa"/>
              <w:right w:w="56" w:type="dxa"/>
            </w:tcMar>
          </w:tcPr>
          <w:p w:rsidR="00DC23FA" w:rsidRDefault="00DC23FA">
            <w:pPr>
              <w:spacing w:after="0" w:line="240" w:lineRule="auto"/>
              <w:rPr>
                <w:color w:val="000000"/>
              </w:rPr>
            </w:pPr>
          </w:p>
        </w:tc>
      </w:tr>
      <w:tr w:rsidR="00DC23FA">
        <w:trPr>
          <w:trHeight w:val="288"/>
        </w:trPr>
        <w:tc>
          <w:tcPr>
            <w:tcW w:w="2265" w:type="dxa"/>
            <w:shd w:val="clear" w:color="auto" w:fill="auto"/>
            <w:tcMar>
              <w:top w:w="56" w:type="dxa"/>
              <w:left w:w="56" w:type="dxa"/>
              <w:bottom w:w="56" w:type="dxa"/>
              <w:right w:w="56" w:type="dxa"/>
            </w:tcMar>
          </w:tcPr>
          <w:p w:rsidR="00DC23FA" w:rsidRDefault="009C15B2">
            <w:pPr>
              <w:spacing w:after="0" w:line="240" w:lineRule="auto"/>
            </w:pPr>
            <w:r>
              <w:t>max CCS per year</w:t>
            </w:r>
          </w:p>
        </w:tc>
        <w:tc>
          <w:tcPr>
            <w:tcW w:w="3015" w:type="dxa"/>
            <w:shd w:val="clear" w:color="auto" w:fill="auto"/>
            <w:tcMar>
              <w:top w:w="56" w:type="dxa"/>
              <w:left w:w="56" w:type="dxa"/>
              <w:bottom w:w="56" w:type="dxa"/>
              <w:right w:w="56" w:type="dxa"/>
            </w:tcMar>
          </w:tcPr>
          <w:p w:rsidR="00DC23FA" w:rsidRDefault="009C15B2">
            <w:pPr>
              <w:spacing w:after="0" w:line="240" w:lineRule="auto"/>
              <w:rPr>
                <w:color w:val="000000"/>
              </w:rPr>
            </w:pPr>
            <w:r>
              <w:t>10</w:t>
            </w:r>
            <w:r>
              <w:rPr>
                <w:color w:val="000000"/>
              </w:rPr>
              <w:t>-</w:t>
            </w:r>
            <w:r>
              <w:t>20</w:t>
            </w:r>
            <w:r>
              <w:rPr>
                <w:color w:val="000000"/>
              </w:rPr>
              <w:t xml:space="preserve"> GtCO2/year</w:t>
            </w:r>
          </w:p>
        </w:tc>
        <w:tc>
          <w:tcPr>
            <w:tcW w:w="1350"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Uniform</w:t>
            </w:r>
          </w:p>
        </w:tc>
        <w:tc>
          <w:tcPr>
            <w:tcW w:w="3510" w:type="dxa"/>
            <w:shd w:val="clear" w:color="auto" w:fill="auto"/>
            <w:tcMar>
              <w:top w:w="56" w:type="dxa"/>
              <w:left w:w="56" w:type="dxa"/>
              <w:bottom w:w="56" w:type="dxa"/>
              <w:right w:w="56" w:type="dxa"/>
            </w:tcMar>
          </w:tcPr>
          <w:p w:rsidR="00DC23FA" w:rsidRDefault="009C15B2">
            <w:pPr>
              <w:spacing w:after="0" w:line="240" w:lineRule="auto"/>
              <w:rPr>
                <w:color w:val="000000"/>
              </w:rPr>
            </w:pPr>
            <w:r>
              <w:t xml:space="preserve">Range of maximal annual CCS from ENGAGE IAMs in the EN_NPI700 and EN_NPI1000 scenarios (AIM/CGE, </w:t>
            </w:r>
            <w:proofErr w:type="spellStart"/>
            <w:r>
              <w:t>MESSAGEix</w:t>
            </w:r>
            <w:proofErr w:type="spellEnd"/>
            <w:r>
              <w:t>-GLOBIOM, REMIND-MAGPIE): the mean of IAMs maximum annual CCS is 15GtCO</w:t>
            </w:r>
            <w:r>
              <w:rPr>
                <w:vertAlign w:val="subscript"/>
              </w:rPr>
              <w:t>2</w:t>
            </w:r>
            <w:r>
              <w:t>, the standard deviation of these maximums is 5GtCO</w:t>
            </w:r>
            <w:r>
              <w:rPr>
                <w:vertAlign w:val="subscript"/>
              </w:rPr>
              <w:t>2</w:t>
            </w:r>
            <w:r>
              <w:t>.</w:t>
            </w:r>
          </w:p>
        </w:tc>
      </w:tr>
      <w:tr w:rsidR="00DC23FA">
        <w:trPr>
          <w:trHeight w:val="288"/>
        </w:trPr>
        <w:tc>
          <w:tcPr>
            <w:tcW w:w="2265" w:type="dxa"/>
            <w:shd w:val="clear" w:color="auto" w:fill="auto"/>
            <w:tcMar>
              <w:top w:w="56" w:type="dxa"/>
              <w:left w:w="56" w:type="dxa"/>
              <w:bottom w:w="56" w:type="dxa"/>
              <w:right w:w="56" w:type="dxa"/>
            </w:tcMar>
          </w:tcPr>
          <w:p w:rsidR="00DC23FA" w:rsidRDefault="009C15B2">
            <w:pPr>
              <w:spacing w:after="0" w:line="240" w:lineRule="auto"/>
            </w:pPr>
            <w:r>
              <w:t>Max growth of fuel supply (transport)</w:t>
            </w:r>
          </w:p>
        </w:tc>
        <w:tc>
          <w:tcPr>
            <w:tcW w:w="3015"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 xml:space="preserve">15% per year, </w:t>
            </w:r>
            <w:r>
              <w:t>multiplied</w:t>
            </w:r>
            <w:r>
              <w:rPr>
                <w:color w:val="000000"/>
              </w:rPr>
              <w:t xml:space="preserve"> by 0.5-2</w:t>
            </w:r>
          </w:p>
        </w:tc>
        <w:tc>
          <w:tcPr>
            <w:tcW w:w="1350"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Uniform</w:t>
            </w:r>
          </w:p>
        </w:tc>
        <w:tc>
          <w:tcPr>
            <w:tcW w:w="3510"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 xml:space="preserve">Central </w:t>
            </w:r>
            <w:proofErr w:type="gramStart"/>
            <w:r>
              <w:rPr>
                <w:color w:val="000000"/>
              </w:rPr>
              <w:t>value :</w:t>
            </w:r>
            <w:proofErr w:type="gramEnd"/>
            <w:r>
              <w:rPr>
                <w:color w:val="000000"/>
              </w:rPr>
              <w:t xml:space="preserve"> GET7.0 parameter</w:t>
            </w:r>
          </w:p>
        </w:tc>
      </w:tr>
      <w:tr w:rsidR="00DC23FA">
        <w:trPr>
          <w:trHeight w:val="288"/>
        </w:trPr>
        <w:tc>
          <w:tcPr>
            <w:tcW w:w="2265" w:type="dxa"/>
            <w:shd w:val="clear" w:color="auto" w:fill="auto"/>
            <w:tcMar>
              <w:top w:w="56" w:type="dxa"/>
              <w:left w:w="56" w:type="dxa"/>
              <w:bottom w:w="56" w:type="dxa"/>
              <w:right w:w="56" w:type="dxa"/>
            </w:tcMar>
          </w:tcPr>
          <w:p w:rsidR="00DC23FA" w:rsidRDefault="009C15B2">
            <w:pPr>
              <w:spacing w:after="0" w:line="240" w:lineRule="auto"/>
            </w:pPr>
            <w:r>
              <w:lastRenderedPageBreak/>
              <w:t xml:space="preserve">Max intermittent power share </w:t>
            </w:r>
          </w:p>
        </w:tc>
        <w:tc>
          <w:tcPr>
            <w:tcW w:w="3015"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 xml:space="preserve">Maximum penetration of wind and solar energy without storage =30%, </w:t>
            </w:r>
            <w:r>
              <w:t>multiplied</w:t>
            </w:r>
            <w:r>
              <w:rPr>
                <w:color w:val="000000"/>
              </w:rPr>
              <w:t xml:space="preserve"> by 0.8-1.25</w:t>
            </w:r>
          </w:p>
        </w:tc>
        <w:tc>
          <w:tcPr>
            <w:tcW w:w="1350"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Uniform</w:t>
            </w:r>
          </w:p>
        </w:tc>
        <w:tc>
          <w:tcPr>
            <w:tcW w:w="3510"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The power syst</w:t>
            </w:r>
            <w:r>
              <w:rPr>
                <w:color w:val="000000"/>
              </w:rPr>
              <w:t>em representation is not very detailed in GET7.</w:t>
            </w:r>
            <w:proofErr w:type="gramStart"/>
            <w:r>
              <w:rPr>
                <w:color w:val="000000"/>
              </w:rPr>
              <w:t>0 :</w:t>
            </w:r>
            <w:proofErr w:type="gramEnd"/>
            <w:r>
              <w:rPr>
                <w:color w:val="000000"/>
              </w:rPr>
              <w:t xml:space="preserve"> we assume 30% of VRE penetration without storage or curtailment, and we test the sensitivity of our results to this parameter. </w:t>
            </w:r>
          </w:p>
        </w:tc>
      </w:tr>
      <w:tr w:rsidR="00DC23FA">
        <w:trPr>
          <w:trHeight w:val="288"/>
        </w:trPr>
        <w:tc>
          <w:tcPr>
            <w:tcW w:w="2265" w:type="dxa"/>
            <w:shd w:val="clear" w:color="auto" w:fill="auto"/>
            <w:tcMar>
              <w:top w:w="56" w:type="dxa"/>
              <w:left w:w="56" w:type="dxa"/>
              <w:bottom w:w="56" w:type="dxa"/>
              <w:right w:w="56" w:type="dxa"/>
            </w:tcMar>
          </w:tcPr>
          <w:p w:rsidR="00DC23FA" w:rsidRDefault="009C15B2">
            <w:pPr>
              <w:spacing w:after="0" w:line="240" w:lineRule="auto"/>
            </w:pPr>
            <w:r>
              <w:t>Mean basalt transport distance</w:t>
            </w:r>
          </w:p>
        </w:tc>
        <w:tc>
          <w:tcPr>
            <w:tcW w:w="3015"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3</w:t>
            </w:r>
            <w:r>
              <w:t>5</w:t>
            </w:r>
            <w:r>
              <w:rPr>
                <w:color w:val="000000"/>
              </w:rPr>
              <w:t>0-5</w:t>
            </w:r>
            <w:r>
              <w:t>5</w:t>
            </w:r>
            <w:r>
              <w:rPr>
                <w:color w:val="000000"/>
              </w:rPr>
              <w:t>0 km</w:t>
            </w:r>
          </w:p>
        </w:tc>
        <w:tc>
          <w:tcPr>
            <w:tcW w:w="1350"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Uniform</w:t>
            </w:r>
          </w:p>
        </w:tc>
        <w:tc>
          <w:tcPr>
            <w:tcW w:w="3510" w:type="dxa"/>
            <w:shd w:val="clear" w:color="auto" w:fill="auto"/>
            <w:tcMar>
              <w:top w:w="56" w:type="dxa"/>
              <w:left w:w="56" w:type="dxa"/>
              <w:bottom w:w="56" w:type="dxa"/>
              <w:right w:w="56" w:type="dxa"/>
            </w:tcMar>
          </w:tcPr>
          <w:p w:rsidR="00DC23FA" w:rsidRDefault="009C15B2">
            <w:pPr>
              <w:spacing w:after="0" w:line="240" w:lineRule="auto"/>
              <w:rPr>
                <w:i/>
                <w:color w:val="000000"/>
              </w:rPr>
            </w:pPr>
            <w:r>
              <w:t xml:space="preserve">see </w:t>
            </w:r>
            <w:r>
              <w:rPr>
                <w:i/>
              </w:rPr>
              <w:t>supra 1.1</w:t>
            </w:r>
          </w:p>
        </w:tc>
      </w:tr>
      <w:tr w:rsidR="00DC23FA">
        <w:trPr>
          <w:trHeight w:val="288"/>
        </w:trPr>
        <w:tc>
          <w:tcPr>
            <w:tcW w:w="2265" w:type="dxa"/>
            <w:shd w:val="clear" w:color="auto" w:fill="auto"/>
            <w:tcMar>
              <w:top w:w="56" w:type="dxa"/>
              <w:left w:w="56" w:type="dxa"/>
              <w:bottom w:w="56" w:type="dxa"/>
              <w:right w:w="56" w:type="dxa"/>
            </w:tcMar>
          </w:tcPr>
          <w:p w:rsidR="00DC23FA" w:rsidRDefault="009C15B2">
            <w:pPr>
              <w:spacing w:after="0" w:line="240" w:lineRule="auto"/>
            </w:pPr>
            <w:r>
              <w:t>basalt growth limit</w:t>
            </w:r>
          </w:p>
        </w:tc>
        <w:tc>
          <w:tcPr>
            <w:tcW w:w="3015"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10-20%/year</w:t>
            </w:r>
          </w:p>
        </w:tc>
        <w:tc>
          <w:tcPr>
            <w:tcW w:w="1350"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Uniform</w:t>
            </w:r>
          </w:p>
        </w:tc>
        <w:tc>
          <w:tcPr>
            <w:tcW w:w="3510"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Same range as max capital growth</w:t>
            </w:r>
          </w:p>
        </w:tc>
      </w:tr>
      <w:tr w:rsidR="00DC23FA">
        <w:trPr>
          <w:trHeight w:val="288"/>
        </w:trPr>
        <w:tc>
          <w:tcPr>
            <w:tcW w:w="2265" w:type="dxa"/>
            <w:shd w:val="clear" w:color="auto" w:fill="auto"/>
            <w:tcMar>
              <w:top w:w="56" w:type="dxa"/>
              <w:left w:w="56" w:type="dxa"/>
              <w:bottom w:w="56" w:type="dxa"/>
              <w:right w:w="56" w:type="dxa"/>
            </w:tcMar>
          </w:tcPr>
          <w:p w:rsidR="00DC23FA" w:rsidRDefault="009C15B2">
            <w:pPr>
              <w:spacing w:after="0" w:line="240" w:lineRule="auto"/>
            </w:pPr>
            <w:r>
              <w:t>Minimum share of basalt road transport</w:t>
            </w:r>
          </w:p>
        </w:tc>
        <w:tc>
          <w:tcPr>
            <w:tcW w:w="3015"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70-90%</w:t>
            </w:r>
          </w:p>
        </w:tc>
        <w:tc>
          <w:tcPr>
            <w:tcW w:w="1350"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Uniform</w:t>
            </w:r>
          </w:p>
        </w:tc>
        <w:tc>
          <w:tcPr>
            <w:tcW w:w="3510"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Most application sites are in countries where alternative freight modes are not widely available.</w:t>
            </w:r>
          </w:p>
        </w:tc>
      </w:tr>
      <w:tr w:rsidR="00DC23FA">
        <w:trPr>
          <w:trHeight w:val="288"/>
        </w:trPr>
        <w:tc>
          <w:tcPr>
            <w:tcW w:w="2265" w:type="dxa"/>
            <w:shd w:val="clear" w:color="auto" w:fill="auto"/>
            <w:tcMar>
              <w:top w:w="56" w:type="dxa"/>
              <w:left w:w="56" w:type="dxa"/>
              <w:bottom w:w="56" w:type="dxa"/>
              <w:right w:w="56" w:type="dxa"/>
            </w:tcMar>
          </w:tcPr>
          <w:p w:rsidR="00DC23FA" w:rsidRDefault="009C15B2">
            <w:pPr>
              <w:spacing w:after="0" w:line="240" w:lineRule="auto"/>
            </w:pPr>
            <w:r>
              <w:t>Weathering rate</w:t>
            </w:r>
          </w:p>
        </w:tc>
        <w:tc>
          <w:tcPr>
            <w:tcW w:w="3015"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1-26% per year</w:t>
            </w:r>
          </w:p>
        </w:tc>
        <w:tc>
          <w:tcPr>
            <w:tcW w:w="1350"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Uniform</w:t>
            </w:r>
          </w:p>
        </w:tc>
        <w:tc>
          <w:tcPr>
            <w:tcW w:w="3510"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 xml:space="preserve">low range: </w:t>
            </w:r>
            <w:proofErr w:type="spellStart"/>
            <w:r>
              <w:rPr>
                <w:color w:val="000000"/>
              </w:rPr>
              <w:t>rinder</w:t>
            </w:r>
            <w:proofErr w:type="spellEnd"/>
            <w:r>
              <w:rPr>
                <w:color w:val="000000"/>
              </w:rPr>
              <w:t xml:space="preserve"> et al. 2021. 3.55 10</w:t>
            </w:r>
            <w:r>
              <w:rPr>
                <w:color w:val="000000"/>
                <w:vertAlign w:val="superscript"/>
              </w:rPr>
              <w:t>-12</w:t>
            </w:r>
            <w:r>
              <w:rPr>
                <w:color w:val="000000"/>
              </w:rPr>
              <w:t xml:space="preserve"> mol/m2/s (corresponding to pH=5.84 T=25°C), SSA</w:t>
            </w:r>
            <w:r>
              <w:rPr>
                <w:color w:val="000000"/>
                <w:vertAlign w:val="subscript"/>
              </w:rPr>
              <w:t>BET</w:t>
            </w:r>
            <w:r>
              <w:rPr>
                <w:color w:val="000000"/>
              </w:rPr>
              <w:t xml:space="preserve"> =0.74 m2/g =&gt; 1% dissolved after 1 year for a grain size of 20µm. </w:t>
            </w:r>
          </w:p>
          <w:p w:rsidR="00DC23FA" w:rsidRDefault="009C15B2">
            <w:pPr>
              <w:spacing w:after="0" w:line="240" w:lineRule="auto"/>
              <w:rPr>
                <w:color w:val="000000"/>
              </w:rPr>
            </w:pPr>
            <w:r>
              <w:rPr>
                <w:color w:val="000000"/>
              </w:rPr>
              <w:t xml:space="preserve"> high range: ORCHIDEE calibration (based on ref</w:t>
            </w:r>
            <w:hyperlink r:id="rId42">
              <w:r>
                <w:rPr>
                  <w:color w:val="000000"/>
                  <w:vertAlign w:val="superscript"/>
                </w:rPr>
                <w:t>2</w:t>
              </w:r>
            </w:hyperlink>
            <w:r>
              <w:rPr>
                <w:color w:val="000000"/>
              </w:rPr>
              <w:t xml:space="preserve"> for a grain size of 20µm)</w:t>
            </w:r>
          </w:p>
        </w:tc>
      </w:tr>
      <w:tr w:rsidR="00DC23FA">
        <w:trPr>
          <w:trHeight w:val="288"/>
        </w:trPr>
        <w:tc>
          <w:tcPr>
            <w:tcW w:w="2265" w:type="dxa"/>
            <w:shd w:val="clear" w:color="auto" w:fill="auto"/>
            <w:tcMar>
              <w:top w:w="56" w:type="dxa"/>
              <w:left w:w="56" w:type="dxa"/>
              <w:bottom w:w="56" w:type="dxa"/>
              <w:right w:w="56" w:type="dxa"/>
            </w:tcMar>
          </w:tcPr>
          <w:p w:rsidR="00DC23FA" w:rsidRDefault="009C15B2">
            <w:pPr>
              <w:spacing w:after="0" w:line="240" w:lineRule="auto"/>
            </w:pPr>
            <w:r>
              <w:t>CO2 abiotic capture per ton of rock</w:t>
            </w:r>
          </w:p>
        </w:tc>
        <w:tc>
          <w:tcPr>
            <w:tcW w:w="3015"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0.24 -0.37 tCO</w:t>
            </w:r>
            <w:r>
              <w:rPr>
                <w:color w:val="000000"/>
                <w:vertAlign w:val="subscript"/>
              </w:rPr>
              <w:t>2</w:t>
            </w:r>
            <w:r>
              <w:rPr>
                <w:color w:val="000000"/>
              </w:rPr>
              <w:t>/</w:t>
            </w:r>
            <w:proofErr w:type="spellStart"/>
            <w:r>
              <w:rPr>
                <w:color w:val="000000"/>
              </w:rPr>
              <w:t>t</w:t>
            </w:r>
            <w:r>
              <w:rPr>
                <w:color w:val="000000"/>
                <w:vertAlign w:val="subscript"/>
              </w:rPr>
              <w:t>rock</w:t>
            </w:r>
            <w:proofErr w:type="spellEnd"/>
          </w:p>
        </w:tc>
        <w:tc>
          <w:tcPr>
            <w:tcW w:w="1350"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Uniform</w:t>
            </w:r>
          </w:p>
        </w:tc>
        <w:tc>
          <w:tcPr>
            <w:tcW w:w="3510"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 xml:space="preserve">T. Amann personal communication. </w:t>
            </w:r>
          </w:p>
        </w:tc>
      </w:tr>
      <w:tr w:rsidR="00DC23FA">
        <w:trPr>
          <w:trHeight w:val="288"/>
        </w:trPr>
        <w:tc>
          <w:tcPr>
            <w:tcW w:w="2265" w:type="dxa"/>
            <w:shd w:val="clear" w:color="auto" w:fill="auto"/>
            <w:tcMar>
              <w:top w:w="56" w:type="dxa"/>
              <w:left w:w="56" w:type="dxa"/>
              <w:bottom w:w="56" w:type="dxa"/>
              <w:right w:w="56" w:type="dxa"/>
            </w:tcMar>
          </w:tcPr>
          <w:p w:rsidR="00DC23FA" w:rsidRDefault="009C15B2">
            <w:pPr>
              <w:spacing w:after="0" w:line="240" w:lineRule="auto"/>
            </w:pPr>
            <w:r>
              <w:t xml:space="preserve">max </w:t>
            </w:r>
            <w:proofErr w:type="spellStart"/>
            <w:r>
              <w:t>fract</w:t>
            </w:r>
            <w:proofErr w:type="spellEnd"/>
            <w:r>
              <w:t>. Increase of NPP</w:t>
            </w:r>
          </w:p>
        </w:tc>
        <w:tc>
          <w:tcPr>
            <w:tcW w:w="3015"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7.3-12.9%</w:t>
            </w:r>
          </w:p>
        </w:tc>
        <w:tc>
          <w:tcPr>
            <w:tcW w:w="1350"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Uniform</w:t>
            </w:r>
          </w:p>
        </w:tc>
        <w:tc>
          <w:tcPr>
            <w:tcW w:w="3510"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ORCHIDEE fit,</w:t>
            </w:r>
            <w:r>
              <w:rPr>
                <w:color w:val="000000"/>
              </w:rPr>
              <w:t xml:space="preserve"> standard deviation for different surfaces</w:t>
            </w:r>
          </w:p>
        </w:tc>
      </w:tr>
      <w:tr w:rsidR="00DC23FA">
        <w:trPr>
          <w:trHeight w:val="288"/>
        </w:trPr>
        <w:tc>
          <w:tcPr>
            <w:tcW w:w="2265" w:type="dxa"/>
            <w:shd w:val="clear" w:color="auto" w:fill="auto"/>
            <w:tcMar>
              <w:top w:w="56" w:type="dxa"/>
              <w:left w:w="56" w:type="dxa"/>
              <w:bottom w:w="56" w:type="dxa"/>
              <w:right w:w="56" w:type="dxa"/>
            </w:tcMar>
          </w:tcPr>
          <w:p w:rsidR="00DC23FA" w:rsidRDefault="009C15B2">
            <w:pPr>
              <w:spacing w:after="0" w:line="240" w:lineRule="auto"/>
            </w:pPr>
            <w:r>
              <w:t>Share of basalt applied on natural areas with aircrafts</w:t>
            </w:r>
          </w:p>
        </w:tc>
        <w:tc>
          <w:tcPr>
            <w:tcW w:w="3015" w:type="dxa"/>
            <w:shd w:val="clear" w:color="auto" w:fill="auto"/>
            <w:tcMar>
              <w:top w:w="56" w:type="dxa"/>
              <w:left w:w="56" w:type="dxa"/>
              <w:bottom w:w="56" w:type="dxa"/>
              <w:right w:w="56" w:type="dxa"/>
            </w:tcMar>
          </w:tcPr>
          <w:p w:rsidR="00DC23FA" w:rsidRDefault="009C15B2">
            <w:pPr>
              <w:spacing w:after="0" w:line="240" w:lineRule="auto"/>
              <w:rPr>
                <w:color w:val="000000"/>
              </w:rPr>
            </w:pPr>
            <w:r>
              <w:t>70-90%</w:t>
            </w:r>
          </w:p>
        </w:tc>
        <w:tc>
          <w:tcPr>
            <w:tcW w:w="1350"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Uniform</w:t>
            </w:r>
          </w:p>
        </w:tc>
        <w:tc>
          <w:tcPr>
            <w:tcW w:w="3510" w:type="dxa"/>
            <w:shd w:val="clear" w:color="auto" w:fill="auto"/>
            <w:tcMar>
              <w:top w:w="56" w:type="dxa"/>
              <w:left w:w="56" w:type="dxa"/>
              <w:bottom w:w="56" w:type="dxa"/>
              <w:right w:w="56" w:type="dxa"/>
            </w:tcMar>
          </w:tcPr>
          <w:p w:rsidR="00DC23FA" w:rsidRDefault="009C15B2">
            <w:pPr>
              <w:spacing w:after="0" w:line="240" w:lineRule="auto"/>
              <w:rPr>
                <w:color w:val="000000"/>
              </w:rPr>
            </w:pPr>
            <w:r>
              <w:t xml:space="preserve">see </w:t>
            </w:r>
            <w:r>
              <w:rPr>
                <w:i/>
              </w:rPr>
              <w:t>supra</w:t>
            </w:r>
          </w:p>
        </w:tc>
      </w:tr>
      <w:tr w:rsidR="00DC23FA">
        <w:trPr>
          <w:trHeight w:val="288"/>
        </w:trPr>
        <w:tc>
          <w:tcPr>
            <w:tcW w:w="2265" w:type="dxa"/>
            <w:shd w:val="clear" w:color="auto" w:fill="auto"/>
            <w:tcMar>
              <w:top w:w="56" w:type="dxa"/>
              <w:left w:w="56" w:type="dxa"/>
              <w:bottom w:w="56" w:type="dxa"/>
              <w:right w:w="56" w:type="dxa"/>
            </w:tcMar>
          </w:tcPr>
          <w:p w:rsidR="00DC23FA" w:rsidRDefault="009C15B2">
            <w:pPr>
              <w:spacing w:after="0" w:line="240" w:lineRule="auto"/>
            </w:pPr>
            <w:r>
              <w:t>Energy use of aircraft application</w:t>
            </w:r>
          </w:p>
        </w:tc>
        <w:tc>
          <w:tcPr>
            <w:tcW w:w="3015"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1.8-2.</w:t>
            </w:r>
            <w:r>
              <w:t>5</w:t>
            </w:r>
            <w:r>
              <w:rPr>
                <w:color w:val="000000"/>
              </w:rPr>
              <w:t xml:space="preserve"> EJ/Gt</w:t>
            </w:r>
          </w:p>
        </w:tc>
        <w:tc>
          <w:tcPr>
            <w:tcW w:w="1350"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Uniform</w:t>
            </w:r>
          </w:p>
        </w:tc>
        <w:tc>
          <w:tcPr>
            <w:tcW w:w="3510" w:type="dxa"/>
            <w:shd w:val="clear" w:color="auto" w:fill="auto"/>
            <w:tcMar>
              <w:top w:w="56" w:type="dxa"/>
              <w:left w:w="56" w:type="dxa"/>
              <w:bottom w:w="56" w:type="dxa"/>
              <w:right w:w="56" w:type="dxa"/>
            </w:tcMar>
          </w:tcPr>
          <w:p w:rsidR="00DC23FA" w:rsidRDefault="009C15B2">
            <w:pPr>
              <w:spacing w:after="0" w:line="240" w:lineRule="auto"/>
              <w:rPr>
                <w:color w:val="000000"/>
              </w:rPr>
            </w:pPr>
            <w:r>
              <w:t xml:space="preserve">see </w:t>
            </w:r>
            <w:r>
              <w:rPr>
                <w:i/>
              </w:rPr>
              <w:t>supra</w:t>
            </w:r>
            <w:r>
              <w:rPr>
                <w:color w:val="000000"/>
              </w:rPr>
              <w:t xml:space="preserve"> </w:t>
            </w:r>
          </w:p>
        </w:tc>
      </w:tr>
      <w:tr w:rsidR="00DC23FA">
        <w:trPr>
          <w:trHeight w:val="288"/>
        </w:trPr>
        <w:tc>
          <w:tcPr>
            <w:tcW w:w="2265" w:type="dxa"/>
            <w:shd w:val="clear" w:color="auto" w:fill="auto"/>
            <w:tcMar>
              <w:top w:w="56" w:type="dxa"/>
              <w:left w:w="56" w:type="dxa"/>
              <w:bottom w:w="56" w:type="dxa"/>
              <w:right w:w="56" w:type="dxa"/>
            </w:tcMar>
          </w:tcPr>
          <w:p w:rsidR="00DC23FA" w:rsidRDefault="009C15B2">
            <w:pPr>
              <w:spacing w:after="0" w:line="240" w:lineRule="auto"/>
            </w:pPr>
            <w:r>
              <w:t>Electricity required for rock comminution</w:t>
            </w:r>
          </w:p>
        </w:tc>
        <w:tc>
          <w:tcPr>
            <w:tcW w:w="3015"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0.06-0.6EJ/Gt</w:t>
            </w:r>
          </w:p>
        </w:tc>
        <w:tc>
          <w:tcPr>
            <w:tcW w:w="1350" w:type="dxa"/>
            <w:shd w:val="clear" w:color="auto" w:fill="auto"/>
            <w:tcMar>
              <w:top w:w="56" w:type="dxa"/>
              <w:left w:w="56" w:type="dxa"/>
              <w:bottom w:w="56" w:type="dxa"/>
              <w:right w:w="56" w:type="dxa"/>
            </w:tcMar>
          </w:tcPr>
          <w:p w:rsidR="00DC23FA" w:rsidRDefault="009C15B2">
            <w:pPr>
              <w:spacing w:after="0" w:line="240" w:lineRule="auto"/>
            </w:pPr>
            <w:r>
              <w:t>quadratic</w:t>
            </w:r>
          </w:p>
          <w:p w:rsidR="00DC23FA" w:rsidRDefault="009C15B2">
            <w:pPr>
              <w:spacing w:after="0" w:line="240" w:lineRule="auto"/>
              <w:rPr>
                <w:color w:val="000000"/>
              </w:rPr>
            </w:pPr>
            <w:r>
              <w:rPr>
                <w:color w:val="000000"/>
              </w:rPr>
              <w:t>(max= 0.2 EJ/Gt)</w:t>
            </w:r>
          </w:p>
        </w:tc>
        <w:tc>
          <w:tcPr>
            <w:tcW w:w="3510" w:type="dxa"/>
            <w:shd w:val="clear" w:color="auto" w:fill="auto"/>
            <w:tcMar>
              <w:top w:w="56" w:type="dxa"/>
              <w:left w:w="56" w:type="dxa"/>
              <w:bottom w:w="56" w:type="dxa"/>
              <w:right w:w="56" w:type="dxa"/>
            </w:tcMar>
          </w:tcPr>
          <w:p w:rsidR="00DC23FA" w:rsidRDefault="009C15B2">
            <w:pPr>
              <w:spacing w:after="0" w:line="240" w:lineRule="auto"/>
              <w:rPr>
                <w:color w:val="000000"/>
              </w:rPr>
            </w:pPr>
            <w:proofErr w:type="spellStart"/>
            <w:r>
              <w:rPr>
                <w:color w:val="000000"/>
              </w:rPr>
              <w:t>Streffler</w:t>
            </w:r>
            <w:proofErr w:type="spellEnd"/>
            <w:r>
              <w:rPr>
                <w:color w:val="000000"/>
              </w:rPr>
              <w:t xml:space="preserve"> </w:t>
            </w:r>
            <w:proofErr w:type="gramStart"/>
            <w:r>
              <w:rPr>
                <w:color w:val="000000"/>
              </w:rPr>
              <w:t>2018 :</w:t>
            </w:r>
            <w:proofErr w:type="gramEnd"/>
            <w:r>
              <w:rPr>
                <w:color w:val="000000"/>
              </w:rPr>
              <w:t xml:space="preserve"> for 20µm, 0.2 EJ/Gt is the central estimate, 0.07 low and 0.61 high: we take a quadratic distribution such that the median is 0.2, the max is 0.6 and the min 0.07.</w:t>
            </w:r>
          </w:p>
        </w:tc>
      </w:tr>
      <w:tr w:rsidR="00DC23FA">
        <w:trPr>
          <w:trHeight w:val="288"/>
        </w:trPr>
        <w:tc>
          <w:tcPr>
            <w:tcW w:w="2265" w:type="dxa"/>
            <w:shd w:val="clear" w:color="auto" w:fill="auto"/>
            <w:tcMar>
              <w:top w:w="56" w:type="dxa"/>
              <w:left w:w="56" w:type="dxa"/>
              <w:bottom w:w="56" w:type="dxa"/>
              <w:right w:w="56" w:type="dxa"/>
            </w:tcMar>
          </w:tcPr>
          <w:p w:rsidR="00DC23FA" w:rsidRDefault="009C15B2">
            <w:pPr>
              <w:spacing w:after="0" w:line="240" w:lineRule="auto"/>
            </w:pPr>
            <w:r>
              <w:t>Equilibrium climate sensitivity</w:t>
            </w:r>
          </w:p>
        </w:tc>
        <w:tc>
          <w:tcPr>
            <w:tcW w:w="3015"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 xml:space="preserve">lognormal </w:t>
            </w:r>
            <w:proofErr w:type="gramStart"/>
            <w:r>
              <w:rPr>
                <w:color w:val="000000"/>
              </w:rPr>
              <w:t>distr</w:t>
            </w:r>
            <w:r>
              <w:rPr>
                <w:color w:val="000000"/>
              </w:rPr>
              <w:t>ibution :</w:t>
            </w:r>
            <w:proofErr w:type="gramEnd"/>
            <w:r>
              <w:rPr>
                <w:color w:val="000000"/>
              </w:rPr>
              <w:t xml:space="preserve"> sigma=0.22,µ=1.12</w:t>
            </w:r>
          </w:p>
          <w:p w:rsidR="00DC23FA" w:rsidRDefault="00DC23FA">
            <w:pPr>
              <w:spacing w:after="0" w:line="240" w:lineRule="auto"/>
            </w:pPr>
          </w:p>
        </w:tc>
        <w:tc>
          <w:tcPr>
            <w:tcW w:w="1350" w:type="dxa"/>
            <w:shd w:val="clear" w:color="auto" w:fill="auto"/>
            <w:tcMar>
              <w:top w:w="56" w:type="dxa"/>
              <w:left w:w="56" w:type="dxa"/>
              <w:bottom w:w="56" w:type="dxa"/>
              <w:right w:w="56" w:type="dxa"/>
            </w:tcMar>
          </w:tcPr>
          <w:p w:rsidR="00DC23FA" w:rsidRDefault="009C15B2">
            <w:pPr>
              <w:spacing w:after="0" w:line="240" w:lineRule="auto"/>
            </w:pPr>
            <w:r>
              <w:rPr>
                <w:color w:val="000000"/>
              </w:rPr>
              <w:t>lognormal</w:t>
            </w:r>
          </w:p>
        </w:tc>
        <w:tc>
          <w:tcPr>
            <w:tcW w:w="3510" w:type="dxa"/>
            <w:shd w:val="clear" w:color="auto" w:fill="auto"/>
            <w:tcMar>
              <w:top w:w="56" w:type="dxa"/>
              <w:left w:w="56" w:type="dxa"/>
              <w:bottom w:w="56" w:type="dxa"/>
              <w:right w:w="56" w:type="dxa"/>
            </w:tcMar>
          </w:tcPr>
          <w:p w:rsidR="00DC23FA" w:rsidRDefault="009C15B2">
            <w:pPr>
              <w:spacing w:after="0" w:line="240" w:lineRule="auto"/>
              <w:rPr>
                <w:color w:val="000000"/>
              </w:rPr>
            </w:pPr>
            <w:r>
              <w:rPr>
                <w:color w:val="000000"/>
              </w:rPr>
              <w:t xml:space="preserve">Sherwood et al., 2020 Assessment of earth's climate sensitivity using multiple lines of evidence. </w:t>
            </w:r>
          </w:p>
        </w:tc>
      </w:tr>
    </w:tbl>
    <w:p w:rsidR="00DC23FA" w:rsidRDefault="00DC23FA">
      <w:pPr>
        <w:spacing w:line="240" w:lineRule="auto"/>
      </w:pPr>
    </w:p>
    <w:p w:rsidR="00DC23FA" w:rsidRDefault="009C15B2">
      <w:pPr>
        <w:spacing w:line="240" w:lineRule="auto"/>
        <w:rPr>
          <w:color w:val="000000"/>
        </w:rPr>
      </w:pPr>
      <w:r>
        <w:rPr>
          <w:color w:val="000000"/>
        </w:rPr>
        <w:t>Source for all TRLs :</w:t>
      </w:r>
      <w:r>
        <w:t xml:space="preserve"> </w:t>
      </w:r>
      <w:r>
        <w:rPr>
          <w:color w:val="000000"/>
        </w:rPr>
        <w:t xml:space="preserve">IEA (2022), ETP Clean Energy Technology Guide, IEA, Paris </w:t>
      </w:r>
      <w:hyperlink r:id="rId43">
        <w:r>
          <w:rPr>
            <w:color w:val="0563C1"/>
            <w:u w:val="single"/>
          </w:rPr>
          <w:t>https://www.iea.org/data-and-statistics/data-tools/etp-clean-energy-technology-guide</w:t>
        </w:r>
      </w:hyperlink>
      <w:r>
        <w:rPr>
          <w:color w:val="000000"/>
        </w:rPr>
        <w:t xml:space="preserve"> </w:t>
      </w:r>
    </w:p>
    <w:p w:rsidR="00DC23FA" w:rsidRDefault="00DC23FA">
      <w:pPr>
        <w:spacing w:line="240" w:lineRule="auto"/>
        <w:rPr>
          <w:b/>
          <w:u w:val="single"/>
        </w:rPr>
      </w:pPr>
    </w:p>
    <w:p w:rsidR="00DC23FA" w:rsidRDefault="009C15B2">
      <w:pPr>
        <w:pStyle w:val="Titre3"/>
        <w:spacing w:line="240" w:lineRule="auto"/>
      </w:pPr>
      <w:bookmarkStart w:id="30" w:name="_1cduksdnmgnp" w:colFirst="0" w:colLast="0"/>
      <w:bookmarkEnd w:id="30"/>
      <w:r>
        <w:t>2.2 Latin hypercube sampling</w:t>
      </w:r>
    </w:p>
    <w:p w:rsidR="00DC23FA" w:rsidRDefault="00DC23FA"/>
    <w:p w:rsidR="00DC23FA" w:rsidRDefault="009C15B2">
      <w:r>
        <w:t xml:space="preserve">In the main text, the values are the </w:t>
      </w:r>
      <w:r>
        <w:t xml:space="preserve">means of the model simulations performed over a large sample of parameters values. We sample these parameters using a </w:t>
      </w:r>
      <w:proofErr w:type="spellStart"/>
      <w:r>
        <w:t>quasi random</w:t>
      </w:r>
      <w:proofErr w:type="spellEnd"/>
      <w:r>
        <w:t xml:space="preserve"> sampling method, the ‘Latin hypercube sampling’ method. The idea is as follows: the set of values accessible for each paramet</w:t>
      </w:r>
      <w:r>
        <w:t xml:space="preserve">er is </w:t>
      </w:r>
      <w:r>
        <w:lastRenderedPageBreak/>
        <w:t>divided into N (=620) contiguous segments of equal probability. By taking the weighted mean of each segment, we obtain a set of N values {v</w:t>
      </w:r>
      <w:r>
        <w:rPr>
          <w:vertAlign w:val="subscript"/>
        </w:rPr>
        <w:t>1</w:t>
      </w:r>
      <w:proofErr w:type="gramStart"/>
      <w:r>
        <w:rPr>
          <w:vertAlign w:val="superscript"/>
        </w:rPr>
        <w:t>p</w:t>
      </w:r>
      <w:r>
        <w:t>,v</w:t>
      </w:r>
      <w:r>
        <w:rPr>
          <w:vertAlign w:val="superscript"/>
        </w:rPr>
        <w:t>p</w:t>
      </w:r>
      <w:proofErr w:type="gramEnd"/>
      <w:r>
        <w:rPr>
          <w:vertAlign w:val="subscript"/>
        </w:rPr>
        <w:t>2</w:t>
      </w:r>
      <w:r>
        <w:t>,...</w:t>
      </w:r>
      <w:proofErr w:type="spellStart"/>
      <w:r>
        <w:t>v</w:t>
      </w:r>
      <w:r>
        <w:rPr>
          <w:vertAlign w:val="superscript"/>
        </w:rPr>
        <w:t>p</w:t>
      </w:r>
      <w:r>
        <w:rPr>
          <w:vertAlign w:val="subscript"/>
        </w:rPr>
        <w:t>N</w:t>
      </w:r>
      <w:proofErr w:type="spellEnd"/>
      <w:r>
        <w:t>} for each parameter p. For each simulation, each parameter takes a single new value from this set</w:t>
      </w:r>
      <w:r>
        <w:t xml:space="preserve">, in a random order. This ensures that the k-dimensional space of parameters is properly covered. </w:t>
      </w:r>
    </w:p>
    <w:p w:rsidR="00DC23FA" w:rsidRDefault="009C15B2">
      <w:r>
        <w:t>The equilibrium climate sensitivity (ECS) is sampled over 20 values, in order to limit the computational burden: the climate model ACC2 must be re-calibrated (the process called inverse simulation in the model documentation</w:t>
      </w:r>
      <w:hyperlink r:id="rId44">
        <w:r>
          <w:rPr>
            <w:vertAlign w:val="superscript"/>
          </w:rPr>
          <w:t>16</w:t>
        </w:r>
      </w:hyperlink>
      <w:r>
        <w:t>) each time we change the assumption on ECS because a different ECS value implies different optimal values of other parameters to best explain the historical observations given prior information on all parameters</w:t>
      </w:r>
      <w:hyperlink r:id="rId45">
        <w:r>
          <w:rPr>
            <w:vertAlign w:val="superscript"/>
          </w:rPr>
          <w:t>17</w:t>
        </w:r>
      </w:hyperlink>
      <w:r>
        <w:t>. We also run a set of simulations without considering the uncertainty in climate sensitivity: the mean net emission pathways tend to be slightly lower without ECS sampling than with ECS sampling. It is be</w:t>
      </w:r>
      <w:r>
        <w:t xml:space="preserve">cause the relationship between carbon budget for a given temperature target and ECS is not linear, but rather slightly convex. </w:t>
      </w:r>
    </w:p>
    <w:p w:rsidR="00DC23FA" w:rsidRDefault="009C15B2">
      <w:pPr>
        <w:pStyle w:val="Titre3"/>
        <w:spacing w:line="240" w:lineRule="auto"/>
      </w:pPr>
      <w:bookmarkStart w:id="31" w:name="_nhhuhy1u3mjg" w:colFirst="0" w:colLast="0"/>
      <w:bookmarkEnd w:id="31"/>
      <w:r>
        <w:t>2.3 Morris sampling</w:t>
      </w:r>
    </w:p>
    <w:p w:rsidR="00DC23FA" w:rsidRDefault="00DC23FA">
      <w:pPr>
        <w:spacing w:after="0" w:line="240" w:lineRule="auto"/>
      </w:pPr>
      <w:bookmarkStart w:id="32" w:name="_r8xme859f1z2" w:colFirst="0" w:colLast="0"/>
      <w:bookmarkEnd w:id="32"/>
    </w:p>
    <w:p w:rsidR="00DC23FA" w:rsidRDefault="009C15B2">
      <w:pPr>
        <w:spacing w:after="0" w:line="240" w:lineRule="auto"/>
        <w:jc w:val="both"/>
      </w:pPr>
      <w:bookmarkStart w:id="33" w:name="_3dy6vkm" w:colFirst="0" w:colLast="0"/>
      <w:bookmarkEnd w:id="33"/>
      <w:r>
        <w:t>We apply the Morris screening method</w:t>
      </w:r>
      <w:hyperlink r:id="rId46">
        <w:r>
          <w:rPr>
            <w:vertAlign w:val="superscript"/>
          </w:rPr>
          <w:t>18–20</w:t>
        </w:r>
      </w:hyperlink>
      <w:r>
        <w:t xml:space="preserve"> to </w:t>
      </w:r>
      <w:r>
        <w:t xml:space="preserve">quantify the influence of each parameter on the outputs. Let </w:t>
      </w:r>
      <m:oMath>
        <m:r>
          <w:rPr>
            <w:rFonts w:ascii="Cambria Math" w:hAnsi="Cambria Math"/>
          </w:rPr>
          <m:t>X</m:t>
        </m:r>
        <m: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k</m:t>
            </m:r>
          </m:sub>
        </m:sSub>
        <m:r>
          <w:rPr>
            <w:rFonts w:ascii="Cambria Math" w:hAnsi="Cambria Math"/>
          </w:rPr>
          <m:t>}</m:t>
        </m:r>
      </m:oMath>
      <w:r>
        <w:t xml:space="preserve"> be a vector of parameters which are normalised to [0,1], </w:t>
      </w:r>
      <m:oMath>
        <m:r>
          <w:rPr>
            <w:rFonts w:ascii="Cambria Math" w:hAnsi="Cambria Math"/>
          </w:rPr>
          <m:t>Y</m:t>
        </m:r>
        <m:r>
          <w:rPr>
            <w:rFonts w:ascii="Cambria Math" w:hAnsi="Cambria Math"/>
          </w:rPr>
          <m:t>=</m:t>
        </m:r>
        <m:r>
          <w:rPr>
            <w:rFonts w:ascii="Cambria Math" w:hAnsi="Cambria Math"/>
          </w:rPr>
          <m:t>f</m:t>
        </m:r>
        <m:r>
          <w:rPr>
            <w:rFonts w:ascii="Cambria Math" w:hAnsi="Cambria Math"/>
          </w:rPr>
          <m:t>(</m:t>
        </m:r>
        <m:r>
          <w:rPr>
            <w:rFonts w:ascii="Cambria Math" w:hAnsi="Cambria Math"/>
          </w:rPr>
          <m:t>X</m:t>
        </m:r>
        <m:r>
          <w:rPr>
            <w:rFonts w:ascii="Cambria Math" w:hAnsi="Cambria Math"/>
          </w:rPr>
          <m:t>)</m:t>
        </m:r>
      </m:oMath>
      <w:r>
        <w:t xml:space="preserve"> the output. The idea is to assess the sensitivity of </w:t>
      </w:r>
      <w:r>
        <w:rPr>
          <w:i/>
        </w:rPr>
        <w:t xml:space="preserve">f </w:t>
      </w:r>
      <w:r>
        <w:t xml:space="preserve">to each parameter </w:t>
      </w:r>
      <w:r>
        <w:rPr>
          <w:i/>
        </w:rPr>
        <w:t>x</w:t>
      </w:r>
      <w:r>
        <w:rPr>
          <w:i/>
          <w:vertAlign w:val="subscript"/>
        </w:rPr>
        <w:t>i</w:t>
      </w:r>
      <w:r>
        <w:t xml:space="preserve"> by sampling its ‘elementary effects’</w:t>
      </w:r>
      <m:oMath>
        <m:r>
          <w:rPr>
            <w:rFonts w:ascii="Cambria Math" w:hAnsi="Cambria Math"/>
          </w:rPr>
          <m:t>E</m:t>
        </m:r>
        <m:sSub>
          <m:sSubPr>
            <m:ctrlPr>
              <w:rPr>
                <w:rFonts w:ascii="Cambria Math" w:hAnsi="Cambria Math"/>
              </w:rPr>
            </m:ctrlPr>
          </m:sSubPr>
          <m:e>
            <m:r>
              <w:rPr>
                <w:rFonts w:ascii="Cambria Math" w:hAnsi="Cambria Math"/>
              </w:rPr>
              <m:t>E</m:t>
            </m:r>
          </m:e>
          <m:sub>
            <m:r>
              <w:rPr>
                <w:rFonts w:ascii="Cambria Math" w:hAnsi="Cambria Math"/>
              </w:rPr>
              <m:t>i</m:t>
            </m:r>
            <m:r>
              <w:rPr>
                <w:rFonts w:ascii="Cambria Math" w:hAnsi="Cambria Math"/>
              </w:rPr>
              <m:t xml:space="preserve"> </m:t>
            </m:r>
          </m:sub>
        </m:sSub>
        <m:r>
          <w:rPr>
            <w:rFonts w:ascii="Cambria Math" w:hAnsi="Cambria Math"/>
          </w:rPr>
          <m:t>=</m:t>
        </m:r>
        <m:r>
          <w:rPr>
            <w:rFonts w:ascii="Cambria Math" w:hAnsi="Cambria Math"/>
          </w:rPr>
          <m:t>f</m:t>
        </m:r>
        <m:d>
          <m:dPr>
            <m:ctrlPr>
              <w:rPr>
                <w:rFonts w:ascii="Cambria Math" w:hAnsi="Cambria Math"/>
              </w:rPr>
            </m:ctrlPr>
          </m:dPr>
          <m:e>
            <m:sSub>
              <m:sSubPr>
                <m:ctrlPr>
                  <w:rPr>
                    <w:rFonts w:ascii="Cambria Math" w:hAnsi="Cambria Math"/>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i</m:t>
                </m:r>
              </m:sub>
            </m:sSub>
            <m:r>
              <w:rPr>
                <w:rFonts w:ascii="Cambria Math" w:hAnsi="Cambria Math"/>
              </w:rPr>
              <m:t>+</m:t>
            </m:r>
            <m:r>
              <w:rPr>
                <w:rFonts w:ascii="Cambria Math" w:hAnsi="Cambria Math"/>
              </w:rPr>
              <m:t>Δ</m:t>
            </m:r>
            <m: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k</m:t>
                </m:r>
              </m:sub>
            </m:sSub>
          </m:e>
        </m:d>
        <m:r>
          <w:rPr>
            <w:rFonts w:ascii="Cambria Math" w:hAnsi="Cambria Math"/>
          </w:rPr>
          <m:t>-</m:t>
        </m:r>
        <m:r>
          <w:rPr>
            <w:rFonts w:ascii="Cambria Math" w:hAnsi="Cambria Math"/>
          </w:rPr>
          <m:t>f</m:t>
        </m:r>
        <m: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k</m:t>
            </m:r>
          </m:sub>
        </m:sSub>
        <m:r>
          <w:rPr>
            <w:rFonts w:ascii="Cambria Math" w:hAnsi="Cambria Math"/>
          </w:rPr>
          <m:t>)</m:t>
        </m:r>
      </m:oMath>
      <w:r>
        <w:t xml:space="preserve"> over a sufficiently large set of values of all the </w:t>
      </w:r>
      <w:proofErr w:type="spellStart"/>
      <w:proofErr w:type="gramStart"/>
      <w:r>
        <w:rPr>
          <w:i/>
        </w:rPr>
        <w:t>x</w:t>
      </w:r>
      <w:r>
        <w:rPr>
          <w:i/>
          <w:vertAlign w:val="subscript"/>
        </w:rPr>
        <w:t>j</w:t>
      </w:r>
      <w:proofErr w:type="spellEnd"/>
      <w:r>
        <w:rPr>
          <w:i/>
          <w:vertAlign w:val="subscript"/>
        </w:rPr>
        <w:t xml:space="preserve"> </w:t>
      </w:r>
      <w:r>
        <w:t>.</w:t>
      </w:r>
      <w:proofErr w:type="gramEnd"/>
      <w:r>
        <w:rPr>
          <w:i/>
        </w:rPr>
        <w:t xml:space="preserve"> </w:t>
      </w:r>
      <w:r>
        <w:t>Let us call N the size of this set: the procedure must return a sample {</w:t>
      </w:r>
      <w:r>
        <w:rPr>
          <w:i/>
        </w:rPr>
        <w:t>EE</w:t>
      </w:r>
      <w:r>
        <w:rPr>
          <w:i/>
          <w:vertAlign w:val="subscript"/>
        </w:rPr>
        <w:t>i</w:t>
      </w:r>
      <w:proofErr w:type="gramStart"/>
      <w:r>
        <w:rPr>
          <w:vertAlign w:val="superscript"/>
        </w:rPr>
        <w:t>1</w:t>
      </w:r>
      <w:r>
        <w:t>,...</w:t>
      </w:r>
      <w:proofErr w:type="gramEnd"/>
      <w:r>
        <w:t>,</w:t>
      </w:r>
      <w:proofErr w:type="spellStart"/>
      <w:r>
        <w:rPr>
          <w:i/>
        </w:rPr>
        <w:t>EE</w:t>
      </w:r>
      <w:r>
        <w:rPr>
          <w:i/>
          <w:vertAlign w:val="subscript"/>
        </w:rPr>
        <w:t>i</w:t>
      </w:r>
      <w:r>
        <w:rPr>
          <w:i/>
          <w:vertAlign w:val="superscript"/>
        </w:rPr>
        <w:t>N</w:t>
      </w:r>
      <w:proofErr w:type="spellEnd"/>
      <w:r>
        <w:t xml:space="preserve">} for all </w:t>
      </w:r>
      <w:proofErr w:type="spellStart"/>
      <w:r>
        <w:t>i</w:t>
      </w:r>
      <w:proofErr w:type="spellEnd"/>
      <w:r>
        <w:t xml:space="preserve"> in [1,...,k]. In our case, we chose N=20. The means </w:t>
      </w:r>
      <m:oMath>
        <m:sSub>
          <m:sSubPr>
            <m:ctrlPr>
              <w:rPr>
                <w:rFonts w:ascii="Cambria Math" w:hAnsi="Cambria Math"/>
              </w:rPr>
            </m:ctrlPr>
          </m:sSubPr>
          <m:e>
            <m:r>
              <w:rPr>
                <w:rFonts w:ascii="Cambria Math" w:hAnsi="Cambria Math"/>
              </w:rPr>
              <m:t>µ</m:t>
            </m:r>
          </m:e>
          <m:sub>
            <m:r>
              <w:rPr>
                <w:rFonts w:ascii="Cambria Math" w:hAnsi="Cambria Math"/>
              </w:rPr>
              <m:t>i</m:t>
            </m:r>
          </m:sub>
        </m:sSub>
      </m:oMath>
      <w:r>
        <w:t xml:space="preserve"> of the elementary effects, their standard deviation </w:t>
      </w:r>
      <m:oMath>
        <m:sSub>
          <m:sSubPr>
            <m:ctrlPr>
              <w:rPr>
                <w:rFonts w:ascii="Cambria Math" w:hAnsi="Cambria Math"/>
              </w:rPr>
            </m:ctrlPr>
          </m:sSubPr>
          <m:e>
            <m:r>
              <w:rPr>
                <w:rFonts w:ascii="Cambria Math" w:hAnsi="Cambria Math"/>
              </w:rPr>
              <m:t>σ</m:t>
            </m:r>
          </m:e>
          <m:sub>
            <m:r>
              <w:rPr>
                <w:rFonts w:ascii="Cambria Math" w:hAnsi="Cambria Math"/>
              </w:rPr>
              <m:t>i</m:t>
            </m:r>
          </m:sub>
        </m:sSub>
      </m:oMath>
      <w:r>
        <w:t xml:space="preserve"> and the mean of their absolute values </w:t>
      </w:r>
      <m:oMath>
        <m:sSubSup>
          <m:sSubSupPr>
            <m:ctrlPr>
              <w:rPr>
                <w:rFonts w:ascii="Cambria Math" w:hAnsi="Cambria Math"/>
              </w:rPr>
            </m:ctrlPr>
          </m:sSubSupPr>
          <m:e>
            <m:r>
              <w:rPr>
                <w:rFonts w:ascii="Cambria Math" w:hAnsi="Cambria Math"/>
              </w:rPr>
              <m:t>µ</m:t>
            </m:r>
          </m:e>
          <m:sub>
            <m:r>
              <w:rPr>
                <w:rFonts w:ascii="Cambria Math" w:hAnsi="Cambria Math"/>
              </w:rPr>
              <m:t>i</m:t>
            </m:r>
          </m:sub>
          <m:sup>
            <m:r>
              <w:rPr>
                <w:rFonts w:ascii="Cambria Math" w:hAnsi="Cambria Math"/>
              </w:rPr>
              <m:t>*</m:t>
            </m:r>
          </m:sup>
        </m:sSubSup>
      </m:oMath>
      <w:r>
        <w:t xml:space="preserve"> give useful information about the influence of these parameters. When the computation </w:t>
      </w:r>
      <w:proofErr w:type="spellStart"/>
      <w:proofErr w:type="gramStart"/>
      <w:r>
        <w:t xml:space="preserve">of  </w:t>
      </w:r>
      <w:r>
        <w:rPr>
          <w:i/>
        </w:rPr>
        <w:t>f</w:t>
      </w:r>
      <w:proofErr w:type="spellEnd"/>
      <w:proofErr w:type="gramEnd"/>
      <w:r>
        <w:t xml:space="preserve"> is time-consuming, the Morris sampling procedure can be used to</w:t>
      </w:r>
      <w:r>
        <w:t xml:space="preserve"> limit the number of required computations for a given value of N. In the sampling procedure, a trajectory starts with a random vector of parameters. We successively increase the value of each parameter in a random order by </w:t>
      </w:r>
      <m:oMath>
        <m:r>
          <w:rPr>
            <w:rFonts w:ascii="Cambria Math" w:hAnsi="Cambria Math"/>
          </w:rPr>
          <m:t>Δ</m:t>
        </m:r>
      </m:oMath>
      <w:r>
        <w:t xml:space="preserve"> to create a set of k+1 </w:t>
      </w:r>
      <w:proofErr w:type="gramStart"/>
      <w:r>
        <w:t>vector</w:t>
      </w:r>
      <w:r>
        <w:t>s</w:t>
      </w:r>
      <w:proofErr w:type="gramEnd"/>
      <w:r>
        <w:t xml:space="preserve">. For each parameter, we can calculate an elementary effect by subtracting the values that the function </w:t>
      </w:r>
      <w:proofErr w:type="spellStart"/>
      <w:r>
        <w:t>f</w:t>
      </w:r>
      <w:proofErr w:type="spellEnd"/>
      <w:r>
        <w:t xml:space="preserve"> takes between two successive points where the value of that parameter is increased. We then repeat the procedure N times in order to have N elementar</w:t>
      </w:r>
      <w:r>
        <w:t xml:space="preserve">y effects per parameter. </w:t>
      </w:r>
    </w:p>
    <w:p w:rsidR="00DC23FA" w:rsidRDefault="009C15B2">
      <w:pPr>
        <w:jc w:val="both"/>
        <w:rPr>
          <w:i/>
        </w:rPr>
      </w:pPr>
      <w:bookmarkStart w:id="34" w:name="_qf2hwcwvlauq" w:colFirst="0" w:colLast="0"/>
      <w:bookmarkEnd w:id="34"/>
      <w:r>
        <w:t>More formally, a trajectory T is initiated by choosing an initial point</w:t>
      </w:r>
      <m:oMath>
        <m:r>
          <w:rPr>
            <w:rFonts w:ascii="Cambria Math" w:hAnsi="Cambria Math"/>
          </w:rPr>
          <m:t xml:space="preserve"> </m:t>
        </m:r>
        <m:sSubSup>
          <m:sSubSupPr>
            <m:ctrlPr>
              <w:rPr>
                <w:rFonts w:ascii="Cambria Math" w:hAnsi="Cambria Math"/>
              </w:rPr>
            </m:ctrlPr>
          </m:sSubSupPr>
          <m:e>
            <m:r>
              <w:rPr>
                <w:rFonts w:ascii="Cambria Math" w:hAnsi="Cambria Math"/>
              </w:rPr>
              <m:t>X</m:t>
            </m:r>
          </m:e>
          <m:sub>
            <m:r>
              <w:rPr>
                <w:rFonts w:ascii="Cambria Math" w:hAnsi="Cambria Math"/>
              </w:rPr>
              <m:t>0</m:t>
            </m:r>
          </m:sub>
          <m:sup>
            <m:r>
              <w:rPr>
                <w:rFonts w:ascii="Cambria Math" w:hAnsi="Cambria Math"/>
              </w:rPr>
              <m:t>T</m:t>
            </m:r>
          </m:sup>
        </m:sSubSup>
      </m:oMath>
      <w:r>
        <w:t xml:space="preserve"> in </w:t>
      </w:r>
      <m:oMath>
        <m:sSup>
          <m:sSupPr>
            <m:ctrlPr>
              <w:rPr>
                <w:rFonts w:ascii="Cambria Math" w:hAnsi="Cambria Math"/>
              </w:rPr>
            </m:ctrlPr>
          </m:sSupPr>
          <m:e>
            <m:d>
              <m:dPr>
                <m:begChr m:val="["/>
                <m:endChr m:val="]"/>
                <m:ctrlPr>
                  <w:rPr>
                    <w:rFonts w:ascii="Cambria Math" w:hAnsi="Cambria Math"/>
                  </w:rPr>
                </m:ctrlPr>
              </m:dPr>
              <m:e>
                <m:r>
                  <w:rPr>
                    <w:rFonts w:ascii="Cambria Math" w:hAnsi="Cambria Math"/>
                  </w:rPr>
                  <m:t>0,</m:t>
                </m:r>
                <m:f>
                  <m:fPr>
                    <m:ctrlPr>
                      <w:rPr>
                        <w:rFonts w:ascii="Cambria Math" w:hAnsi="Cambria Math"/>
                      </w:rPr>
                    </m:ctrlPr>
                  </m:fPr>
                  <m:num>
                    <m:r>
                      <w:rPr>
                        <w:rFonts w:ascii="Cambria Math" w:hAnsi="Cambria Math"/>
                      </w:rPr>
                      <m:t>1</m:t>
                    </m:r>
                  </m:num>
                  <m:den>
                    <m:r>
                      <w:rPr>
                        <w:rFonts w:ascii="Cambria Math" w:hAnsi="Cambria Math"/>
                      </w:rPr>
                      <m:t>2</m:t>
                    </m:r>
                    <m:r>
                      <w:rPr>
                        <w:rFonts w:ascii="Cambria Math" w:hAnsi="Cambria Math"/>
                      </w:rPr>
                      <m:t>N</m:t>
                    </m:r>
                    <m:r>
                      <w:rPr>
                        <w:rFonts w:ascii="Cambria Math" w:hAnsi="Cambria Math"/>
                      </w:rPr>
                      <m:t>-1</m:t>
                    </m:r>
                  </m:den>
                </m:f>
                <m:r>
                  <w:rPr>
                    <w:rFonts w:ascii="Cambria Math" w:hAnsi="Cambria Math"/>
                  </w:rPr>
                  <m:t>,</m:t>
                </m:r>
                <m:f>
                  <m:fPr>
                    <m:ctrlPr>
                      <w:rPr>
                        <w:rFonts w:ascii="Cambria Math" w:hAnsi="Cambria Math"/>
                      </w:rPr>
                    </m:ctrlPr>
                  </m:fPr>
                  <m:num>
                    <m:r>
                      <w:rPr>
                        <w:rFonts w:ascii="Cambria Math" w:hAnsi="Cambria Math"/>
                      </w:rPr>
                      <m:t>2</m:t>
                    </m:r>
                  </m:num>
                  <m:den>
                    <m:r>
                      <w:rPr>
                        <w:rFonts w:ascii="Cambria Math" w:hAnsi="Cambria Math"/>
                      </w:rPr>
                      <m:t>2</m:t>
                    </m:r>
                    <m:r>
                      <w:rPr>
                        <w:rFonts w:ascii="Cambria Math" w:hAnsi="Cambria Math"/>
                      </w:rPr>
                      <m:t>N</m:t>
                    </m:r>
                    <m:r>
                      <w:rPr>
                        <w:rFonts w:ascii="Cambria Math" w:hAnsi="Cambria Math"/>
                      </w:rPr>
                      <m:t>-1</m:t>
                    </m:r>
                  </m:den>
                </m:f>
                <m:r>
                  <w:rPr>
                    <w:rFonts w:ascii="Cambria Math" w:hAnsi="Cambria Math"/>
                  </w:rPr>
                  <m:t>, ...,</m:t>
                </m:r>
                <m:f>
                  <m:fPr>
                    <m:ctrlPr>
                      <w:rPr>
                        <w:rFonts w:ascii="Cambria Math" w:hAnsi="Cambria Math"/>
                      </w:rPr>
                    </m:ctrlPr>
                  </m:fPr>
                  <m:num>
                    <m:r>
                      <w:rPr>
                        <w:rFonts w:ascii="Cambria Math" w:hAnsi="Cambria Math"/>
                      </w:rPr>
                      <m:t>N</m:t>
                    </m:r>
                    <m:r>
                      <w:rPr>
                        <w:rFonts w:ascii="Cambria Math" w:hAnsi="Cambria Math"/>
                      </w:rPr>
                      <m:t>-1</m:t>
                    </m:r>
                  </m:num>
                  <m:den>
                    <m:r>
                      <w:rPr>
                        <w:rFonts w:ascii="Cambria Math" w:hAnsi="Cambria Math"/>
                      </w:rPr>
                      <m:t>2</m:t>
                    </m:r>
                    <m:r>
                      <w:rPr>
                        <w:rFonts w:ascii="Cambria Math" w:hAnsi="Cambria Math"/>
                      </w:rPr>
                      <m:t>N</m:t>
                    </m:r>
                    <m:r>
                      <w:rPr>
                        <w:rFonts w:ascii="Cambria Math" w:hAnsi="Cambria Math"/>
                      </w:rPr>
                      <m:t>-1</m:t>
                    </m:r>
                  </m:den>
                </m:f>
              </m:e>
            </m:d>
          </m:e>
          <m:sup>
            <m:r>
              <w:rPr>
                <w:rFonts w:ascii="Cambria Math" w:hAnsi="Cambria Math"/>
              </w:rPr>
              <m:t>k</m:t>
            </m:r>
          </m:sup>
        </m:sSup>
      </m:oMath>
      <w:r>
        <w:t xml:space="preserve"> (there are N possible initial values per parameter), and then iteratively increasing each parameter </w:t>
      </w:r>
      <w:proofErr w:type="spellStart"/>
      <w:r>
        <w:rPr>
          <w:i/>
        </w:rPr>
        <w:t>i</w:t>
      </w:r>
      <w:proofErr w:type="spellEnd"/>
      <w:r>
        <w:rPr>
          <w:i/>
        </w:rPr>
        <w:t xml:space="preserve"> </w:t>
      </w:r>
      <w:r>
        <w:t xml:space="preserve"> by </w:t>
      </w:r>
      <m:oMath>
        <m:f>
          <m:fPr>
            <m:ctrlPr>
              <w:rPr>
                <w:rFonts w:ascii="Cambria Math" w:hAnsi="Cambria Math"/>
              </w:rPr>
            </m:ctrlPr>
          </m:fPr>
          <m:num>
            <m:r>
              <w:rPr>
                <w:rFonts w:ascii="Cambria Math" w:hAnsi="Cambria Math"/>
              </w:rPr>
              <m:t>N</m:t>
            </m:r>
          </m:num>
          <m:den>
            <m:r>
              <w:rPr>
                <w:rFonts w:ascii="Cambria Math" w:hAnsi="Cambria Math"/>
              </w:rPr>
              <m:t>2</m:t>
            </m:r>
            <m:r>
              <w:rPr>
                <w:rFonts w:ascii="Cambria Math" w:hAnsi="Cambria Math"/>
              </w:rPr>
              <m:t>N</m:t>
            </m:r>
            <m:r>
              <w:rPr>
                <w:rFonts w:ascii="Cambria Math" w:hAnsi="Cambria Math"/>
              </w:rPr>
              <m:t>-1</m:t>
            </m:r>
          </m:den>
        </m:f>
      </m:oMath>
      <w:r>
        <w:t xml:space="preserve"> in</w:t>
      </w:r>
      <w:r>
        <w:t xml:space="preserve"> a random order </w:t>
      </w:r>
      <m:oMath>
        <m:sSup>
          <m:sSupPr>
            <m:ctrlPr>
              <w:rPr>
                <w:rFonts w:ascii="Cambria Math" w:hAnsi="Cambria Math"/>
              </w:rPr>
            </m:ctrlPr>
          </m:sSupPr>
          <m:e>
            <m:r>
              <w:rPr>
                <w:rFonts w:ascii="Cambria Math" w:hAnsi="Cambria Math"/>
              </w:rPr>
              <m:t>{</m:t>
            </m:r>
            <m:r>
              <w:rPr>
                <w:rFonts w:ascii="Cambria Math" w:hAnsi="Cambria Math"/>
              </w:rPr>
              <m:t>σ</m:t>
            </m:r>
          </m:e>
          <m:sup>
            <m:r>
              <w:rPr>
                <w:rFonts w:ascii="Cambria Math" w:hAnsi="Cambria Math"/>
              </w:rPr>
              <m:t>T</m:t>
            </m:r>
          </m:sup>
        </m:sSup>
        <m:sSub>
          <m:sSubPr>
            <m:ctrlPr>
              <w:rPr>
                <w:rFonts w:ascii="Cambria Math" w:hAnsi="Cambria Math"/>
              </w:rPr>
            </m:ctrlPr>
          </m:sSubPr>
          <m:e>
            <m:d>
              <m:dPr>
                <m:ctrlPr>
                  <w:rPr>
                    <w:rFonts w:ascii="Cambria Math" w:hAnsi="Cambria Math"/>
                  </w:rPr>
                </m:ctrlPr>
              </m:dPr>
              <m:e>
                <m:r>
                  <w:rPr>
                    <w:rFonts w:ascii="Cambria Math" w:hAnsi="Cambria Math"/>
                  </w:rPr>
                  <m:t>i</m:t>
                </m:r>
              </m:e>
            </m:d>
            <m:r>
              <w:rPr>
                <w:rFonts w:ascii="Cambria Math" w:hAnsi="Cambria Math"/>
              </w:rPr>
              <m:t>}</m:t>
            </m:r>
          </m:e>
          <m:sub>
            <m:r>
              <w:rPr>
                <w:rFonts w:ascii="Cambria Math" w:hAnsi="Cambria Math"/>
              </w:rPr>
              <m:t>i</m:t>
            </m:r>
            <m:r>
              <w:rPr>
                <w:rFonts w:ascii="Cambria Math" w:hAnsi="Cambria Math"/>
              </w:rPr>
              <m:t>∈[1,</m:t>
            </m:r>
            <m:r>
              <w:rPr>
                <w:rFonts w:ascii="Cambria Math" w:hAnsi="Cambria Math"/>
              </w:rPr>
              <m:t>p</m:t>
            </m:r>
            <m:r>
              <w:rPr>
                <w:rFonts w:ascii="Cambria Math" w:hAnsi="Cambria Math"/>
              </w:rPr>
              <m:t>]</m:t>
            </m:r>
          </m:sub>
        </m:sSub>
      </m:oMath>
      <w:r>
        <w:t xml:space="preserve"> where </w:t>
      </w:r>
      <m:oMath>
        <m:sSup>
          <m:sSupPr>
            <m:ctrlPr>
              <w:rPr>
                <w:rFonts w:ascii="Cambria Math" w:hAnsi="Cambria Math"/>
              </w:rPr>
            </m:ctrlPr>
          </m:sSupPr>
          <m:e>
            <m:r>
              <w:rPr>
                <w:rFonts w:ascii="Cambria Math" w:hAnsi="Cambria Math"/>
              </w:rPr>
              <m:t>σ</m:t>
            </m:r>
          </m:e>
          <m:sup>
            <m:r>
              <w:rPr>
                <w:rFonts w:ascii="Cambria Math" w:hAnsi="Cambria Math"/>
              </w:rPr>
              <m:t>T</m:t>
            </m:r>
          </m:sup>
        </m:sSup>
      </m:oMath>
      <w:r>
        <w:t xml:space="preserve"> is a permutation, to obtain T={</w:t>
      </w:r>
      <m:oMath>
        <m:sSubSup>
          <m:sSubSupPr>
            <m:ctrlPr>
              <w:rPr>
                <w:rFonts w:ascii="Cambria Math" w:hAnsi="Cambria Math"/>
              </w:rPr>
            </m:ctrlPr>
          </m:sSubSupPr>
          <m:e>
            <m:r>
              <w:rPr>
                <w:rFonts w:ascii="Cambria Math" w:hAnsi="Cambria Math"/>
              </w:rPr>
              <m:t>X</m:t>
            </m:r>
          </m:e>
          <m:sub>
            <m:r>
              <w:rPr>
                <w:rFonts w:ascii="Cambria Math" w:hAnsi="Cambria Math"/>
              </w:rPr>
              <m:t>1</m:t>
            </m:r>
          </m:sub>
          <m:sup>
            <m:r>
              <w:rPr>
                <w:rFonts w:ascii="Cambria Math" w:hAnsi="Cambria Math"/>
              </w:rPr>
              <m:t>T</m:t>
            </m:r>
          </m:sup>
        </m:sSubSup>
        <m:r>
          <w:rPr>
            <w:rFonts w:ascii="Cambria Math" w:hAnsi="Cambria Math"/>
          </w:rPr>
          <m:t xml:space="preserve">, </m:t>
        </m:r>
        <m:sSubSup>
          <m:sSubSupPr>
            <m:ctrlPr>
              <w:rPr>
                <w:rFonts w:ascii="Cambria Math" w:hAnsi="Cambria Math"/>
              </w:rPr>
            </m:ctrlPr>
          </m:sSubSupPr>
          <m:e>
            <m:r>
              <w:rPr>
                <w:rFonts w:ascii="Cambria Math" w:hAnsi="Cambria Math"/>
              </w:rPr>
              <m:t>X</m:t>
            </m:r>
          </m:e>
          <m:sub>
            <m:r>
              <w:rPr>
                <w:rFonts w:ascii="Cambria Math" w:hAnsi="Cambria Math"/>
              </w:rPr>
              <m:t>2</m:t>
            </m:r>
          </m:sub>
          <m:sup>
            <m:r>
              <w:rPr>
                <w:rFonts w:ascii="Cambria Math" w:hAnsi="Cambria Math"/>
              </w:rPr>
              <m:t>T</m:t>
            </m:r>
          </m:sup>
        </m:sSubSup>
        <m:r>
          <w:rPr>
            <w:rFonts w:ascii="Cambria Math" w:hAnsi="Cambria Math"/>
          </w:rPr>
          <m:t>…</m:t>
        </m:r>
        <m:sSubSup>
          <m:sSubSupPr>
            <m:ctrlPr>
              <w:rPr>
                <w:rFonts w:ascii="Cambria Math" w:hAnsi="Cambria Math"/>
              </w:rPr>
            </m:ctrlPr>
          </m:sSubSupPr>
          <m:e>
            <m:r>
              <w:rPr>
                <w:rFonts w:ascii="Cambria Math" w:hAnsi="Cambria Math"/>
              </w:rPr>
              <m:t>X</m:t>
            </m:r>
          </m:e>
          <m:sub>
            <m:r>
              <w:rPr>
                <w:rFonts w:ascii="Cambria Math" w:hAnsi="Cambria Math"/>
              </w:rPr>
              <m:t>k</m:t>
            </m:r>
            <m:r>
              <w:rPr>
                <w:rFonts w:ascii="Cambria Math" w:hAnsi="Cambria Math"/>
              </w:rPr>
              <m:t>+1</m:t>
            </m:r>
          </m:sub>
          <m:sup>
            <m:r>
              <w:rPr>
                <w:rFonts w:ascii="Cambria Math" w:hAnsi="Cambria Math"/>
              </w:rPr>
              <m:t>T</m:t>
            </m:r>
          </m:sup>
        </m:sSubSup>
      </m:oMath>
      <w:r>
        <w:t xml:space="preserve">}. Computing the output along this trajectory yields the elementary effects for each parameter </w:t>
      </w:r>
      <w:r>
        <w:rPr>
          <w:i/>
        </w:rPr>
        <w:t>i:</w:t>
      </w:r>
    </w:p>
    <w:p w:rsidR="00DC23FA" w:rsidRDefault="009C15B2">
      <w:pPr>
        <w:spacing w:after="0" w:line="240" w:lineRule="auto"/>
      </w:pPr>
      <w:bookmarkStart w:id="35" w:name="_xw9j4dkkt4yv" w:colFirst="0" w:colLast="0"/>
      <w:bookmarkEnd w:id="35"/>
      <w:r>
        <w:t xml:space="preserve"> </w:t>
      </w:r>
      <m:oMath>
        <m:sSubSup>
          <m:sSubSupPr>
            <m:ctrlPr>
              <w:rPr>
                <w:rFonts w:ascii="Cambria Math" w:hAnsi="Cambria Math"/>
              </w:rPr>
            </m:ctrlPr>
          </m:sSubSupPr>
          <m:e>
            <m:r>
              <w:rPr>
                <w:rFonts w:ascii="Cambria Math" w:hAnsi="Cambria Math"/>
              </w:rPr>
              <m:t>d</m:t>
            </m:r>
          </m:e>
          <m:sub>
            <m:r>
              <w:rPr>
                <w:rFonts w:ascii="Cambria Math" w:hAnsi="Cambria Math"/>
              </w:rPr>
              <m:t>i</m:t>
            </m:r>
          </m:sub>
          <m:sup>
            <m:r>
              <w:rPr>
                <w:rFonts w:ascii="Cambria Math" w:hAnsi="Cambria Math"/>
              </w:rPr>
              <m:t>T</m:t>
            </m:r>
          </m:sup>
        </m:sSubSup>
        <m:r>
          <w:rPr>
            <w:rFonts w:ascii="Cambria Math" w:hAnsi="Cambria Math"/>
          </w:rPr>
          <m:t>=</m:t>
        </m:r>
        <m:r>
          <w:rPr>
            <w:rFonts w:ascii="Cambria Math" w:hAnsi="Cambria Math"/>
          </w:rPr>
          <m:t>f</m:t>
        </m:r>
        <m:r>
          <w:rPr>
            <w:rFonts w:ascii="Cambria Math" w:hAnsi="Cambria Math"/>
          </w:rPr>
          <m:t>(</m:t>
        </m:r>
        <m:sSubSup>
          <m:sSubSupPr>
            <m:ctrlPr>
              <w:rPr>
                <w:rFonts w:ascii="Cambria Math" w:hAnsi="Cambria Math"/>
              </w:rPr>
            </m:ctrlPr>
          </m:sSubSupPr>
          <m:e>
            <m:r>
              <w:rPr>
                <w:rFonts w:ascii="Cambria Math" w:hAnsi="Cambria Math"/>
              </w:rPr>
              <m:t>X</m:t>
            </m:r>
          </m:e>
          <m:sub>
            <m:r>
              <w:rPr>
                <w:rFonts w:ascii="Cambria Math" w:hAnsi="Cambria Math"/>
              </w:rPr>
              <m:t>σ</m:t>
            </m:r>
            <m:r>
              <w:rPr>
                <w:rFonts w:ascii="Cambria Math" w:hAnsi="Cambria Math"/>
              </w:rPr>
              <m:t>(</m:t>
            </m:r>
            <m:r>
              <w:rPr>
                <w:rFonts w:ascii="Cambria Math" w:hAnsi="Cambria Math"/>
              </w:rPr>
              <m:t>i</m:t>
            </m:r>
            <m:r>
              <w:rPr>
                <w:rFonts w:ascii="Cambria Math" w:hAnsi="Cambria Math"/>
              </w:rPr>
              <m:t>)+1</m:t>
            </m:r>
          </m:sub>
          <m:sup>
            <m:r>
              <w:rPr>
                <w:rFonts w:ascii="Cambria Math" w:hAnsi="Cambria Math"/>
              </w:rPr>
              <m:t>T</m:t>
            </m:r>
          </m:sup>
        </m:sSubSup>
      </m:oMath>
      <w:r>
        <w:t>)-</w:t>
      </w:r>
      <m:oMath>
        <m:r>
          <w:rPr>
            <w:rFonts w:ascii="Cambria Math" w:hAnsi="Cambria Math"/>
          </w:rPr>
          <m:t xml:space="preserve"> </m:t>
        </m:r>
        <m:r>
          <w:rPr>
            <w:rFonts w:ascii="Cambria Math" w:hAnsi="Cambria Math"/>
          </w:rPr>
          <m:t>f</m:t>
        </m:r>
        <m:d>
          <m:dPr>
            <m:ctrlPr>
              <w:rPr>
                <w:rFonts w:ascii="Cambria Math" w:hAnsi="Cambria Math"/>
              </w:rPr>
            </m:ctrlPr>
          </m:dPr>
          <m:e>
            <m:sSubSup>
              <m:sSubSupPr>
                <m:ctrlPr>
                  <w:rPr>
                    <w:rFonts w:ascii="Cambria Math" w:hAnsi="Cambria Math"/>
                  </w:rPr>
                </m:ctrlPr>
              </m:sSubSupPr>
              <m:e>
                <m:r>
                  <w:rPr>
                    <w:rFonts w:ascii="Cambria Math" w:hAnsi="Cambria Math"/>
                  </w:rPr>
                  <m:t>X</m:t>
                </m:r>
              </m:e>
              <m:sub>
                <m:r>
                  <w:rPr>
                    <w:rFonts w:ascii="Cambria Math" w:hAnsi="Cambria Math"/>
                  </w:rPr>
                  <m:t>σ</m:t>
                </m:r>
                <m:d>
                  <m:dPr>
                    <m:ctrlPr>
                      <w:rPr>
                        <w:rFonts w:ascii="Cambria Math" w:hAnsi="Cambria Math"/>
                      </w:rPr>
                    </m:ctrlPr>
                  </m:dPr>
                  <m:e>
                    <m:r>
                      <w:rPr>
                        <w:rFonts w:ascii="Cambria Math" w:hAnsi="Cambria Math"/>
                      </w:rPr>
                      <m:t>i</m:t>
                    </m:r>
                  </m:e>
                </m:d>
              </m:sub>
              <m:sup>
                <m:r>
                  <w:rPr>
                    <w:rFonts w:ascii="Cambria Math" w:hAnsi="Cambria Math"/>
                  </w:rPr>
                  <m:t>T</m:t>
                </m:r>
              </m:sup>
            </m:sSubSup>
          </m:e>
        </m:d>
        <m:r>
          <w:rPr>
            <w:rFonts w:ascii="Cambria Math" w:hAnsi="Cambria Math"/>
          </w:rPr>
          <m:t>=</m:t>
        </m:r>
        <m:r>
          <w:rPr>
            <w:rFonts w:ascii="Cambria Math" w:hAnsi="Cambria Math"/>
          </w:rPr>
          <m:t>f</m:t>
        </m:r>
        <m:d>
          <m:dPr>
            <m:ctrlPr>
              <w:rPr>
                <w:rFonts w:ascii="Cambria Math" w:hAnsi="Cambria Math"/>
              </w:rPr>
            </m:ctrlPr>
          </m:dPr>
          <m:e>
            <m:sSub>
              <m:sSubPr>
                <m:ctrlPr>
                  <w:rPr>
                    <w:rFonts w:ascii="Cambria Math" w:hAnsi="Cambria Math"/>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i</m:t>
                </m:r>
              </m:sub>
            </m:sSub>
            <m:r>
              <w:rPr>
                <w:rFonts w:ascii="Cambria Math" w:hAnsi="Cambria Math"/>
              </w:rPr>
              <m:t>+</m:t>
            </m:r>
            <m:r>
              <w:rPr>
                <w:rFonts w:ascii="Cambria Math" w:hAnsi="Cambria Math"/>
              </w:rPr>
              <m:t>Δ</m:t>
            </m:r>
            <m: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k</m:t>
                </m:r>
              </m:sub>
            </m:sSub>
          </m:e>
        </m:d>
        <m:r>
          <w:rPr>
            <w:rFonts w:ascii="Cambria Math" w:hAnsi="Cambria Math"/>
          </w:rPr>
          <m:t>-</m:t>
        </m:r>
        <m:r>
          <w:rPr>
            <w:rFonts w:ascii="Cambria Math" w:hAnsi="Cambria Math"/>
          </w:rPr>
          <m:t>f</m:t>
        </m:r>
        <m: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k</m:t>
            </m:r>
          </m:sub>
        </m:sSub>
        <m:r>
          <w:rPr>
            <w:rFonts w:ascii="Cambria Math" w:hAnsi="Cambria Math"/>
          </w:rPr>
          <m:t>)</m:t>
        </m:r>
      </m:oMath>
      <w:r>
        <w:t xml:space="preserve">. We produce </w:t>
      </w:r>
      <w:r>
        <w:rPr>
          <w:i/>
        </w:rPr>
        <w:t xml:space="preserve">N=20 </w:t>
      </w:r>
      <w:r>
        <w:t xml:space="preserve">trajectories. </w:t>
      </w:r>
    </w:p>
    <w:p w:rsidR="00DC23FA" w:rsidRDefault="00DC23FA">
      <w:pPr>
        <w:spacing w:after="0" w:line="240" w:lineRule="auto"/>
      </w:pPr>
      <w:bookmarkStart w:id="36" w:name="_vav1zldbeqpd" w:colFirst="0" w:colLast="0"/>
      <w:bookmarkEnd w:id="36"/>
    </w:p>
    <w:p w:rsidR="00DC23FA" w:rsidRDefault="009C15B2">
      <w:pPr>
        <w:spacing w:after="0" w:line="240" w:lineRule="auto"/>
        <w:ind w:firstLine="720"/>
      </w:pPr>
      <w:r>
        <w:t>Initial points are sampled following a Latin Hypercube method, and trajectories are chosen to maximise their dispersion and thus their coverage of the parameters space on which elementary effects are computed, fol</w:t>
      </w:r>
      <w:r>
        <w:t>lowing ref.</w:t>
      </w:r>
      <w:hyperlink r:id="rId47">
        <w:r>
          <w:rPr>
            <w:vertAlign w:val="superscript"/>
          </w:rPr>
          <w:t>19</w:t>
        </w:r>
      </w:hyperlink>
      <w:r>
        <w:t>. However, we do not consider the same dispersion function. In ref.</w:t>
      </w:r>
      <w:hyperlink r:id="rId48">
        <w:r>
          <w:rPr>
            <w:vertAlign w:val="superscript"/>
          </w:rPr>
          <w:t>19</w:t>
        </w:r>
      </w:hyperlink>
      <w:r>
        <w:t>, The dispersion between two trajectories is the s</w:t>
      </w:r>
      <w:r>
        <w:t>um of the Euclidean distance of all their points taken pairwise:</w:t>
      </w:r>
    </w:p>
    <w:p w:rsidR="00DC23FA" w:rsidRDefault="009C15B2">
      <w:pPr>
        <w:spacing w:after="0" w:line="240" w:lineRule="auto"/>
      </w:pPr>
      <w:r>
        <w:t xml:space="preserve"> </w:t>
      </w:r>
      <w:hyperlink r:id="rId49" w:anchor="0">
        <w:r>
          <w:rPr>
            <w:noProof/>
          </w:rPr>
          <w:drawing>
            <wp:inline distT="19050" distB="19050" distL="19050" distR="19050">
              <wp:extent cx="2501900" cy="558800"/>
              <wp:effectExtent l="0" t="0" r="0" b="0"/>
              <wp:docPr id="15"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50"/>
                      <a:srcRect/>
                      <a:stretch>
                        <a:fillRect/>
                      </a:stretch>
                    </pic:blipFill>
                    <pic:spPr>
                      <a:xfrm>
                        <a:off x="0" y="0"/>
                        <a:ext cx="2501900" cy="558800"/>
                      </a:xfrm>
                      <a:prstGeom prst="rect">
                        <a:avLst/>
                      </a:prstGeom>
                      <a:ln/>
                    </pic:spPr>
                  </pic:pic>
                </a:graphicData>
              </a:graphic>
            </wp:inline>
          </w:drawing>
        </w:r>
      </w:hyperlink>
      <w:r>
        <w:t xml:space="preserve"> </w:t>
      </w:r>
    </w:p>
    <w:p w:rsidR="00DC23FA" w:rsidRDefault="00DC23FA">
      <w:pPr>
        <w:spacing w:after="0" w:line="240" w:lineRule="auto"/>
      </w:pPr>
    </w:p>
    <w:p w:rsidR="00DC23FA" w:rsidRDefault="009C15B2">
      <w:pPr>
        <w:spacing w:after="0" w:line="240" w:lineRule="auto"/>
      </w:pPr>
      <w:r>
        <w:t xml:space="preserve">where </w:t>
      </w:r>
      <w:proofErr w:type="spellStart"/>
      <w:r>
        <w:rPr>
          <w:i/>
        </w:rPr>
        <w:t>X</w:t>
      </w:r>
      <w:r>
        <w:rPr>
          <w:i/>
          <w:vertAlign w:val="subscript"/>
        </w:rPr>
        <w:t>j</w:t>
      </w:r>
      <w:r>
        <w:rPr>
          <w:i/>
          <w:vertAlign w:val="superscript"/>
        </w:rPr>
        <w:t>l</w:t>
      </w:r>
      <w:proofErr w:type="spellEnd"/>
      <w:r>
        <w:rPr>
          <w:i/>
        </w:rPr>
        <w:t>(z)</w:t>
      </w:r>
      <w:r>
        <w:t xml:space="preserve"> is the value of parameter number z at step j of trajectory l. This dispersion measure is too computationally expensive for its purpose. We want, for each parameter </w:t>
      </w:r>
      <w:proofErr w:type="spellStart"/>
      <w:r>
        <w:rPr>
          <w:i/>
        </w:rPr>
        <w:t>i</w:t>
      </w:r>
      <w:proofErr w:type="spellEnd"/>
      <w:r>
        <w:rPr>
          <w:i/>
        </w:rPr>
        <w:t>,</w:t>
      </w:r>
      <w:r>
        <w:t xml:space="preserve"> to have a representative set {</w:t>
      </w:r>
      <w:r>
        <w:rPr>
          <w:i/>
        </w:rPr>
        <w:t>EE</w:t>
      </w:r>
      <w:r>
        <w:rPr>
          <w:i/>
          <w:vertAlign w:val="subscript"/>
        </w:rPr>
        <w:t>i</w:t>
      </w:r>
      <w:proofErr w:type="gramStart"/>
      <w:r>
        <w:rPr>
          <w:vertAlign w:val="superscript"/>
        </w:rPr>
        <w:t>1</w:t>
      </w:r>
      <w:r>
        <w:t>,...</w:t>
      </w:r>
      <w:proofErr w:type="gramEnd"/>
      <w:r>
        <w:t>,</w:t>
      </w:r>
      <w:proofErr w:type="spellStart"/>
      <w:r>
        <w:rPr>
          <w:i/>
        </w:rPr>
        <w:t>EE</w:t>
      </w:r>
      <w:r>
        <w:rPr>
          <w:i/>
          <w:vertAlign w:val="subscript"/>
        </w:rPr>
        <w:t>i</w:t>
      </w:r>
      <w:r>
        <w:rPr>
          <w:i/>
          <w:vertAlign w:val="superscript"/>
        </w:rPr>
        <w:t>N</w:t>
      </w:r>
      <w:proofErr w:type="spellEnd"/>
      <w:r>
        <w:t>} o</w:t>
      </w:r>
      <w:r>
        <w:t xml:space="preserve">f its elementary effects. Therefore, it is necessary that for each </w:t>
      </w:r>
      <w:proofErr w:type="spellStart"/>
      <w:r>
        <w:rPr>
          <w:i/>
        </w:rPr>
        <w:t>i</w:t>
      </w:r>
      <w:proofErr w:type="spellEnd"/>
      <w:r>
        <w:rPr>
          <w:i/>
        </w:rPr>
        <w:t xml:space="preserve">, </w:t>
      </w:r>
      <w:r>
        <w:t xml:space="preserve">the </w:t>
      </w:r>
      <m:oMath>
        <m:sSubSup>
          <m:sSubSupPr>
            <m:ctrlPr>
              <w:rPr>
                <w:rFonts w:ascii="Cambria Math" w:hAnsi="Cambria Math"/>
              </w:rPr>
            </m:ctrlPr>
          </m:sSubSupPr>
          <m:e>
            <m:r>
              <w:rPr>
                <w:rFonts w:ascii="Cambria Math" w:hAnsi="Cambria Math"/>
              </w:rPr>
              <m:t>{</m:t>
            </m:r>
            <m:r>
              <w:rPr>
                <w:rFonts w:ascii="Cambria Math" w:hAnsi="Cambria Math"/>
              </w:rPr>
              <m:t>X</m:t>
            </m:r>
          </m:e>
          <m:sub>
            <m:sSup>
              <m:sSupPr>
                <m:ctrlPr>
                  <w:rPr>
                    <w:rFonts w:ascii="Cambria Math" w:hAnsi="Cambria Math"/>
                  </w:rPr>
                </m:ctrlPr>
              </m:sSupPr>
              <m:e>
                <m:r>
                  <w:rPr>
                    <w:rFonts w:ascii="Cambria Math" w:hAnsi="Cambria Math"/>
                  </w:rPr>
                  <m:t>σ</m:t>
                </m:r>
              </m:e>
              <m:sup>
                <m:r>
                  <w:rPr>
                    <w:rFonts w:ascii="Cambria Math" w:hAnsi="Cambria Math"/>
                  </w:rPr>
                  <m:t>t</m:t>
                </m:r>
                <m:r>
                  <w:rPr>
                    <w:rFonts w:ascii="Cambria Math" w:hAnsi="Cambria Math"/>
                  </w:rPr>
                  <m:t xml:space="preserve"> </m:t>
                </m:r>
              </m:sup>
            </m:sSup>
            <m:d>
              <m:dPr>
                <m:ctrlPr>
                  <w:rPr>
                    <w:rFonts w:ascii="Cambria Math" w:hAnsi="Cambria Math"/>
                  </w:rPr>
                </m:ctrlPr>
              </m:dPr>
              <m:e>
                <m:r>
                  <w:rPr>
                    <w:rFonts w:ascii="Cambria Math" w:hAnsi="Cambria Math"/>
                  </w:rPr>
                  <m:t>i</m:t>
                </m:r>
              </m:e>
            </m:d>
          </m:sub>
          <m:sup>
            <m:r>
              <w:rPr>
                <w:rFonts w:ascii="Cambria Math" w:hAnsi="Cambria Math"/>
              </w:rPr>
              <m:t>t</m:t>
            </m:r>
          </m:sup>
        </m:sSubSup>
        <m:sSub>
          <m:sSubPr>
            <m:ctrlPr>
              <w:rPr>
                <w:rFonts w:ascii="Cambria Math" w:hAnsi="Cambria Math"/>
              </w:rPr>
            </m:ctrlPr>
          </m:sSubPr>
          <m:e>
            <m:r>
              <w:rPr>
                <w:rFonts w:ascii="Cambria Math" w:hAnsi="Cambria Math"/>
              </w:rPr>
              <m:t>}</m:t>
            </m:r>
          </m:e>
          <m:sub>
            <m:r>
              <w:rPr>
                <w:rFonts w:ascii="Cambria Math" w:hAnsi="Cambria Math"/>
              </w:rPr>
              <m:t>t</m:t>
            </m:r>
            <m:r>
              <w:rPr>
                <w:rFonts w:ascii="Cambria Math" w:hAnsi="Cambria Math"/>
              </w:rPr>
              <m:t>∈[1,..,</m:t>
            </m:r>
            <m:r>
              <w:rPr>
                <w:rFonts w:ascii="Cambria Math" w:hAnsi="Cambria Math"/>
              </w:rPr>
              <m:t>N</m:t>
            </m:r>
            <m:r>
              <w:rPr>
                <w:rFonts w:ascii="Cambria Math" w:hAnsi="Cambria Math"/>
              </w:rPr>
              <m:t>]</m:t>
            </m:r>
          </m:sub>
        </m:sSub>
      </m:oMath>
      <w:r>
        <w:t xml:space="preserve"> are well spaced. We therefore propose the following dispersion measure:</w:t>
      </w:r>
    </w:p>
    <w:p w:rsidR="00DC23FA" w:rsidRDefault="009C15B2">
      <w:pPr>
        <w:spacing w:after="0" w:line="240" w:lineRule="auto"/>
      </w:pPr>
      <w:hyperlink r:id="rId51" w:anchor="0">
        <w:r>
          <w:rPr>
            <w:noProof/>
          </w:rPr>
          <w:drawing>
            <wp:inline distT="19050" distB="19050" distL="19050" distR="19050">
              <wp:extent cx="2603500" cy="558800"/>
              <wp:effectExtent l="0" t="0" r="0" b="0"/>
              <wp:docPr id="11"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52"/>
                      <a:srcRect/>
                      <a:stretch>
                        <a:fillRect/>
                      </a:stretch>
                    </pic:blipFill>
                    <pic:spPr>
                      <a:xfrm>
                        <a:off x="0" y="0"/>
                        <a:ext cx="2603500" cy="558800"/>
                      </a:xfrm>
                      <a:prstGeom prst="rect">
                        <a:avLst/>
                      </a:prstGeom>
                      <a:ln/>
                    </pic:spPr>
                  </pic:pic>
                </a:graphicData>
              </a:graphic>
            </wp:inline>
          </w:drawing>
        </w:r>
      </w:hyperlink>
      <w:r>
        <w:t xml:space="preserve"> </w:t>
      </w:r>
    </w:p>
    <w:p w:rsidR="00DC23FA" w:rsidRDefault="009C15B2">
      <w:pPr>
        <w:spacing w:after="0" w:line="240" w:lineRule="auto"/>
      </w:pPr>
      <w:r>
        <w:t>This dispersion measure has the advantage of being less computationally expensive. We want to maximise:</w:t>
      </w:r>
    </w:p>
    <w:p w:rsidR="00DC23FA" w:rsidRDefault="009C15B2">
      <w:pPr>
        <w:spacing w:after="0" w:line="240" w:lineRule="auto"/>
      </w:pPr>
      <w:r>
        <w:t xml:space="preserve"> </w:t>
      </w:r>
      <w:hyperlink r:id="rId53" w:anchor="0">
        <w:r>
          <w:rPr>
            <w:noProof/>
          </w:rPr>
          <w:drawing>
            <wp:inline distT="19050" distB="19050" distL="19050" distR="19050">
              <wp:extent cx="469900" cy="342900"/>
              <wp:effectExtent l="0" t="0" r="0" b="0"/>
              <wp:docPr id="19"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54"/>
                      <a:srcRect/>
                      <a:stretch>
                        <a:fillRect/>
                      </a:stretch>
                    </pic:blipFill>
                    <pic:spPr>
                      <a:xfrm>
                        <a:off x="0" y="0"/>
                        <a:ext cx="469900" cy="342900"/>
                      </a:xfrm>
                      <a:prstGeom prst="rect">
                        <a:avLst/>
                      </a:prstGeom>
                      <a:ln/>
                    </pic:spPr>
                  </pic:pic>
                </a:graphicData>
              </a:graphic>
            </wp:inline>
          </w:drawing>
        </w:r>
      </w:hyperlink>
    </w:p>
    <w:p w:rsidR="00DC23FA" w:rsidRDefault="00DC23FA">
      <w:pPr>
        <w:spacing w:after="0" w:line="240" w:lineRule="auto"/>
      </w:pPr>
    </w:p>
    <w:p w:rsidR="00DC23FA" w:rsidRDefault="009C15B2">
      <w:pPr>
        <w:spacing w:after="0" w:line="240" w:lineRule="auto"/>
        <w:rPr>
          <w:i/>
        </w:rPr>
      </w:pPr>
      <w:r>
        <w:t>In our case, we have around k=30 input parameters, hence computing the distance between two trajectories requires around k</w:t>
      </w:r>
      <w:r>
        <w:rPr>
          <w:vertAlign w:val="superscript"/>
        </w:rPr>
        <w:t>2</w:t>
      </w:r>
      <w:r>
        <w:t xml:space="preserve"> operations, and compu</w:t>
      </w:r>
      <w:r>
        <w:t>ting the dispersion requires (</w:t>
      </w:r>
      <w:proofErr w:type="spellStart"/>
      <w:r>
        <w:t>kN</w:t>
      </w:r>
      <w:proofErr w:type="spellEnd"/>
      <w:r>
        <w:t>)</w:t>
      </w:r>
      <w:r>
        <w:rPr>
          <w:vertAlign w:val="superscript"/>
        </w:rPr>
        <w:t>2</w:t>
      </w:r>
      <w:r>
        <w:t xml:space="preserve"> operations. If we are to pick the N best trajectories out of the  </w:t>
      </w:r>
      <w:proofErr w:type="spellStart"/>
      <w:r>
        <w:t>N</w:t>
      </w:r>
      <w:r>
        <w:rPr>
          <w:vertAlign w:val="superscript"/>
        </w:rPr>
        <w:t>k</w:t>
      </w:r>
      <w:r>
        <w:t>k</w:t>
      </w:r>
      <w:proofErr w:type="spellEnd"/>
      <w:r>
        <w:t xml:space="preserve">! existing trajectories, it would require to find the best combination of N trajectories among </w:t>
      </w:r>
      <w:proofErr w:type="spellStart"/>
      <w:r>
        <w:t>N</w:t>
      </w:r>
      <w:r>
        <w:rPr>
          <w:vertAlign w:val="superscript"/>
        </w:rPr>
        <w:t>k</w:t>
      </w:r>
      <w:r>
        <w:t>k</w:t>
      </w:r>
      <w:proofErr w:type="spellEnd"/>
      <w:r>
        <w:t xml:space="preserve">!, which means a total of </w:t>
      </w:r>
      <w:hyperlink r:id="rId55" w:anchor="0">
        <w:r>
          <w:rPr>
            <w:noProof/>
          </w:rPr>
          <w:drawing>
            <wp:inline distT="19050" distB="19050" distL="19050" distR="19050">
              <wp:extent cx="863600" cy="381000"/>
              <wp:effectExtent l="0" t="0" r="0" b="0"/>
              <wp:docPr id="9"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56"/>
                      <a:srcRect/>
                      <a:stretch>
                        <a:fillRect/>
                      </a:stretch>
                    </pic:blipFill>
                    <pic:spPr>
                      <a:xfrm>
                        <a:off x="0" y="0"/>
                        <a:ext cx="863600" cy="381000"/>
                      </a:xfrm>
                      <a:prstGeom prst="rect">
                        <a:avLst/>
                      </a:prstGeom>
                      <a:ln/>
                    </pic:spPr>
                  </pic:pic>
                </a:graphicData>
              </a:graphic>
            </wp:inline>
          </w:drawing>
        </w:r>
      </w:hyperlink>
      <w:r>
        <w:t xml:space="preserve"> operations (around 10</w:t>
      </w:r>
      <w:r>
        <w:rPr>
          <w:vertAlign w:val="superscript"/>
        </w:rPr>
        <w:t>768</w:t>
      </w:r>
      <w:r>
        <w:t xml:space="preserve"> for N=20 and k =30). This is not computationally feasible if we want to have N sufficiently high. We improve the sampling strategy by </w:t>
      </w:r>
      <w:r>
        <w:t>using a simulated annealing algorithm instead of a brute force approach, which greatly reduces the computational burden.</w:t>
      </w:r>
    </w:p>
    <w:p w:rsidR="00DC23FA" w:rsidRDefault="00DC23FA">
      <w:pPr>
        <w:spacing w:after="0" w:line="240" w:lineRule="auto"/>
      </w:pPr>
    </w:p>
    <w:p w:rsidR="00DC23FA" w:rsidRDefault="009C15B2">
      <w:pPr>
        <w:spacing w:after="0" w:line="240" w:lineRule="auto"/>
        <w:rPr>
          <w:b/>
        </w:rPr>
      </w:pPr>
      <w:r>
        <w:rPr>
          <w:b/>
        </w:rPr>
        <w:t>Simulated annealing:</w:t>
      </w:r>
    </w:p>
    <w:p w:rsidR="00DC23FA" w:rsidRDefault="00DC23FA">
      <w:pPr>
        <w:spacing w:after="0" w:line="240" w:lineRule="auto"/>
      </w:pPr>
    </w:p>
    <w:p w:rsidR="00DC23FA" w:rsidRDefault="009C15B2">
      <w:pPr>
        <w:rPr>
          <w:i/>
        </w:rPr>
      </w:pPr>
      <w:r>
        <w:rPr>
          <w:i/>
        </w:rPr>
        <w:t>initialization</w:t>
      </w:r>
    </w:p>
    <w:p w:rsidR="00DC23FA" w:rsidRDefault="009C15B2">
      <w:r>
        <w:t xml:space="preserve">Take </w:t>
      </w:r>
      <w:proofErr w:type="spellStart"/>
      <w:r>
        <w:t>N</w:t>
      </w:r>
      <w:proofErr w:type="spellEnd"/>
      <w:r>
        <w:t xml:space="preserve"> initial points of k parameters with LHS. We sample only over the inferior half-section of </w:t>
      </w:r>
      <w:r>
        <w:t xml:space="preserve">each dimension for symmetry reasons. It yields N initial points with coordinates in </w:t>
      </w:r>
      <w:hyperlink r:id="rId57" w:anchor="0">
        <w:r>
          <w:rPr>
            <w:noProof/>
          </w:rPr>
          <w:drawing>
            <wp:inline distT="19050" distB="19050" distL="19050" distR="19050">
              <wp:extent cx="1714500" cy="355600"/>
              <wp:effectExtent l="0" t="0" r="0" b="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58"/>
                      <a:srcRect/>
                      <a:stretch>
                        <a:fillRect/>
                      </a:stretch>
                    </pic:blipFill>
                    <pic:spPr>
                      <a:xfrm>
                        <a:off x="0" y="0"/>
                        <a:ext cx="1714500" cy="355600"/>
                      </a:xfrm>
                      <a:prstGeom prst="rect">
                        <a:avLst/>
                      </a:prstGeom>
                      <a:ln/>
                    </pic:spPr>
                  </pic:pic>
                </a:graphicData>
              </a:graphic>
            </wp:inline>
          </w:drawing>
        </w:r>
      </w:hyperlink>
      <w:r>
        <w:t>, and from each point we wil</w:t>
      </w:r>
      <w:r>
        <w:t xml:space="preserve">l start one trajectory by generating random permutations </w:t>
      </w:r>
      <m:oMath>
        <m:r>
          <w:rPr>
            <w:rFonts w:ascii="Cambria Math" w:hAnsi="Cambria Math"/>
          </w:rPr>
          <m:t>{</m:t>
        </m:r>
        <m:sSup>
          <m:sSupPr>
            <m:ctrlPr>
              <w:rPr>
                <w:rFonts w:ascii="Cambria Math" w:hAnsi="Cambria Math"/>
              </w:rPr>
            </m:ctrlPr>
          </m:sSupPr>
          <m:e>
            <m:r>
              <w:rPr>
                <w:rFonts w:ascii="Cambria Math" w:hAnsi="Cambria Math"/>
              </w:rPr>
              <m:t>σ</m:t>
            </m:r>
          </m:e>
          <m:sup>
            <m:r>
              <w:rPr>
                <w:rFonts w:ascii="Cambria Math" w:hAnsi="Cambria Math"/>
              </w:rPr>
              <m:t>1</m:t>
            </m:r>
          </m:sup>
        </m:sSup>
        <m:r>
          <w:rPr>
            <w:rFonts w:ascii="Cambria Math" w:hAnsi="Cambria Math"/>
          </w:rPr>
          <m:t>,...,</m:t>
        </m:r>
        <m:sSup>
          <m:sSupPr>
            <m:ctrlPr>
              <w:rPr>
                <w:rFonts w:ascii="Cambria Math" w:hAnsi="Cambria Math"/>
              </w:rPr>
            </m:ctrlPr>
          </m:sSupPr>
          <m:e>
            <m:r>
              <w:rPr>
                <w:rFonts w:ascii="Cambria Math" w:hAnsi="Cambria Math"/>
              </w:rPr>
              <m:t>σ</m:t>
            </m:r>
          </m:e>
          <m:sup>
            <m:r>
              <w:rPr>
                <w:rFonts w:ascii="Cambria Math" w:hAnsi="Cambria Math"/>
              </w:rPr>
              <m:t>N</m:t>
            </m:r>
          </m:sup>
        </m:sSup>
        <m:r>
          <w:rPr>
            <w:rFonts w:ascii="Cambria Math" w:hAnsi="Cambria Math"/>
          </w:rPr>
          <m:t xml:space="preserve">} </m:t>
        </m:r>
      </m:oMath>
      <w:r>
        <w:t xml:space="preserve">. Each trajectory is built step by step by adding </w:t>
      </w:r>
      <w:hyperlink r:id="rId59" w:anchor="0">
        <w:r>
          <w:rPr>
            <w:noProof/>
          </w:rPr>
          <w:drawing>
            <wp:inline distT="19050" distB="19050" distL="19050" distR="19050">
              <wp:extent cx="825500" cy="317500"/>
              <wp:effectExtent l="0" t="0" r="0" b="0"/>
              <wp:docPr id="12"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60"/>
                      <a:srcRect/>
                      <a:stretch>
                        <a:fillRect/>
                      </a:stretch>
                    </pic:blipFill>
                    <pic:spPr>
                      <a:xfrm>
                        <a:off x="0" y="0"/>
                        <a:ext cx="825500" cy="317500"/>
                      </a:xfrm>
                      <a:prstGeom prst="rect">
                        <a:avLst/>
                      </a:prstGeom>
                      <a:ln/>
                    </pic:spPr>
                  </pic:pic>
                </a:graphicData>
              </a:graphic>
            </wp:inline>
          </w:drawing>
        </w:r>
      </w:hyperlink>
      <w:r>
        <w:t xml:space="preserve"> to each coordinate in</w:t>
      </w:r>
      <w:r>
        <w:t xml:space="preserve"> the order {</w:t>
      </w:r>
      <m:oMath>
        <m:sSup>
          <m:sSupPr>
            <m:ctrlPr>
              <w:rPr>
                <w:rFonts w:ascii="Cambria Math" w:hAnsi="Cambria Math"/>
              </w:rPr>
            </m:ctrlPr>
          </m:sSupPr>
          <m:e>
            <m:r>
              <w:rPr>
                <w:rFonts w:ascii="Cambria Math" w:hAnsi="Cambria Math"/>
              </w:rPr>
              <m:t>σ</m:t>
            </m:r>
          </m:e>
          <m:sup>
            <m:r>
              <w:rPr>
                <w:rFonts w:ascii="Cambria Math" w:hAnsi="Cambria Math"/>
              </w:rPr>
              <m:t>1</m:t>
            </m:r>
          </m:sup>
        </m:sSup>
      </m:oMath>
      <w:r>
        <w:t>(1), …</w:t>
      </w:r>
      <m:oMath>
        <m:sSup>
          <m:sSupPr>
            <m:ctrlPr>
              <w:rPr>
                <w:rFonts w:ascii="Cambria Math" w:hAnsi="Cambria Math"/>
              </w:rPr>
            </m:ctrlPr>
          </m:sSupPr>
          <m:e>
            <m:r>
              <w:rPr>
                <w:rFonts w:ascii="Cambria Math" w:hAnsi="Cambria Math"/>
              </w:rPr>
              <m:t>σ</m:t>
            </m:r>
          </m:e>
          <m:sup>
            <m:r>
              <w:rPr>
                <w:rFonts w:ascii="Cambria Math" w:hAnsi="Cambria Math"/>
              </w:rPr>
              <m:t>1</m:t>
            </m:r>
          </m:sup>
        </m:sSup>
      </m:oMath>
      <w:r>
        <w:t>(k)}. We call J</w:t>
      </w:r>
      <w:r>
        <w:rPr>
          <w:vertAlign w:val="subscript"/>
        </w:rPr>
        <w:t>p</w:t>
      </w:r>
      <w:r>
        <w:rPr>
          <w:vertAlign w:val="superscript"/>
        </w:rPr>
        <w:t>0</w:t>
      </w:r>
      <w:proofErr w:type="gramStart"/>
      <w:r>
        <w:t>={</w:t>
      </w:r>
      <w:proofErr w:type="gramEnd"/>
      <w:r>
        <w:t>t</w:t>
      </w:r>
      <w:r>
        <w:rPr>
          <w:vertAlign w:val="superscript"/>
        </w:rPr>
        <w:t>0</w:t>
      </w:r>
      <w:r>
        <w:rPr>
          <w:vertAlign w:val="subscript"/>
        </w:rPr>
        <w:t>1</w:t>
      </w:r>
      <w:r>
        <w:t>…t</w:t>
      </w:r>
      <w:r>
        <w:rPr>
          <w:vertAlign w:val="superscript"/>
        </w:rPr>
        <w:t>0</w:t>
      </w:r>
      <w:r>
        <w:rPr>
          <w:vertAlign w:val="subscript"/>
        </w:rPr>
        <w:t>N</w:t>
      </w:r>
      <w:r>
        <w:t xml:space="preserve">} this first set of trajectories. </w:t>
      </w:r>
    </w:p>
    <w:p w:rsidR="00DC23FA" w:rsidRDefault="009C15B2">
      <w:r>
        <w:t xml:space="preserve">Distance </w:t>
      </w:r>
      <w:proofErr w:type="gramStart"/>
      <w:r>
        <w:t>table :</w:t>
      </w:r>
      <w:proofErr w:type="gramEnd"/>
      <w:r>
        <w:t xml:space="preserve"> compute, for each trajectory t</w:t>
      </w:r>
      <w:r>
        <w:rPr>
          <w:vertAlign w:val="superscript"/>
        </w:rPr>
        <w:t>0</w:t>
      </w:r>
      <w:r>
        <w:rPr>
          <w:vertAlign w:val="subscript"/>
        </w:rPr>
        <w:t>i</w:t>
      </w:r>
      <w:r>
        <w:t xml:space="preserve">  the distance </w:t>
      </w:r>
      <w:r>
        <w:rPr>
          <w:i/>
        </w:rPr>
        <w:t>d</w:t>
      </w:r>
      <w:r>
        <w:rPr>
          <w:i/>
          <w:vertAlign w:val="superscript"/>
        </w:rPr>
        <w:t>0</w:t>
      </w:r>
      <w:r>
        <w:rPr>
          <w:i/>
          <w:vertAlign w:val="subscript"/>
        </w:rPr>
        <w:t>i</w:t>
      </w:r>
      <w:r>
        <w:rPr>
          <w:i/>
        </w:rPr>
        <w:t xml:space="preserve"> =</w:t>
      </w:r>
      <m:oMath>
        <m:sSup>
          <m:sSupPr>
            <m:ctrlPr>
              <w:rPr>
                <w:rFonts w:ascii="Cambria Math" w:hAnsi="Cambria Math"/>
              </w:rPr>
            </m:ctrlPr>
          </m:sSupPr>
          <m:e>
            <m:r>
              <w:rPr>
                <w:rFonts w:ascii="Cambria Math" w:hAnsi="Cambria Math"/>
              </w:rPr>
              <m:t>Σ</m:t>
            </m:r>
          </m:e>
          <m:sup/>
        </m:sSup>
        <m:r>
          <w:rPr>
            <w:rFonts w:ascii="Cambria Math" w:hAnsi="Cambria Math"/>
          </w:rPr>
          <m:t>d</m:t>
        </m:r>
        <m:r>
          <w:rPr>
            <w:rFonts w:ascii="Cambria Math" w:hAnsi="Cambria Math"/>
          </w:rPr>
          <m:t>(</m:t>
        </m:r>
        <m:sSup>
          <m:sSupPr>
            <m:ctrlPr>
              <w:rPr>
                <w:rFonts w:ascii="Cambria Math" w:hAnsi="Cambria Math"/>
              </w:rPr>
            </m:ctrlPr>
          </m:sSupPr>
          <m:e>
            <m:sSub>
              <m:sSubPr>
                <m:ctrlPr>
                  <w:rPr>
                    <w:rFonts w:ascii="Cambria Math" w:hAnsi="Cambria Math"/>
                  </w:rPr>
                </m:ctrlPr>
              </m:sSubPr>
              <m:e>
                <m:r>
                  <w:rPr>
                    <w:rFonts w:ascii="Cambria Math" w:hAnsi="Cambria Math"/>
                  </w:rPr>
                  <m:t>t</m:t>
                </m:r>
              </m:e>
              <m:sub>
                <m:r>
                  <w:rPr>
                    <w:rFonts w:ascii="Cambria Math" w:hAnsi="Cambria Math"/>
                  </w:rPr>
                  <m:t>i</m:t>
                </m:r>
              </m:sub>
            </m:sSub>
          </m:e>
          <m:sup>
            <m:r>
              <w:rPr>
                <w:rFonts w:ascii="Cambria Math" w:hAnsi="Cambria Math"/>
              </w:rPr>
              <m:t>0</m:t>
            </m:r>
          </m:sup>
        </m:sSup>
        <m:r>
          <w:rPr>
            <w:rFonts w:ascii="Cambria Math" w:hAnsi="Cambria Math"/>
          </w:rPr>
          <m:t xml:space="preserve"> ,</m:t>
        </m:r>
        <m:sSup>
          <m:sSupPr>
            <m:ctrlPr>
              <w:rPr>
                <w:rFonts w:ascii="Cambria Math" w:hAnsi="Cambria Math"/>
              </w:rPr>
            </m:ctrlPr>
          </m:sSupPr>
          <m:e>
            <m:sSub>
              <m:sSubPr>
                <m:ctrlPr>
                  <w:rPr>
                    <w:rFonts w:ascii="Cambria Math" w:hAnsi="Cambria Math"/>
                  </w:rPr>
                </m:ctrlPr>
              </m:sSubPr>
              <m:e>
                <m:r>
                  <w:rPr>
                    <w:rFonts w:ascii="Cambria Math" w:hAnsi="Cambria Math"/>
                  </w:rPr>
                  <m:t>t</m:t>
                </m:r>
              </m:e>
              <m:sub>
                <m:r>
                  <w:rPr>
                    <w:rFonts w:ascii="Cambria Math" w:hAnsi="Cambria Math"/>
                  </w:rPr>
                  <m:t>j</m:t>
                </m:r>
              </m:sub>
            </m:sSub>
          </m:e>
          <m:sup>
            <m:r>
              <w:rPr>
                <w:rFonts w:ascii="Cambria Math" w:hAnsi="Cambria Math"/>
              </w:rPr>
              <m:t>0</m:t>
            </m:r>
          </m:sup>
        </m:sSup>
        <m:r>
          <w:rPr>
            <w:rFonts w:ascii="Cambria Math" w:hAnsi="Cambria Math"/>
          </w:rPr>
          <m:t>)</m:t>
        </m:r>
      </m:oMath>
      <w:r>
        <w:t xml:space="preserve">  (we want to maximise </w:t>
      </w:r>
      <m:oMath>
        <m:sSup>
          <m:sSupPr>
            <m:ctrlPr>
              <w:rPr>
                <w:rFonts w:ascii="Cambria Math" w:hAnsi="Cambria Math"/>
              </w:rPr>
            </m:ctrlPr>
          </m:sSupPr>
          <m:e>
            <m:r>
              <w:rPr>
                <w:rFonts w:ascii="Cambria Math" w:hAnsi="Cambria Math"/>
              </w:rPr>
              <m:t>D</m:t>
            </m:r>
            <m:r>
              <w:rPr>
                <w:rFonts w:ascii="Cambria Math" w:hAnsi="Cambria Math"/>
              </w:rPr>
              <m:t>=</m:t>
            </m:r>
            <m:r>
              <w:rPr>
                <w:rFonts w:ascii="Cambria Math" w:hAnsi="Cambria Math"/>
              </w:rPr>
              <m:t>Σ</m:t>
            </m:r>
          </m:e>
          <m:sup/>
        </m:sSup>
        <m:sSub>
          <m:sSubPr>
            <m:ctrlPr>
              <w:rPr>
                <w:rFonts w:ascii="Cambria Math" w:hAnsi="Cambria Math"/>
              </w:rPr>
            </m:ctrlPr>
          </m:sSubPr>
          <m:e>
            <m:r>
              <w:rPr>
                <w:rFonts w:ascii="Cambria Math" w:hAnsi="Cambria Math"/>
              </w:rPr>
              <m:t>d</m:t>
            </m:r>
          </m:e>
          <m:sub>
            <m:r>
              <w:rPr>
                <w:rFonts w:ascii="Cambria Math" w:hAnsi="Cambria Math"/>
              </w:rPr>
              <m:t>i</m:t>
            </m:r>
          </m:sub>
        </m:sSub>
      </m:oMath>
      <w:r>
        <w:t>)</w:t>
      </w:r>
    </w:p>
    <w:p w:rsidR="00DC23FA" w:rsidRDefault="009C15B2">
      <w:r>
        <w:t xml:space="preserve">T is </w:t>
      </w:r>
      <w:proofErr w:type="gramStart"/>
      <w:r>
        <w:t>the  “</w:t>
      </w:r>
      <w:proofErr w:type="gramEnd"/>
      <w:r>
        <w:t xml:space="preserve">temperature”. </w:t>
      </w:r>
      <m:oMath>
        <m:r>
          <w:rPr>
            <w:rFonts w:ascii="Cambria Math" w:hAnsi="Cambria Math"/>
          </w:rPr>
          <m:t>λ</m:t>
        </m:r>
      </m:oMath>
      <w:r>
        <w:t xml:space="preserve"> is the cooling factor.</w:t>
      </w:r>
    </w:p>
    <w:p w:rsidR="00DC23FA" w:rsidRDefault="009C15B2">
      <w:pPr>
        <w:rPr>
          <w:i/>
        </w:rPr>
      </w:pPr>
      <w:r>
        <w:rPr>
          <w:i/>
        </w:rPr>
        <w:t>While n &lt; Iterations limits:</w:t>
      </w:r>
    </w:p>
    <w:p w:rsidR="00DC23FA" w:rsidRDefault="009C15B2">
      <w:pPr>
        <w:ind w:left="720"/>
        <w:rPr>
          <w:i/>
        </w:rPr>
      </w:pPr>
      <w:r>
        <w:rPr>
          <w:i/>
        </w:rPr>
        <w:t>step n</w:t>
      </w:r>
    </w:p>
    <w:p w:rsidR="00DC23FA" w:rsidRDefault="009C15B2">
      <w:pPr>
        <w:numPr>
          <w:ilvl w:val="0"/>
          <w:numId w:val="2"/>
        </w:numPr>
        <w:spacing w:after="0"/>
      </w:pPr>
      <w:r>
        <w:t>T=</w:t>
      </w:r>
      <m:oMath>
        <m:r>
          <w:rPr>
            <w:rFonts w:ascii="Cambria Math" w:hAnsi="Cambria Math"/>
          </w:rPr>
          <m:t>λT</m:t>
        </m:r>
      </m:oMath>
    </w:p>
    <w:p w:rsidR="00DC23FA" w:rsidRDefault="009C15B2">
      <w:pPr>
        <w:numPr>
          <w:ilvl w:val="0"/>
          <w:numId w:val="2"/>
        </w:numPr>
        <w:spacing w:after="0"/>
      </w:pPr>
      <w:r>
        <w:t xml:space="preserve">Pick a random integer </w:t>
      </w:r>
      <w:proofErr w:type="spellStart"/>
      <w:r>
        <w:rPr>
          <w:i/>
        </w:rPr>
        <w:t>i</w:t>
      </w:r>
      <w:proofErr w:type="spellEnd"/>
      <m:oMath>
        <m:sSup>
          <m:sSupPr>
            <m:ctrlPr>
              <w:rPr>
                <w:rFonts w:ascii="Cambria Math" w:hAnsi="Cambria Math"/>
              </w:rPr>
            </m:ctrlPr>
          </m:sSupPr>
          <m:e>
            <m:r>
              <w:rPr>
                <w:rFonts w:ascii="Cambria Math" w:hAnsi="Cambria Math"/>
              </w:rPr>
              <m:t>∈[1,...,</m:t>
            </m:r>
            <m:r>
              <w:rPr>
                <w:rFonts w:ascii="Cambria Math" w:hAnsi="Cambria Math"/>
              </w:rPr>
              <m:t>N</m:t>
            </m:r>
            <m:r>
              <w:rPr>
                <w:rFonts w:ascii="Cambria Math" w:hAnsi="Cambria Math"/>
              </w:rPr>
              <m:t>]</m:t>
            </m:r>
          </m:e>
          <m:sup/>
        </m:sSup>
        <m:r>
          <w:rPr>
            <w:rFonts w:ascii="Cambria Math" w:hAnsi="Cambria Math"/>
          </w:rPr>
          <m:t>.</m:t>
        </m:r>
      </m:oMath>
      <w:r>
        <w:rPr>
          <w:i/>
        </w:rPr>
        <w:t xml:space="preserve"> </w:t>
      </w:r>
      <w:r>
        <w:t xml:space="preserve">Generate a new random permutation. Let us call </w:t>
      </w:r>
      <m:oMath>
        <m:r>
          <w:rPr>
            <w:rFonts w:ascii="Cambria Math" w:hAnsi="Cambria Math"/>
          </w:rPr>
          <m:t xml:space="preserve"> </m:t>
        </m:r>
        <m:sSub>
          <m:sSubPr>
            <m:ctrlPr>
              <w:rPr>
                <w:rFonts w:ascii="Cambria Math" w:hAnsi="Cambria Math"/>
              </w:rPr>
            </m:ctrlPr>
          </m:sSubPr>
          <m:e>
            <m:sSup>
              <m:sSupPr>
                <m:ctrlPr>
                  <w:rPr>
                    <w:rFonts w:ascii="Cambria Math" w:hAnsi="Cambria Math"/>
                  </w:rPr>
                </m:ctrlPr>
              </m:sSupPr>
              <m:e>
                <m:r>
                  <w:rPr>
                    <w:rFonts w:ascii="Cambria Math" w:hAnsi="Cambria Math"/>
                  </w:rPr>
                  <m:t>t</m:t>
                </m:r>
              </m:e>
              <m:sup>
                <m:r>
                  <w:rPr>
                    <w:rFonts w:ascii="Cambria Math" w:hAnsi="Cambria Math"/>
                  </w:rPr>
                  <m:t>~</m:t>
                </m:r>
              </m:sup>
            </m:sSup>
          </m:e>
          <m:sub>
            <m:r>
              <w:rPr>
                <w:rFonts w:ascii="Cambria Math" w:hAnsi="Cambria Math"/>
              </w:rPr>
              <m:t>i</m:t>
            </m:r>
          </m:sub>
        </m:sSub>
      </m:oMath>
      <w:r>
        <w:t xml:space="preserve"> the trajectory built from point </w:t>
      </w:r>
      <w:proofErr w:type="spellStart"/>
      <w:r>
        <w:rPr>
          <w:i/>
        </w:rPr>
        <w:t>i</w:t>
      </w:r>
      <w:proofErr w:type="spellEnd"/>
      <w:r>
        <w:rPr>
          <w:i/>
        </w:rPr>
        <w:t xml:space="preserve"> </w:t>
      </w:r>
      <w:r>
        <w:t xml:space="preserve">and this permutation. Replacing </w:t>
      </w:r>
      <m:oMath>
        <m:r>
          <w:rPr>
            <w:rFonts w:ascii="Cambria Math" w:hAnsi="Cambria Math"/>
          </w:rPr>
          <m:t xml:space="preserve"> </m:t>
        </m:r>
        <m:sSub>
          <m:sSubPr>
            <m:ctrlPr>
              <w:rPr>
                <w:rFonts w:ascii="Cambria Math" w:hAnsi="Cambria Math"/>
              </w:rPr>
            </m:ctrlPr>
          </m:sSubPr>
          <m:e>
            <m:sSup>
              <m:sSupPr>
                <m:ctrlPr>
                  <w:rPr>
                    <w:rFonts w:ascii="Cambria Math" w:hAnsi="Cambria Math"/>
                  </w:rPr>
                </m:ctrlPr>
              </m:sSupPr>
              <m:e>
                <m:r>
                  <w:rPr>
                    <w:rFonts w:ascii="Cambria Math" w:hAnsi="Cambria Math"/>
                  </w:rPr>
                  <m:t>t</m:t>
                </m:r>
              </m:e>
              <m:sup>
                <m:r>
                  <w:rPr>
                    <w:rFonts w:ascii="Cambria Math" w:hAnsi="Cambria Math"/>
                  </w:rPr>
                  <m:t>n</m:t>
                </m:r>
                <m:r>
                  <w:rPr>
                    <w:rFonts w:ascii="Cambria Math" w:hAnsi="Cambria Math"/>
                  </w:rPr>
                  <m:t>-1</m:t>
                </m:r>
              </m:sup>
            </m:sSup>
          </m:e>
          <m:sub>
            <m:r>
              <w:rPr>
                <w:rFonts w:ascii="Cambria Math" w:hAnsi="Cambria Math"/>
              </w:rPr>
              <m:t>i</m:t>
            </m:r>
          </m:sub>
        </m:sSub>
      </m:oMath>
      <w:r>
        <w:t xml:space="preserve"> by </w:t>
      </w:r>
      <m:oMath>
        <m:r>
          <w:rPr>
            <w:rFonts w:ascii="Cambria Math" w:hAnsi="Cambria Math"/>
          </w:rPr>
          <m:t xml:space="preserve"> </m:t>
        </m:r>
        <m:sSub>
          <m:sSubPr>
            <m:ctrlPr>
              <w:rPr>
                <w:rFonts w:ascii="Cambria Math" w:hAnsi="Cambria Math"/>
              </w:rPr>
            </m:ctrlPr>
          </m:sSubPr>
          <m:e>
            <m:sSup>
              <m:sSupPr>
                <m:ctrlPr>
                  <w:rPr>
                    <w:rFonts w:ascii="Cambria Math" w:hAnsi="Cambria Math"/>
                  </w:rPr>
                </m:ctrlPr>
              </m:sSupPr>
              <m:e>
                <m:r>
                  <w:rPr>
                    <w:rFonts w:ascii="Cambria Math" w:hAnsi="Cambria Math"/>
                  </w:rPr>
                  <m:t>t</m:t>
                </m:r>
              </m:e>
              <m:sup>
                <m:r>
                  <w:rPr>
                    <w:rFonts w:ascii="Cambria Math" w:hAnsi="Cambria Math"/>
                  </w:rPr>
                  <m:t>~</m:t>
                </m:r>
              </m:sup>
            </m:sSup>
          </m:e>
          <m:sub>
            <m:r>
              <w:rPr>
                <w:rFonts w:ascii="Cambria Math" w:hAnsi="Cambria Math"/>
              </w:rPr>
              <m:t>i</m:t>
            </m:r>
          </m:sub>
        </m:sSub>
      </m:oMath>
      <w:r>
        <w:t xml:space="preserve"> would increase the dispersion by </w:t>
      </w:r>
      <m:oMath>
        <m:r>
          <w:rPr>
            <w:rFonts w:ascii="Cambria Math" w:hAnsi="Cambria Math"/>
          </w:rPr>
          <m:t xml:space="preserve"> </m:t>
        </m:r>
        <m:r>
          <w:rPr>
            <w:rFonts w:ascii="Cambria Math" w:hAnsi="Cambria Math"/>
          </w:rPr>
          <m:t>Θ</m:t>
        </m:r>
        <m:r>
          <w:rPr>
            <w:rFonts w:ascii="Cambria Math" w:hAnsi="Cambria Math"/>
          </w:rPr>
          <m:t>=</m:t>
        </m:r>
        <m:sSup>
          <m:sSupPr>
            <m:ctrlPr>
              <w:rPr>
                <w:rFonts w:ascii="Cambria Math" w:hAnsi="Cambria Math"/>
              </w:rPr>
            </m:ctrlPr>
          </m:sSupPr>
          <m:e>
            <m:r>
              <w:rPr>
                <w:rFonts w:ascii="Cambria Math" w:hAnsi="Cambria Math"/>
              </w:rPr>
              <m:t>Σ</m:t>
            </m:r>
          </m:e>
          <m:sup/>
        </m:sSup>
        <m:r>
          <w:rPr>
            <w:rFonts w:ascii="Cambria Math" w:hAnsi="Cambria Math"/>
          </w:rPr>
          <m:t>d</m:t>
        </m:r>
        <m:r>
          <w:rPr>
            <w:rFonts w:ascii="Cambria Math" w:hAnsi="Cambria Math"/>
          </w:rPr>
          <m:t>(</m:t>
        </m:r>
        <m:sSup>
          <m:sSupPr>
            <m:ctrlPr>
              <w:rPr>
                <w:rFonts w:ascii="Cambria Math" w:hAnsi="Cambria Math"/>
              </w:rPr>
            </m:ctrlPr>
          </m:sSupPr>
          <m:e>
            <m:sSub>
              <m:sSubPr>
                <m:ctrlPr>
                  <w:rPr>
                    <w:rFonts w:ascii="Cambria Math" w:hAnsi="Cambria Math"/>
                  </w:rPr>
                </m:ctrlPr>
              </m:sSubPr>
              <m:e>
                <m:r>
                  <w:rPr>
                    <w:rFonts w:ascii="Cambria Math" w:hAnsi="Cambria Math"/>
                  </w:rPr>
                  <m:t>t</m:t>
                </m:r>
              </m:e>
              <m:sub>
                <m:r>
                  <w:rPr>
                    <w:rFonts w:ascii="Cambria Math" w:hAnsi="Cambria Math"/>
                  </w:rPr>
                  <m:t>i</m:t>
                </m:r>
              </m:sub>
            </m:sSub>
          </m:e>
          <m:sup>
            <m:r>
              <w:rPr>
                <w:rFonts w:ascii="Cambria Math" w:hAnsi="Cambria Math"/>
              </w:rPr>
              <m:t>~</m:t>
            </m:r>
          </m:sup>
        </m:sSup>
        <m:r>
          <w:rPr>
            <w:rFonts w:ascii="Cambria Math" w:hAnsi="Cambria Math"/>
          </w:rPr>
          <m:t xml:space="preserve"> ,</m:t>
        </m:r>
        <m:sSup>
          <m:sSupPr>
            <m:ctrlPr>
              <w:rPr>
                <w:rFonts w:ascii="Cambria Math" w:hAnsi="Cambria Math"/>
              </w:rPr>
            </m:ctrlPr>
          </m:sSupPr>
          <m:e>
            <m:sSub>
              <m:sSubPr>
                <m:ctrlPr>
                  <w:rPr>
                    <w:rFonts w:ascii="Cambria Math" w:hAnsi="Cambria Math"/>
                  </w:rPr>
                </m:ctrlPr>
              </m:sSubPr>
              <m:e>
                <m:r>
                  <w:rPr>
                    <w:rFonts w:ascii="Cambria Math" w:hAnsi="Cambria Math"/>
                  </w:rPr>
                  <m:t>t</m:t>
                </m:r>
              </m:e>
              <m:sub>
                <m:r>
                  <w:rPr>
                    <w:rFonts w:ascii="Cambria Math" w:hAnsi="Cambria Math"/>
                  </w:rPr>
                  <m:t>j</m:t>
                </m:r>
              </m:sub>
            </m:sSub>
          </m:e>
          <m:sup>
            <m:r>
              <w:rPr>
                <w:rFonts w:ascii="Cambria Math" w:hAnsi="Cambria Math"/>
              </w:rPr>
              <m:t>n</m:t>
            </m:r>
            <m:r>
              <w:rPr>
                <w:rFonts w:ascii="Cambria Math" w:hAnsi="Cambria Math"/>
              </w:rPr>
              <m:t>-1</m:t>
            </m:r>
          </m:sup>
        </m:sSup>
        <m:r>
          <w:rPr>
            <w:rFonts w:ascii="Cambria Math" w:hAnsi="Cambria Math"/>
          </w:rPr>
          <m:t>)</m:t>
        </m:r>
        <m:sSub>
          <m:sSubPr>
            <m:ctrlPr>
              <w:rPr>
                <w:rFonts w:ascii="Cambria Math" w:hAnsi="Cambria Math"/>
              </w:rPr>
            </m:ctrlPr>
          </m:sSubPr>
          <m:e>
            <m:sSup>
              <m:sSupPr>
                <m:ctrlPr>
                  <w:rPr>
                    <w:rFonts w:ascii="Cambria Math" w:hAnsi="Cambria Math"/>
                  </w:rPr>
                </m:ctrlPr>
              </m:sSupPr>
              <m:e>
                <m:r>
                  <w:rPr>
                    <w:rFonts w:ascii="Cambria Math" w:hAnsi="Cambria Math"/>
                  </w:rPr>
                  <m:t>-</m:t>
                </m:r>
                <m:r>
                  <w:rPr>
                    <w:rFonts w:ascii="Cambria Math" w:hAnsi="Cambria Math"/>
                  </w:rPr>
                  <m:t>d</m:t>
                </m:r>
              </m:e>
              <m:sup>
                <m:r>
                  <w:rPr>
                    <w:rFonts w:ascii="Cambria Math" w:hAnsi="Cambria Math"/>
                  </w:rPr>
                  <m:t>n</m:t>
                </m:r>
                <m:r>
                  <w:rPr>
                    <w:rFonts w:ascii="Cambria Math" w:hAnsi="Cambria Math"/>
                  </w:rPr>
                  <m:t>-1</m:t>
                </m:r>
              </m:sup>
            </m:sSup>
          </m:e>
          <m:sub>
            <m:r>
              <w:rPr>
                <w:rFonts w:ascii="Cambria Math" w:hAnsi="Cambria Math"/>
              </w:rPr>
              <m:t>i</m:t>
            </m:r>
          </m:sub>
        </m:sSub>
        <m:r>
          <w:rPr>
            <w:rFonts w:ascii="Cambria Math" w:hAnsi="Cambria Math"/>
          </w:rPr>
          <m:t xml:space="preserve"> </m:t>
        </m:r>
      </m:oMath>
      <w:r>
        <w:t xml:space="preserve">. </w:t>
      </w:r>
    </w:p>
    <w:p w:rsidR="00DC23FA" w:rsidRDefault="009C15B2">
      <w:pPr>
        <w:numPr>
          <w:ilvl w:val="0"/>
          <w:numId w:val="2"/>
        </w:numPr>
        <w:spacing w:after="0"/>
      </w:pPr>
      <w:r>
        <w:t xml:space="preserve">If </w:t>
      </w:r>
      <m:oMath>
        <m:r>
          <w:rPr>
            <w:rFonts w:ascii="Cambria Math" w:hAnsi="Cambria Math"/>
          </w:rPr>
          <m:t>Θ</m:t>
        </m:r>
        <m:r>
          <w:rPr>
            <w:rFonts w:ascii="Cambria Math" w:hAnsi="Cambria Math"/>
          </w:rPr>
          <m:t xml:space="preserve"> ≥</m:t>
        </m:r>
      </m:oMath>
      <w:r>
        <w:t xml:space="preserve"> 0 </w:t>
      </w:r>
    </w:p>
    <w:p w:rsidR="00DC23FA" w:rsidRDefault="009C15B2">
      <w:pPr>
        <w:numPr>
          <w:ilvl w:val="1"/>
          <w:numId w:val="2"/>
        </w:numPr>
        <w:spacing w:after="0"/>
      </w:pPr>
      <w:r>
        <w:t xml:space="preserve">Replace </w:t>
      </w:r>
      <m:oMath>
        <m:sSup>
          <m:sSupPr>
            <m:ctrlPr>
              <w:rPr>
                <w:rFonts w:ascii="Cambria Math" w:hAnsi="Cambria Math"/>
              </w:rPr>
            </m:ctrlPr>
          </m:sSupPr>
          <m:e>
            <m:sSub>
              <m:sSubPr>
                <m:ctrlPr>
                  <w:rPr>
                    <w:rFonts w:ascii="Cambria Math" w:hAnsi="Cambria Math"/>
                  </w:rPr>
                </m:ctrlPr>
              </m:sSubPr>
              <m:e>
                <m:r>
                  <w:rPr>
                    <w:rFonts w:ascii="Cambria Math" w:hAnsi="Cambria Math"/>
                  </w:rPr>
                  <m:t>t</m:t>
                </m:r>
              </m:e>
              <m:sub>
                <m:r>
                  <w:rPr>
                    <w:rFonts w:ascii="Cambria Math" w:hAnsi="Cambria Math"/>
                  </w:rPr>
                  <m:t>j</m:t>
                </m:r>
              </m:sub>
            </m:sSub>
          </m:e>
          <m:sup>
            <m:r>
              <w:rPr>
                <w:rFonts w:ascii="Cambria Math" w:hAnsi="Cambria Math"/>
              </w:rPr>
              <m:t>n</m:t>
            </m:r>
            <m:r>
              <w:rPr>
                <w:rFonts w:ascii="Cambria Math" w:hAnsi="Cambria Math"/>
              </w:rPr>
              <m:t>-1</m:t>
            </m:r>
          </m:sup>
        </m:sSup>
      </m:oMath>
      <w:r>
        <w:t xml:space="preserve">by </w:t>
      </w:r>
      <m:oMath>
        <m:sSup>
          <m:sSupPr>
            <m:ctrlPr>
              <w:rPr>
                <w:rFonts w:ascii="Cambria Math" w:hAnsi="Cambria Math"/>
              </w:rPr>
            </m:ctrlPr>
          </m:sSupPr>
          <m:e>
            <m:sSub>
              <m:sSubPr>
                <m:ctrlPr>
                  <w:rPr>
                    <w:rFonts w:ascii="Cambria Math" w:hAnsi="Cambria Math"/>
                  </w:rPr>
                </m:ctrlPr>
              </m:sSubPr>
              <m:e>
                <m:r>
                  <w:rPr>
                    <w:rFonts w:ascii="Cambria Math" w:hAnsi="Cambria Math"/>
                  </w:rPr>
                  <m:t>t</m:t>
                </m:r>
              </m:e>
              <m:sub>
                <m:r>
                  <w:rPr>
                    <w:rFonts w:ascii="Cambria Math" w:hAnsi="Cambria Math"/>
                  </w:rPr>
                  <m:t>i</m:t>
                </m:r>
              </m:sub>
            </m:sSub>
          </m:e>
          <m:sup>
            <m:r>
              <w:rPr>
                <w:rFonts w:ascii="Cambria Math" w:hAnsi="Cambria Math"/>
              </w:rPr>
              <m:t>~</m:t>
            </m:r>
          </m:sup>
        </m:sSup>
        <m:r>
          <w:rPr>
            <w:rFonts w:ascii="Cambria Math" w:hAnsi="Cambria Math"/>
          </w:rPr>
          <m:t xml:space="preserve">  </m:t>
        </m:r>
      </m:oMath>
      <w:r>
        <w:t>and update the distance table.</w:t>
      </w:r>
    </w:p>
    <w:p w:rsidR="00DC23FA" w:rsidRDefault="009C15B2">
      <w:pPr>
        <w:numPr>
          <w:ilvl w:val="0"/>
          <w:numId w:val="2"/>
        </w:numPr>
        <w:spacing w:after="0"/>
      </w:pPr>
      <w:r>
        <w:t xml:space="preserve">If </w:t>
      </w:r>
      <m:oMath>
        <m:r>
          <w:rPr>
            <w:rFonts w:ascii="Cambria Math" w:hAnsi="Cambria Math"/>
          </w:rPr>
          <m:t>Θ</m:t>
        </m:r>
      </m:oMath>
      <w:r>
        <w:t xml:space="preserve"> &lt;0</w:t>
      </w:r>
    </w:p>
    <w:p w:rsidR="00DC23FA" w:rsidRDefault="009C15B2">
      <w:pPr>
        <w:numPr>
          <w:ilvl w:val="1"/>
          <w:numId w:val="2"/>
        </w:numPr>
        <w:spacing w:after="0"/>
      </w:pPr>
      <w:r>
        <w:t xml:space="preserve">With probability </w:t>
      </w:r>
      <m:oMath>
        <m:sSup>
          <m:sSupPr>
            <m:ctrlPr>
              <w:rPr>
                <w:rFonts w:ascii="Cambria Math" w:hAnsi="Cambria Math"/>
              </w:rPr>
            </m:ctrlPr>
          </m:sSupPr>
          <m:e>
            <m:r>
              <w:rPr>
                <w:rFonts w:ascii="Cambria Math" w:hAnsi="Cambria Math"/>
              </w:rPr>
              <m:t>e</m:t>
            </m:r>
          </m:e>
          <m:sup>
            <m:r>
              <w:rPr>
                <w:rFonts w:ascii="Cambria Math" w:hAnsi="Cambria Math"/>
              </w:rPr>
              <m:t>-</m:t>
            </m:r>
            <m:f>
              <m:fPr>
                <m:ctrlPr>
                  <w:rPr>
                    <w:rFonts w:ascii="Cambria Math" w:hAnsi="Cambria Math"/>
                  </w:rPr>
                </m:ctrlPr>
              </m:fPr>
              <m:num>
                <m:r>
                  <w:rPr>
                    <w:rFonts w:ascii="Cambria Math" w:hAnsi="Cambria Math"/>
                  </w:rPr>
                  <m:t>Θ</m:t>
                </m:r>
              </m:num>
              <m:den>
                <m:r>
                  <w:rPr>
                    <w:rFonts w:ascii="Cambria Math" w:hAnsi="Cambria Math"/>
                  </w:rPr>
                  <m:t>T</m:t>
                </m:r>
              </m:den>
            </m:f>
          </m:sup>
        </m:sSup>
      </m:oMath>
      <w:r>
        <w:t>:</w:t>
      </w:r>
    </w:p>
    <w:p w:rsidR="00DC23FA" w:rsidRDefault="009C15B2">
      <w:pPr>
        <w:numPr>
          <w:ilvl w:val="2"/>
          <w:numId w:val="2"/>
        </w:numPr>
      </w:pPr>
      <w:r>
        <w:t xml:space="preserve">Replace </w:t>
      </w:r>
      <m:oMath>
        <m:sSup>
          <m:sSupPr>
            <m:ctrlPr>
              <w:rPr>
                <w:rFonts w:ascii="Cambria Math" w:hAnsi="Cambria Math"/>
              </w:rPr>
            </m:ctrlPr>
          </m:sSupPr>
          <m:e>
            <m:sSub>
              <m:sSubPr>
                <m:ctrlPr>
                  <w:rPr>
                    <w:rFonts w:ascii="Cambria Math" w:hAnsi="Cambria Math"/>
                  </w:rPr>
                </m:ctrlPr>
              </m:sSubPr>
              <m:e>
                <m:r>
                  <w:rPr>
                    <w:rFonts w:ascii="Cambria Math" w:hAnsi="Cambria Math"/>
                  </w:rPr>
                  <m:t>t</m:t>
                </m:r>
              </m:e>
              <m:sub>
                <m:r>
                  <w:rPr>
                    <w:rFonts w:ascii="Cambria Math" w:hAnsi="Cambria Math"/>
                  </w:rPr>
                  <m:t>j</m:t>
                </m:r>
              </m:sub>
            </m:sSub>
          </m:e>
          <m:sup>
            <m:r>
              <w:rPr>
                <w:rFonts w:ascii="Cambria Math" w:hAnsi="Cambria Math"/>
              </w:rPr>
              <m:t>n</m:t>
            </m:r>
            <m:r>
              <w:rPr>
                <w:rFonts w:ascii="Cambria Math" w:hAnsi="Cambria Math"/>
              </w:rPr>
              <m:t>-1</m:t>
            </m:r>
          </m:sup>
        </m:sSup>
      </m:oMath>
      <w:r>
        <w:t xml:space="preserve">by </w:t>
      </w:r>
      <m:oMath>
        <m:sSup>
          <m:sSupPr>
            <m:ctrlPr>
              <w:rPr>
                <w:rFonts w:ascii="Cambria Math" w:hAnsi="Cambria Math"/>
              </w:rPr>
            </m:ctrlPr>
          </m:sSupPr>
          <m:e>
            <m:sSub>
              <m:sSubPr>
                <m:ctrlPr>
                  <w:rPr>
                    <w:rFonts w:ascii="Cambria Math" w:hAnsi="Cambria Math"/>
                  </w:rPr>
                </m:ctrlPr>
              </m:sSubPr>
              <m:e>
                <m:r>
                  <w:rPr>
                    <w:rFonts w:ascii="Cambria Math" w:hAnsi="Cambria Math"/>
                  </w:rPr>
                  <m:t>t</m:t>
                </m:r>
              </m:e>
              <m:sub>
                <m:r>
                  <w:rPr>
                    <w:rFonts w:ascii="Cambria Math" w:hAnsi="Cambria Math"/>
                  </w:rPr>
                  <m:t>i</m:t>
                </m:r>
              </m:sub>
            </m:sSub>
          </m:e>
          <m:sup>
            <m:r>
              <w:rPr>
                <w:rFonts w:ascii="Cambria Math" w:hAnsi="Cambria Math"/>
              </w:rPr>
              <m:t>~</m:t>
            </m:r>
          </m:sup>
        </m:sSup>
        <m:r>
          <w:rPr>
            <w:rFonts w:ascii="Cambria Math" w:hAnsi="Cambria Math"/>
          </w:rPr>
          <m:t xml:space="preserve">  </m:t>
        </m:r>
      </m:oMath>
      <w:r>
        <w:t>and update the distance table.</w:t>
      </w:r>
    </w:p>
    <w:p w:rsidR="00DC23FA" w:rsidRDefault="009C15B2">
      <w:pPr>
        <w:rPr>
          <w:i/>
        </w:rPr>
      </w:pPr>
      <w:r>
        <w:rPr>
          <w:i/>
        </w:rPr>
        <w:t>End</w:t>
      </w:r>
    </w:p>
    <w:p w:rsidR="00DC23FA" w:rsidRDefault="009C15B2">
      <w:r>
        <w:t>Return the best set of trajectories from all those explor</w:t>
      </w:r>
      <w:r>
        <w:t>ed.</w:t>
      </w:r>
    </w:p>
    <w:p w:rsidR="00DC23FA" w:rsidRDefault="009C15B2">
      <w:r>
        <w:br w:type="page"/>
      </w:r>
    </w:p>
    <w:p w:rsidR="00DC23FA" w:rsidRDefault="009C15B2">
      <w:pPr>
        <w:pStyle w:val="Titre2"/>
      </w:pPr>
      <w:bookmarkStart w:id="37" w:name="_ts3k7ybvznry" w:colFirst="0" w:colLast="0"/>
      <w:bookmarkEnd w:id="37"/>
      <w:r>
        <w:lastRenderedPageBreak/>
        <w:t xml:space="preserve">3. GET-ACC2 model </w:t>
      </w:r>
    </w:p>
    <w:p w:rsidR="00DC23FA" w:rsidRDefault="009C15B2">
      <w:pPr>
        <w:pStyle w:val="Titre3"/>
      </w:pPr>
      <w:bookmarkStart w:id="38" w:name="_3japnb60xhda" w:colFirst="0" w:colLast="0"/>
      <w:bookmarkEnd w:id="38"/>
      <w:r>
        <w:t>3.1 Overview of the model</w:t>
      </w:r>
    </w:p>
    <w:p w:rsidR="00DC23FA" w:rsidRDefault="009C15B2">
      <w:pPr>
        <w:spacing w:before="240" w:after="240" w:line="240" w:lineRule="auto"/>
        <w:jc w:val="both"/>
      </w:pPr>
      <w:r>
        <w:t>The GET-ACC2 model is an integrated climate-energy-economic model with global coverage. It is used for long-term energy system modelling and technology assessment. It describes how the energy system evolve</w:t>
      </w:r>
      <w:r>
        <w:t>s and minimises its costs across the 21</w:t>
      </w:r>
      <w:r>
        <w:rPr>
          <w:vertAlign w:val="superscript"/>
        </w:rPr>
        <w:t>st</w:t>
      </w:r>
      <w:r>
        <w:t xml:space="preserve"> century to meet the energy demand and respect specified constraints, such as a carbon budget or a climate target. GET-ACC2 is composed of two models: the energy system model GET and the reduced complexity climate m</w:t>
      </w:r>
      <w:r>
        <w:t>odel ACC2.</w:t>
      </w:r>
    </w:p>
    <w:p w:rsidR="00DC23FA" w:rsidRDefault="009C15B2">
      <w:pPr>
        <w:spacing w:before="240" w:after="240" w:line="240" w:lineRule="auto"/>
        <w:jc w:val="both"/>
      </w:pPr>
      <w:r>
        <w:t>The Aggregated Carbon Cycle, Atmospheric Chemistry, and Climate (ACC2) model describes the physical part of the system. K. Tanaka developed the model in 2007. It computes the evolution of physical parameters, such as greenhouse gas concentration</w:t>
      </w:r>
      <w:r>
        <w:t xml:space="preserve">s in the atmosphere, the additional radiative forcing that it induces, and the surface mean temperature resulting from a pathway of anthropogenic emissions. The ACC2 model is clearly and comprehensively described in the documentation by </w:t>
      </w:r>
      <w:proofErr w:type="spellStart"/>
      <w:r>
        <w:t>Katsumasa</w:t>
      </w:r>
      <w:proofErr w:type="spellEnd"/>
      <w:r>
        <w:t xml:space="preserve"> Tanaka an</w:t>
      </w:r>
      <w:r>
        <w:t>d Elmar Kriegler</w:t>
      </w:r>
      <w:hyperlink r:id="rId61">
        <w:r>
          <w:rPr>
            <w:vertAlign w:val="superscript"/>
          </w:rPr>
          <w:t>16</w:t>
        </w:r>
      </w:hyperlink>
      <w:r>
        <w:rPr>
          <w:vertAlign w:val="superscript"/>
        </w:rPr>
        <w:t>,</w:t>
      </w:r>
      <w:hyperlink r:id="rId62">
        <w:r>
          <w:rPr>
            <w:vertAlign w:val="superscript"/>
          </w:rPr>
          <w:t>21</w:t>
        </w:r>
      </w:hyperlink>
      <w:r>
        <w:t>.</w:t>
      </w:r>
    </w:p>
    <w:p w:rsidR="00DC23FA" w:rsidRDefault="009C15B2">
      <w:pPr>
        <w:spacing w:before="240" w:after="240" w:line="240" w:lineRule="auto"/>
        <w:jc w:val="both"/>
      </w:pPr>
      <w:r>
        <w:t xml:space="preserve">The global energy transition (GET) model is a simple linear energy system model that was initially developed </w:t>
      </w:r>
      <w:r>
        <w:t xml:space="preserve">at Chalmers University by Christian A. Azar and Kristian Lindgren </w:t>
      </w:r>
      <w:hyperlink r:id="rId63">
        <w:r>
          <w:rPr>
            <w:vertAlign w:val="superscript"/>
          </w:rPr>
          <w:t>22,23</w:t>
        </w:r>
      </w:hyperlink>
      <w:r>
        <w:t xml:space="preserve">. The current version is derived from the one used by D.J.A. Johansson and C. Azar in  Azar </w:t>
      </w:r>
      <w:r>
        <w:rPr>
          <w:i/>
        </w:rPr>
        <w:t xml:space="preserve">et al </w:t>
      </w:r>
      <w:r>
        <w:t xml:space="preserve">(2013) and </w:t>
      </w:r>
      <w:hyperlink r:id="rId64">
        <w:r>
          <w:t xml:space="preserve">Johansson </w:t>
        </w:r>
      </w:hyperlink>
      <w:hyperlink r:id="rId65">
        <w:r>
          <w:rPr>
            <w:i/>
          </w:rPr>
          <w:t>et al</w:t>
        </w:r>
      </w:hyperlink>
      <w:hyperlink r:id="rId66">
        <w:r>
          <w:t xml:space="preserve"> (2020</w:t>
        </w:r>
      </w:hyperlink>
      <w:r>
        <w:t xml:space="preserve">). A </w:t>
      </w:r>
      <w:proofErr w:type="gramStart"/>
      <w:r>
        <w:t>parallel  version</w:t>
      </w:r>
      <w:proofErr w:type="gramEnd"/>
      <w:r>
        <w:t xml:space="preserve"> of the model, GET-RC 6.1</w:t>
      </w:r>
      <w:hyperlink r:id="rId67">
        <w:r>
          <w:rPr>
            <w:vertAlign w:val="superscript"/>
          </w:rPr>
          <w:t>25</w:t>
        </w:r>
      </w:hyperlink>
      <w:r>
        <w:t>, modelled energy systems at the regional levels, and included trades of energy commodities. A full documentation of GET-RC 6.1 is available online</w:t>
      </w:r>
      <w:hyperlink r:id="rId68">
        <w:r>
          <w:rPr>
            <w:vertAlign w:val="superscript"/>
          </w:rPr>
          <w:t>26</w:t>
        </w:r>
      </w:hyperlink>
      <w:r>
        <w:t xml:space="preserve">, and most of its features are still relevant to the version of GET that we coupled to ACC2. </w:t>
      </w:r>
    </w:p>
    <w:p w:rsidR="00DC23FA" w:rsidRDefault="009C15B2">
      <w:pPr>
        <w:spacing w:before="240" w:after="240" w:line="240" w:lineRule="auto"/>
        <w:jc w:val="both"/>
      </w:pPr>
      <w:r>
        <w:t>The GET-ACC2 model computes cost-optimal scenarios to balance energy demand with energy supply. It takes as input a set of assumptions about futu</w:t>
      </w:r>
      <w:r>
        <w:t>re demand in several subsectors, technology costs and efficiency, and returns a combination of energetic and economic features of the cost-optimal energy mix, such as primary energy needs, marginal and total costs of production and distribution, etc.</w:t>
      </w:r>
    </w:p>
    <w:p w:rsidR="00DC23FA" w:rsidRDefault="009C15B2">
      <w:pPr>
        <w:spacing w:before="240" w:after="240" w:line="240" w:lineRule="auto"/>
        <w:jc w:val="both"/>
        <w:rPr>
          <w:color w:val="444746"/>
          <w:sz w:val="21"/>
          <w:szCs w:val="21"/>
        </w:rPr>
      </w:pPr>
      <w:r>
        <w:t>The m</w:t>
      </w:r>
      <w:r>
        <w:t xml:space="preserve">odel has 4 kinds of input data: techno-economical parameters, that characterise the costs and efficiencies of the technologies included in the model, climate model parameters, assumptions on future energy demand, and climate policy constraints. </w:t>
      </w:r>
    </w:p>
    <w:p w:rsidR="00DC23FA" w:rsidRDefault="009C15B2">
      <w:pPr>
        <w:spacing w:before="240" w:after="240" w:line="240" w:lineRule="auto"/>
        <w:jc w:val="both"/>
        <w:rPr>
          <w:i/>
        </w:rPr>
      </w:pPr>
      <w:r>
        <w:t>The energy</w:t>
      </w:r>
      <w:r>
        <w:t xml:space="preserve"> demand comprises four sectors for stationary end-use: industrial process heat, electricity, feed-stock for chemical industry, residential and commercial heating, and eight transport demand subsectors: road (public &amp; private transport), air and rail for pa</w:t>
      </w:r>
      <w:r>
        <w:t>ssenger transport, and marine, air, rail and road for freight. These energy demand pathways are derived from ENGAGE SSP2 baseline scenarios</w:t>
      </w:r>
      <w:hyperlink r:id="rId69">
        <w:r>
          <w:rPr>
            <w:vertAlign w:val="superscript"/>
          </w:rPr>
          <w:t>27</w:t>
        </w:r>
      </w:hyperlink>
      <w:r>
        <w:t>. The GET model computes, at each timestep, new produ</w:t>
      </w:r>
      <w:r>
        <w:t>ctive capacity, new vehicles, distribution infrastructure etc. that have to be deployed to meet a given demand, as well as the fluxes of primary and secondary energy, the emission of greenhouse gases that stem from them, and costs incurred by the system. T</w:t>
      </w:r>
      <w:r>
        <w:t>he reference year for dollar value is 2010.</w:t>
      </w:r>
    </w:p>
    <w:p w:rsidR="00DC23FA" w:rsidRDefault="009C15B2">
      <w:pPr>
        <w:spacing w:before="240" w:after="240" w:line="240" w:lineRule="auto"/>
        <w:rPr>
          <w:b/>
          <w:i/>
        </w:rPr>
      </w:pPr>
      <w:r>
        <w:rPr>
          <w:b/>
          <w:i/>
        </w:rPr>
        <w:t>Optimisation procedure</w:t>
      </w:r>
    </w:p>
    <w:p w:rsidR="00DC23FA" w:rsidRDefault="009C15B2">
      <w:pPr>
        <w:spacing w:before="240" w:after="240" w:line="276" w:lineRule="auto"/>
        <w:rPr>
          <w:i/>
        </w:rPr>
      </w:pPr>
      <w:r>
        <w:t>The model is solved by a non-linear optimization solver, CONOPT4. There are two options to solve the model: the demand can be either fixed or price-responsive. The solver minimises the obje</w:t>
      </w:r>
      <w:r>
        <w:t xml:space="preserve">ctive function: the net present value of future costs (investment costs, O&amp;M costs, fuel costs, carbon tax, etc.), when the demand is fixed, or the net present value of annual surplus, when demand is price-responsive. The discount rate is assumed to be at </w:t>
      </w:r>
      <w:r>
        <w:t xml:space="preserve">5% by default. The solver ensures that the climate constraints are respected - for instance, keeping global warming from pre-industrial level below 1.5°C in 2100. In this study, we use the price-responsive mode. </w:t>
      </w:r>
    </w:p>
    <w:p w:rsidR="00DC23FA" w:rsidRDefault="009C15B2">
      <w:pPr>
        <w:spacing w:before="240" w:after="240" w:line="276" w:lineRule="auto"/>
      </w:pPr>
      <w:r>
        <w:lastRenderedPageBreak/>
        <w:t>To allow the demand to decrease when prices</w:t>
      </w:r>
      <w:r>
        <w:t xml:space="preserve"> grow, price-elasticities are -0.4 for electricity demand</w:t>
      </w:r>
      <w:hyperlink r:id="rId70">
        <w:r>
          <w:rPr>
            <w:vertAlign w:val="superscript"/>
          </w:rPr>
          <w:t>28</w:t>
        </w:r>
      </w:hyperlink>
      <w:r>
        <w:t>, domestic and commercial heating, -0.2 for industry (process heat and feed-stock), and -0.3 for transport demand</w:t>
      </w:r>
      <w:hyperlink r:id="rId71">
        <w:r>
          <w:rPr>
            <w:vertAlign w:val="superscript"/>
          </w:rPr>
          <w:t>29,30</w:t>
        </w:r>
      </w:hyperlink>
      <w:r>
        <w:t>.</w:t>
      </w:r>
    </w:p>
    <w:p w:rsidR="00DC23FA" w:rsidRDefault="009C15B2">
      <w:pPr>
        <w:spacing w:after="0" w:line="276" w:lineRule="auto"/>
      </w:pPr>
      <w:r>
        <w:t xml:space="preserve">The model is solved twice: </w:t>
      </w:r>
    </w:p>
    <w:p w:rsidR="00DC23FA" w:rsidRDefault="009C15B2">
      <w:pPr>
        <w:numPr>
          <w:ilvl w:val="0"/>
          <w:numId w:val="1"/>
        </w:numPr>
        <w:spacing w:after="0" w:line="276" w:lineRule="auto"/>
      </w:pPr>
      <w:r>
        <w:t xml:space="preserve">A first run with fixed demand and no climate policy </w:t>
      </w:r>
      <m:oMath>
        <m:sSup>
          <m:sSupPr>
            <m:ctrlPr>
              <w:rPr>
                <w:rFonts w:ascii="Cambria Math" w:hAnsi="Cambria Math"/>
              </w:rPr>
            </m:ctrlPr>
          </m:sSupPr>
          <m:e>
            <m:sSub>
              <m:sSubPr>
                <m:ctrlPr>
                  <w:rPr>
                    <w:rFonts w:ascii="Cambria Math" w:hAnsi="Cambria Math"/>
                  </w:rPr>
                </m:ctrlPr>
              </m:sSubPr>
              <m:e>
                <m:r>
                  <w:rPr>
                    <w:rFonts w:ascii="Cambria Math" w:hAnsi="Cambria Math"/>
                  </w:rPr>
                  <m:t>Q</m:t>
                </m:r>
              </m:e>
              <m:sub>
                <m:r>
                  <w:rPr>
                    <w:rFonts w:ascii="Cambria Math" w:hAnsi="Cambria Math"/>
                  </w:rPr>
                  <m:t>b</m:t>
                </m:r>
              </m:sub>
            </m:sSub>
          </m:e>
          <m:sup>
            <m:r>
              <w:rPr>
                <w:rFonts w:ascii="Cambria Math" w:hAnsi="Cambria Math"/>
              </w:rPr>
              <m:t>s</m:t>
            </m:r>
          </m:sup>
        </m:sSup>
      </m:oMath>
      <w:r>
        <w:t xml:space="preserve"> (</w:t>
      </w:r>
      <w:r>
        <w:rPr>
          <w:i/>
        </w:rPr>
        <w:t>b</w:t>
      </w:r>
      <w:r>
        <w:t xml:space="preserve"> for “baseline”, </w:t>
      </w:r>
      <w:r>
        <w:rPr>
          <w:i/>
        </w:rPr>
        <w:t>s</w:t>
      </w:r>
      <w:r>
        <w:t xml:space="preserve"> for “sector”) yields baseline end-use prices </w:t>
      </w:r>
      <m:oMath>
        <m:sSup>
          <m:sSupPr>
            <m:ctrlPr>
              <w:rPr>
                <w:rFonts w:ascii="Cambria Math" w:hAnsi="Cambria Math"/>
              </w:rPr>
            </m:ctrlPr>
          </m:sSupPr>
          <m:e>
            <m:sSub>
              <m:sSubPr>
                <m:ctrlPr>
                  <w:rPr>
                    <w:rFonts w:ascii="Cambria Math" w:hAnsi="Cambria Math"/>
                  </w:rPr>
                </m:ctrlPr>
              </m:sSubPr>
              <m:e>
                <m:r>
                  <w:rPr>
                    <w:rFonts w:ascii="Cambria Math" w:hAnsi="Cambria Math"/>
                  </w:rPr>
                  <m:t>P</m:t>
                </m:r>
              </m:e>
              <m:sub>
                <m:r>
                  <w:rPr>
                    <w:rFonts w:ascii="Cambria Math" w:hAnsi="Cambria Math"/>
                  </w:rPr>
                  <m:t>b</m:t>
                </m:r>
              </m:sub>
            </m:sSub>
          </m:e>
          <m:sup>
            <m:r>
              <w:rPr>
                <w:rFonts w:ascii="Cambria Math" w:hAnsi="Cambria Math"/>
              </w:rPr>
              <m:t>s</m:t>
            </m:r>
          </m:sup>
        </m:sSup>
      </m:oMath>
      <w:r>
        <w:t xml:space="preserve"> at each timestep, for each sector (the marginal costs of energy supply). Here, the net present value </w:t>
      </w:r>
      <w:proofErr w:type="spellStart"/>
      <w:r>
        <w:rPr>
          <w:i/>
        </w:rPr>
        <w:t>O</w:t>
      </w:r>
      <w:r>
        <w:rPr>
          <w:i/>
          <w:vertAlign w:val="subscript"/>
        </w:rPr>
        <w:t>fixed</w:t>
      </w:r>
      <w:proofErr w:type="spellEnd"/>
      <w:r>
        <w:t xml:space="preserve"> of future energy system costs C(t) is minimised:</w:t>
      </w:r>
    </w:p>
    <w:p w:rsidR="00DC23FA" w:rsidRDefault="009C15B2">
      <w:pPr>
        <w:spacing w:after="0" w:line="276" w:lineRule="auto"/>
        <w:ind w:left="720"/>
      </w:pPr>
      <m:oMath>
        <m:sSub>
          <m:sSubPr>
            <m:ctrlPr>
              <w:rPr>
                <w:rFonts w:ascii="Cambria Math" w:hAnsi="Cambria Math"/>
              </w:rPr>
            </m:ctrlPr>
          </m:sSubPr>
          <m:e>
            <m:r>
              <w:rPr>
                <w:rFonts w:ascii="Cambria Math" w:hAnsi="Cambria Math"/>
              </w:rPr>
              <m:t>O</m:t>
            </m:r>
          </m:e>
          <m:sub>
            <m:r>
              <w:rPr>
                <w:rFonts w:ascii="Cambria Math" w:hAnsi="Cambria Math"/>
              </w:rPr>
              <m:t>fixed</m:t>
            </m:r>
          </m:sub>
        </m:sSub>
        <m:r>
          <w:rPr>
            <w:rFonts w:ascii="Cambria Math" w:hAnsi="Cambria Math"/>
          </w:rPr>
          <m:t>=</m:t>
        </m:r>
        <m:nary>
          <m:naryPr>
            <m:chr m:val="∑"/>
            <m:ctrlPr>
              <w:rPr>
                <w:rFonts w:ascii="Cambria Math" w:hAnsi="Cambria Math"/>
              </w:rPr>
            </m:ctrlPr>
          </m:naryPr>
          <m:sub>
            <m:r>
              <w:rPr>
                <w:rFonts w:ascii="Cambria Math" w:hAnsi="Cambria Math"/>
              </w:rPr>
              <m:t>t</m:t>
            </m:r>
          </m:sub>
          <m:sup/>
          <m:e/>
        </m:nary>
        <m:r>
          <w:rPr>
            <w:rFonts w:ascii="Cambria Math" w:hAnsi="Cambria Math"/>
          </w:rPr>
          <m:t>C</m:t>
        </m:r>
        <m:r>
          <w:rPr>
            <w:rFonts w:ascii="Cambria Math" w:hAnsi="Cambria Math"/>
          </w:rPr>
          <m:t>(</m:t>
        </m:r>
        <m:r>
          <w:rPr>
            <w:rFonts w:ascii="Cambria Math" w:hAnsi="Cambria Math"/>
          </w:rPr>
          <m:t>t</m:t>
        </m:r>
        <m:r>
          <w:rPr>
            <w:rFonts w:ascii="Cambria Math" w:hAnsi="Cambria Math"/>
          </w:rPr>
          <m:t>)</m:t>
        </m:r>
        <m:sSup>
          <m:sSupPr>
            <m:ctrlPr>
              <w:rPr>
                <w:rFonts w:ascii="Cambria Math" w:hAnsi="Cambria Math"/>
              </w:rPr>
            </m:ctrlPr>
          </m:sSupPr>
          <m:e>
            <m:r>
              <w:rPr>
                <w:rFonts w:ascii="Cambria Math" w:hAnsi="Cambria Math"/>
              </w:rPr>
              <m:t>ρ</m:t>
            </m:r>
          </m:e>
          <m:sup>
            <m:r>
              <w:rPr>
                <w:rFonts w:ascii="Cambria Math" w:hAnsi="Cambria Math"/>
              </w:rPr>
              <m:t>-</m:t>
            </m:r>
            <m:r>
              <w:rPr>
                <w:rFonts w:ascii="Cambria Math" w:hAnsi="Cambria Math"/>
              </w:rPr>
              <m:t>(</m:t>
            </m:r>
            <m:r>
              <w:rPr>
                <w:rFonts w:ascii="Cambria Math" w:hAnsi="Cambria Math"/>
              </w:rPr>
              <m:t>t</m:t>
            </m:r>
            <m: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0</m:t>
                </m:r>
              </m:sub>
            </m:sSub>
            <m:r>
              <w:rPr>
                <w:rFonts w:ascii="Cambria Math" w:hAnsi="Cambria Math"/>
              </w:rPr>
              <m:t>)</m:t>
            </m:r>
          </m:sup>
        </m:sSup>
      </m:oMath>
      <w:r>
        <w:t xml:space="preserve"> where </w:t>
      </w:r>
      <m:oMath>
        <m:r>
          <w:rPr>
            <w:rFonts w:ascii="Cambria Math" w:hAnsi="Cambria Math"/>
          </w:rPr>
          <m:t>ρ</m:t>
        </m:r>
        <m:r>
          <w:rPr>
            <w:rFonts w:ascii="Cambria Math" w:hAnsi="Cambria Math"/>
          </w:rPr>
          <m:t>=1.05</m:t>
        </m:r>
      </m:oMath>
    </w:p>
    <w:p w:rsidR="00DC23FA" w:rsidRDefault="00DC23FA">
      <w:pPr>
        <w:spacing w:after="0" w:line="276" w:lineRule="auto"/>
        <w:ind w:left="720"/>
      </w:pPr>
    </w:p>
    <w:p w:rsidR="00DC23FA" w:rsidRDefault="009C15B2">
      <w:pPr>
        <w:spacing w:after="0" w:line="276" w:lineRule="auto"/>
        <w:ind w:left="720"/>
      </w:pPr>
      <w:r>
        <w:t>These prices are considered the reference prices f</w:t>
      </w:r>
      <w:r>
        <w:t xml:space="preserve">or the demand pathway, and we deduce the reactive demand curve </w:t>
      </w:r>
      <m:oMath>
        <m:sSup>
          <m:sSupPr>
            <m:ctrlPr>
              <w:rPr>
                <w:rFonts w:ascii="Cambria Math" w:hAnsi="Cambria Math"/>
              </w:rPr>
            </m:ctrlPr>
          </m:sSupPr>
          <m:e>
            <m:sSub>
              <m:sSubPr>
                <m:ctrlPr>
                  <w:rPr>
                    <w:rFonts w:ascii="Cambria Math" w:hAnsi="Cambria Math"/>
                  </w:rPr>
                </m:ctrlPr>
              </m:sSubPr>
              <m:e>
                <m:r>
                  <w:rPr>
                    <w:rFonts w:ascii="Cambria Math" w:hAnsi="Cambria Math"/>
                  </w:rPr>
                  <m:t>Q</m:t>
                </m:r>
              </m:e>
              <m:sub>
                <m:r>
                  <w:rPr>
                    <w:rFonts w:ascii="Cambria Math" w:hAnsi="Cambria Math"/>
                  </w:rPr>
                  <m:t>r</m:t>
                </m:r>
              </m:sub>
            </m:sSub>
          </m:e>
          <m:sup>
            <m:r>
              <w:rPr>
                <w:rFonts w:ascii="Cambria Math" w:hAnsi="Cambria Math"/>
              </w:rPr>
              <m:t>s</m:t>
            </m:r>
          </m:sup>
        </m:sSup>
      </m:oMath>
      <w:r>
        <w:t xml:space="preserve"> (</w:t>
      </w:r>
      <w:r>
        <w:rPr>
          <w:i/>
        </w:rPr>
        <w:t>r</w:t>
      </w:r>
      <w:r>
        <w:t xml:space="preserve"> for “reactive”) from the ratio between reference prices and real prices.</w:t>
      </w:r>
    </w:p>
    <w:p w:rsidR="00DC23FA" w:rsidRDefault="009C15B2">
      <w:pPr>
        <w:spacing w:after="0" w:line="276" w:lineRule="auto"/>
        <w:ind w:left="720"/>
      </w:pPr>
      <m:oMath>
        <m:f>
          <m:fPr>
            <m:ctrlPr>
              <w:rPr>
                <w:rFonts w:ascii="Cambria Math" w:hAnsi="Cambria Math"/>
              </w:rPr>
            </m:ctrlPr>
          </m:fPr>
          <m:num>
            <m:r>
              <w:rPr>
                <w:rFonts w:ascii="Cambria Math" w:hAnsi="Cambria Math"/>
              </w:rPr>
              <m:t>dlog</m:t>
            </m:r>
            <m:r>
              <w:rPr>
                <w:rFonts w:ascii="Cambria Math" w:hAnsi="Cambria Math"/>
              </w:rPr>
              <m:t>(</m:t>
            </m:r>
            <m:r>
              <w:rPr>
                <w:rFonts w:ascii="Cambria Math" w:hAnsi="Cambria Math"/>
              </w:rPr>
              <m:t>Q</m:t>
            </m:r>
            <m:r>
              <w:rPr>
                <w:rFonts w:ascii="Cambria Math" w:hAnsi="Cambria Math"/>
              </w:rPr>
              <m:t>)</m:t>
            </m:r>
          </m:num>
          <m:den>
            <m:r>
              <w:rPr>
                <w:rFonts w:ascii="Cambria Math" w:hAnsi="Cambria Math"/>
              </w:rPr>
              <m:t>dlog</m:t>
            </m:r>
            <m:r>
              <w:rPr>
                <w:rFonts w:ascii="Cambria Math" w:hAnsi="Cambria Math"/>
              </w:rPr>
              <m:t>(</m:t>
            </m:r>
            <m:r>
              <w:rPr>
                <w:rFonts w:ascii="Cambria Math" w:hAnsi="Cambria Math"/>
              </w:rPr>
              <m:t>P</m:t>
            </m:r>
            <m:r>
              <w:rPr>
                <w:rFonts w:ascii="Cambria Math" w:hAnsi="Cambria Math"/>
              </w:rPr>
              <m:t>)</m:t>
            </m:r>
          </m:den>
        </m:f>
        <m:r>
          <w:rPr>
            <w:rFonts w:ascii="Cambria Math" w:hAnsi="Cambria Math"/>
          </w:rPr>
          <m:t>=</m:t>
        </m:r>
        <m:r>
          <w:rPr>
            <w:rFonts w:ascii="Cambria Math" w:hAnsi="Cambria Math"/>
          </w:rPr>
          <m:t>η</m:t>
        </m:r>
      </m:oMath>
      <w:r>
        <w:t xml:space="preserve"> hence </w:t>
      </w:r>
      <m:oMath>
        <m:sSup>
          <m:sSupPr>
            <m:ctrlPr>
              <w:rPr>
                <w:rFonts w:ascii="Cambria Math" w:hAnsi="Cambria Math"/>
              </w:rPr>
            </m:ctrlPr>
          </m:sSupPr>
          <m:e>
            <m:sSub>
              <m:sSubPr>
                <m:ctrlPr>
                  <w:rPr>
                    <w:rFonts w:ascii="Cambria Math" w:hAnsi="Cambria Math"/>
                  </w:rPr>
                </m:ctrlPr>
              </m:sSubPr>
              <m:e>
                <m:r>
                  <w:rPr>
                    <w:rFonts w:ascii="Cambria Math" w:hAnsi="Cambria Math"/>
                  </w:rPr>
                  <m:t>Q</m:t>
                </m:r>
              </m:e>
              <m:sub>
                <m:r>
                  <w:rPr>
                    <w:rFonts w:ascii="Cambria Math" w:hAnsi="Cambria Math"/>
                  </w:rPr>
                  <m:t>r</m:t>
                </m:r>
              </m:sub>
            </m:sSub>
          </m:e>
          <m:sup>
            <m:r>
              <w:rPr>
                <w:rFonts w:ascii="Cambria Math" w:hAnsi="Cambria Math"/>
              </w:rPr>
              <m:t>s</m:t>
            </m:r>
          </m:sup>
        </m:sSup>
        <m:r>
          <w:rPr>
            <w:rFonts w:ascii="Cambria Math" w:hAnsi="Cambria Math"/>
          </w:rPr>
          <m:t>=</m:t>
        </m:r>
        <m:sSup>
          <m:sSupPr>
            <m:ctrlPr>
              <w:rPr>
                <w:rFonts w:ascii="Cambria Math" w:hAnsi="Cambria Math"/>
              </w:rPr>
            </m:ctrlPr>
          </m:sSupPr>
          <m:e>
            <m:sSub>
              <m:sSubPr>
                <m:ctrlPr>
                  <w:rPr>
                    <w:rFonts w:ascii="Cambria Math" w:hAnsi="Cambria Math"/>
                  </w:rPr>
                </m:ctrlPr>
              </m:sSubPr>
              <m:e>
                <m:r>
                  <w:rPr>
                    <w:rFonts w:ascii="Cambria Math" w:hAnsi="Cambria Math"/>
                  </w:rPr>
                  <m:t>Q</m:t>
                </m:r>
              </m:e>
              <m:sub>
                <m:r>
                  <w:rPr>
                    <w:rFonts w:ascii="Cambria Math" w:hAnsi="Cambria Math"/>
                  </w:rPr>
                  <m:t>b</m:t>
                </m:r>
              </m:sub>
            </m:sSub>
          </m:e>
          <m:sup>
            <m:r>
              <w:rPr>
                <w:rFonts w:ascii="Cambria Math" w:hAnsi="Cambria Math"/>
              </w:rPr>
              <m:t>s</m:t>
            </m:r>
          </m:sup>
        </m:sSup>
        <m:r>
          <w:rPr>
            <w:rFonts w:ascii="Cambria Math" w:hAnsi="Cambria Math"/>
          </w:rPr>
          <m:t>(</m:t>
        </m:r>
        <m:f>
          <m:fPr>
            <m:ctrlPr>
              <w:rPr>
                <w:rFonts w:ascii="Cambria Math" w:hAnsi="Cambria Math"/>
              </w:rPr>
            </m:ctrlPr>
          </m:fPr>
          <m:num>
            <m:sSup>
              <m:sSupPr>
                <m:ctrlPr>
                  <w:rPr>
                    <w:rFonts w:ascii="Cambria Math" w:hAnsi="Cambria Math"/>
                    <w:sz w:val="28"/>
                    <w:szCs w:val="28"/>
                  </w:rPr>
                </m:ctrlPr>
              </m:sSupPr>
              <m:e>
                <m:sSub>
                  <m:sSubPr>
                    <m:ctrlPr>
                      <w:rPr>
                        <w:rFonts w:ascii="Cambria Math" w:hAnsi="Cambria Math"/>
                        <w:sz w:val="28"/>
                        <w:szCs w:val="28"/>
                      </w:rPr>
                    </m:ctrlPr>
                  </m:sSubPr>
                  <m:e>
                    <m:r>
                      <w:rPr>
                        <w:rFonts w:ascii="Cambria Math" w:hAnsi="Cambria Math"/>
                        <w:sz w:val="28"/>
                        <w:szCs w:val="28"/>
                      </w:rPr>
                      <m:t>P</m:t>
                    </m:r>
                  </m:e>
                  <m:sub>
                    <m:r>
                      <w:rPr>
                        <w:rFonts w:ascii="Cambria Math" w:hAnsi="Cambria Math"/>
                        <w:sz w:val="28"/>
                        <w:szCs w:val="28"/>
                      </w:rPr>
                      <m:t>r</m:t>
                    </m:r>
                  </m:sub>
                </m:sSub>
              </m:e>
              <m:sup>
                <m:r>
                  <w:rPr>
                    <w:rFonts w:ascii="Cambria Math" w:hAnsi="Cambria Math"/>
                    <w:sz w:val="28"/>
                    <w:szCs w:val="28"/>
                  </w:rPr>
                  <m:t>s</m:t>
                </m:r>
              </m:sup>
            </m:sSup>
          </m:num>
          <m:den>
            <m:sSup>
              <m:sSupPr>
                <m:ctrlPr>
                  <w:rPr>
                    <w:rFonts w:ascii="Cambria Math" w:hAnsi="Cambria Math"/>
                    <w:sz w:val="28"/>
                    <w:szCs w:val="28"/>
                  </w:rPr>
                </m:ctrlPr>
              </m:sSupPr>
              <m:e>
                <m:sSub>
                  <m:sSubPr>
                    <m:ctrlPr>
                      <w:rPr>
                        <w:rFonts w:ascii="Cambria Math" w:hAnsi="Cambria Math"/>
                        <w:sz w:val="28"/>
                        <w:szCs w:val="28"/>
                      </w:rPr>
                    </m:ctrlPr>
                  </m:sSubPr>
                  <m:e>
                    <m:r>
                      <w:rPr>
                        <w:rFonts w:ascii="Cambria Math" w:hAnsi="Cambria Math"/>
                        <w:sz w:val="28"/>
                        <w:szCs w:val="28"/>
                      </w:rPr>
                      <m:t>P</m:t>
                    </m:r>
                  </m:e>
                  <m:sub>
                    <m:r>
                      <w:rPr>
                        <w:rFonts w:ascii="Cambria Math" w:hAnsi="Cambria Math"/>
                        <w:sz w:val="28"/>
                        <w:szCs w:val="28"/>
                      </w:rPr>
                      <m:t>b</m:t>
                    </m:r>
                  </m:sub>
                </m:sSub>
              </m:e>
              <m:sup>
                <m:r>
                  <w:rPr>
                    <w:rFonts w:ascii="Cambria Math" w:hAnsi="Cambria Math"/>
                    <w:sz w:val="28"/>
                    <w:szCs w:val="28"/>
                  </w:rPr>
                  <m:t>s</m:t>
                </m:r>
              </m:sup>
            </m:sSup>
          </m:den>
        </m:f>
        <m:sSup>
          <m:sSupPr>
            <m:ctrlPr>
              <w:rPr>
                <w:rFonts w:ascii="Cambria Math" w:hAnsi="Cambria Math"/>
              </w:rPr>
            </m:ctrlPr>
          </m:sSupPr>
          <m:e>
            <m:r>
              <w:rPr>
                <w:rFonts w:ascii="Cambria Math" w:hAnsi="Cambria Math"/>
              </w:rPr>
              <m:t>)</m:t>
            </m:r>
          </m:e>
          <m:sup>
            <m:r>
              <w:rPr>
                <w:rFonts w:ascii="Cambria Math" w:hAnsi="Cambria Math"/>
              </w:rPr>
              <m:t>η</m:t>
            </m:r>
          </m:sup>
        </m:sSup>
      </m:oMath>
      <w:r>
        <w:t xml:space="preserve"> where </w:t>
      </w:r>
      <m:oMath>
        <m:r>
          <w:rPr>
            <w:rFonts w:ascii="Cambria Math" w:hAnsi="Cambria Math"/>
          </w:rPr>
          <m:t>η</m:t>
        </m:r>
      </m:oMath>
      <w:r>
        <w:t xml:space="preserve"> is the price-elasticity of demand.</w:t>
      </w:r>
    </w:p>
    <w:p w:rsidR="00DC23FA" w:rsidRDefault="009C15B2">
      <w:pPr>
        <w:numPr>
          <w:ilvl w:val="0"/>
          <w:numId w:val="1"/>
        </w:numPr>
        <w:spacing w:after="0" w:line="276" w:lineRule="auto"/>
      </w:pPr>
      <w:r>
        <w:t>A second run (with elastic demand) computes the consumer surplus of each sector at each timestep, that is to say the area below the demand curve. The annual social surplus S(t) (</w:t>
      </w:r>
      <w:r>
        <w:rPr>
          <w:b/>
        </w:rPr>
        <w:t>Fig 3.1.3)</w:t>
      </w:r>
      <w:r>
        <w:t xml:space="preserve"> is the consumer surplus minus the production costs, </w:t>
      </w:r>
      <w:proofErr w:type="spellStart"/>
      <w:r>
        <w:t>i.e</w:t>
      </w:r>
      <w:proofErr w:type="spellEnd"/>
      <w:r>
        <w:t xml:space="preserve"> the area be</w:t>
      </w:r>
      <w:r>
        <w:t>low the supply curve:</w:t>
      </w:r>
    </w:p>
    <w:p w:rsidR="00DC23FA" w:rsidRDefault="00DC23FA">
      <w:pPr>
        <w:spacing w:after="0" w:line="276" w:lineRule="auto"/>
        <w:ind w:left="720"/>
      </w:pPr>
    </w:p>
    <w:p w:rsidR="00DC23FA" w:rsidRDefault="009C15B2">
      <w:pPr>
        <w:spacing w:after="0" w:line="276" w:lineRule="auto"/>
        <w:ind w:left="720"/>
      </w:pPr>
      <m:oMathPara>
        <m:oMath>
          <m:sSup>
            <m:sSupPr>
              <m:ctrlPr>
                <w:rPr>
                  <w:rFonts w:ascii="Cambria Math" w:hAnsi="Cambria Math"/>
                </w:rPr>
              </m:ctrlPr>
            </m:sSupPr>
            <m:e>
              <m:r>
                <w:rPr>
                  <w:rFonts w:ascii="Cambria Math" w:hAnsi="Cambria Math"/>
                </w:rPr>
                <m:t>S</m:t>
              </m:r>
              <m:r>
                <w:rPr>
                  <w:rFonts w:ascii="Cambria Math" w:hAnsi="Cambria Math"/>
                </w:rPr>
                <m:t>(</m:t>
              </m:r>
              <m:r>
                <w:rPr>
                  <w:rFonts w:ascii="Cambria Math" w:hAnsi="Cambria Math"/>
                </w:rPr>
                <m:t>t</m:t>
              </m:r>
              <m:r>
                <w:rPr>
                  <w:rFonts w:ascii="Cambria Math" w:hAnsi="Cambria Math"/>
                </w:rPr>
                <m:t>)</m:t>
              </m:r>
            </m:e>
            <m:sup/>
          </m:sSup>
          <m:r>
            <w:rPr>
              <w:rFonts w:ascii="Cambria Math" w:hAnsi="Cambria Math"/>
            </w:rPr>
            <m:t>=</m:t>
          </m:r>
          <m:nary>
            <m:naryPr>
              <m:chr m:val="∑"/>
              <m:ctrlPr>
                <w:rPr>
                  <w:rFonts w:ascii="Cambria Math" w:hAnsi="Cambria Math"/>
                </w:rPr>
              </m:ctrlPr>
            </m:naryPr>
            <m:sub>
              <m:r>
                <w:rPr>
                  <w:rFonts w:ascii="Cambria Math" w:hAnsi="Cambria Math"/>
                </w:rPr>
                <m:t>sectors</m:t>
              </m:r>
            </m:sub>
            <m:sup/>
            <m:e/>
          </m:nary>
          <m:r>
            <w:rPr>
              <w:rFonts w:ascii="Cambria Math" w:hAnsi="Cambria Math"/>
            </w:rPr>
            <m:t>[(</m:t>
          </m:r>
          <m:f>
            <m:fPr>
              <m:ctrlPr>
                <w:rPr>
                  <w:rFonts w:ascii="Cambria Math" w:hAnsi="Cambria Math"/>
                </w:rPr>
              </m:ctrlPr>
            </m:fPr>
            <m:num>
              <m:sSup>
                <m:sSupPr>
                  <m:ctrlPr>
                    <w:rPr>
                      <w:rFonts w:ascii="Cambria Math" w:hAnsi="Cambria Math"/>
                    </w:rPr>
                  </m:ctrlPr>
                </m:sSupPr>
                <m:e>
                  <m:sSub>
                    <m:sSubPr>
                      <m:ctrlPr>
                        <w:rPr>
                          <w:rFonts w:ascii="Cambria Math" w:hAnsi="Cambria Math"/>
                        </w:rPr>
                      </m:ctrlPr>
                    </m:sSubPr>
                    <m:e>
                      <m:r>
                        <w:rPr>
                          <w:rFonts w:ascii="Cambria Math" w:hAnsi="Cambria Math"/>
                        </w:rPr>
                        <m:t>Q</m:t>
                      </m:r>
                    </m:e>
                    <m:sub>
                      <m:r>
                        <w:rPr>
                          <w:rFonts w:ascii="Cambria Math" w:hAnsi="Cambria Math"/>
                        </w:rPr>
                        <m:t>r</m:t>
                      </m:r>
                    </m:sub>
                  </m:sSub>
                </m:e>
                <m:sup>
                  <m:r>
                    <w:rPr>
                      <w:rFonts w:ascii="Cambria Math" w:hAnsi="Cambria Math"/>
                    </w:rPr>
                    <m:t>s</m:t>
                  </m:r>
                  <m:r>
                    <w:rPr>
                      <w:rFonts w:ascii="Cambria Math" w:hAnsi="Cambria Math"/>
                    </w:rPr>
                    <m:t xml:space="preserve"> </m:t>
                  </m:r>
                </m:sup>
              </m:sSup>
              <m:r>
                <w:rPr>
                  <w:rFonts w:ascii="Cambria Math" w:hAnsi="Cambria Math"/>
                </w:rPr>
                <m:t>(</m:t>
              </m:r>
              <m:r>
                <w:rPr>
                  <w:rFonts w:ascii="Cambria Math" w:hAnsi="Cambria Math"/>
                </w:rPr>
                <m:t>t</m:t>
              </m:r>
              <m:r>
                <w:rPr>
                  <w:rFonts w:ascii="Cambria Math" w:hAnsi="Cambria Math"/>
                </w:rPr>
                <m:t>)</m:t>
              </m:r>
            </m:num>
            <m:den>
              <m:sSup>
                <m:sSupPr>
                  <m:ctrlPr>
                    <w:rPr>
                      <w:rFonts w:ascii="Cambria Math" w:hAnsi="Cambria Math"/>
                    </w:rPr>
                  </m:ctrlPr>
                </m:sSupPr>
                <m:e>
                  <m:sSub>
                    <m:sSubPr>
                      <m:ctrlPr>
                        <w:rPr>
                          <w:rFonts w:ascii="Cambria Math" w:hAnsi="Cambria Math"/>
                        </w:rPr>
                      </m:ctrlPr>
                    </m:sSubPr>
                    <m:e>
                      <m:r>
                        <w:rPr>
                          <w:rFonts w:ascii="Cambria Math" w:hAnsi="Cambria Math"/>
                        </w:rPr>
                        <m:t>Q</m:t>
                      </m:r>
                    </m:e>
                    <m:sub>
                      <m:r>
                        <w:rPr>
                          <w:rFonts w:ascii="Cambria Math" w:hAnsi="Cambria Math"/>
                        </w:rPr>
                        <m:t>b</m:t>
                      </m:r>
                    </m:sub>
                  </m:sSub>
                </m:e>
                <m:sup>
                  <m:r>
                    <w:rPr>
                      <w:rFonts w:ascii="Cambria Math" w:hAnsi="Cambria Math"/>
                    </w:rPr>
                    <m:t>s</m:t>
                  </m:r>
                </m:sup>
              </m:sSup>
              <m:r>
                <w:rPr>
                  <w:rFonts w:ascii="Cambria Math" w:hAnsi="Cambria Math"/>
                </w:rPr>
                <m:t>(</m:t>
              </m:r>
              <m:r>
                <w:rPr>
                  <w:rFonts w:ascii="Cambria Math" w:hAnsi="Cambria Math"/>
                </w:rPr>
                <m:t>t</m:t>
              </m:r>
              <m:r>
                <w:rPr>
                  <w:rFonts w:ascii="Cambria Math" w:hAnsi="Cambria Math"/>
                </w:rPr>
                <m:t>)</m:t>
              </m:r>
            </m:den>
          </m:f>
          <m:sSup>
            <m:sSupPr>
              <m:ctrlPr>
                <w:rPr>
                  <w:rFonts w:ascii="Cambria Math" w:hAnsi="Cambria Math"/>
                </w:rPr>
              </m:ctrlPr>
            </m:sSupPr>
            <m:e>
              <m:r>
                <w:rPr>
                  <w:rFonts w:ascii="Cambria Math" w:hAnsi="Cambria Math"/>
                </w:rPr>
                <m:t>)</m:t>
              </m:r>
            </m:e>
            <m:sup>
              <m:f>
                <m:fPr>
                  <m:ctrlPr>
                    <w:rPr>
                      <w:rFonts w:ascii="Cambria Math" w:hAnsi="Cambria Math"/>
                    </w:rPr>
                  </m:ctrlPr>
                </m:fPr>
                <m:num>
                  <m:r>
                    <w:rPr>
                      <w:rFonts w:ascii="Cambria Math" w:hAnsi="Cambria Math"/>
                    </w:rPr>
                    <m:t>1</m:t>
                  </m:r>
                </m:num>
                <m:den>
                  <m:sSub>
                    <m:sSubPr>
                      <m:ctrlPr>
                        <w:rPr>
                          <w:rFonts w:ascii="Cambria Math" w:hAnsi="Cambria Math"/>
                        </w:rPr>
                      </m:ctrlPr>
                    </m:sSubPr>
                    <m:e>
                      <m:r>
                        <w:rPr>
                          <w:rFonts w:ascii="Cambria Math" w:hAnsi="Cambria Math"/>
                        </w:rPr>
                        <m:t>η</m:t>
                      </m:r>
                    </m:e>
                    <m:sub>
                      <m:r>
                        <w:rPr>
                          <w:rFonts w:ascii="Cambria Math" w:hAnsi="Cambria Math"/>
                        </w:rPr>
                        <m:t>s</m:t>
                      </m:r>
                    </m:sub>
                  </m:sSub>
                </m:den>
              </m:f>
            </m:sup>
          </m:sSup>
          <m:r>
            <w:rPr>
              <w:rFonts w:ascii="Cambria Math" w:hAnsi="Cambria Math"/>
            </w:rPr>
            <m:t xml:space="preserve"> </m:t>
          </m:r>
          <m:f>
            <m:fPr>
              <m:ctrlPr>
                <w:rPr>
                  <w:rFonts w:ascii="Cambria Math" w:hAnsi="Cambria Math"/>
                  <w:sz w:val="28"/>
                  <w:szCs w:val="28"/>
                </w:rPr>
              </m:ctrlPr>
            </m:fPr>
            <m:num>
              <m:sSup>
                <m:sSupPr>
                  <m:ctrlPr>
                    <w:rPr>
                      <w:rFonts w:ascii="Cambria Math" w:hAnsi="Cambria Math"/>
                      <w:sz w:val="28"/>
                      <w:szCs w:val="28"/>
                    </w:rPr>
                  </m:ctrlPr>
                </m:sSupPr>
                <m:e>
                  <m:sSub>
                    <m:sSubPr>
                      <m:ctrlPr>
                        <w:rPr>
                          <w:rFonts w:ascii="Cambria Math" w:hAnsi="Cambria Math"/>
                          <w:sz w:val="28"/>
                          <w:szCs w:val="28"/>
                        </w:rPr>
                      </m:ctrlPr>
                    </m:sSubPr>
                    <m:e>
                      <m:r>
                        <w:rPr>
                          <w:rFonts w:ascii="Cambria Math" w:hAnsi="Cambria Math"/>
                          <w:sz w:val="28"/>
                          <w:szCs w:val="28"/>
                        </w:rPr>
                        <m:t>P</m:t>
                      </m:r>
                    </m:e>
                    <m:sub>
                      <m:r>
                        <w:rPr>
                          <w:rFonts w:ascii="Cambria Math" w:hAnsi="Cambria Math"/>
                          <w:sz w:val="28"/>
                          <w:szCs w:val="28"/>
                        </w:rPr>
                        <m:t>b</m:t>
                      </m:r>
                    </m:sub>
                  </m:sSub>
                </m:e>
                <m:sup>
                  <m:r>
                    <w:rPr>
                      <w:rFonts w:ascii="Cambria Math" w:hAnsi="Cambria Math"/>
                      <w:sz w:val="28"/>
                      <w:szCs w:val="28"/>
                    </w:rPr>
                    <m:t>s</m:t>
                  </m:r>
                </m:sup>
              </m:sSup>
              <m:r>
                <w:rPr>
                  <w:rFonts w:ascii="Cambria Math" w:hAnsi="Cambria Math"/>
                  <w:sz w:val="28"/>
                  <w:szCs w:val="28"/>
                </w:rPr>
                <m:t>(</m:t>
              </m:r>
              <m:r>
                <w:rPr>
                  <w:rFonts w:ascii="Cambria Math" w:hAnsi="Cambria Math"/>
                  <w:sz w:val="28"/>
                  <w:szCs w:val="28"/>
                </w:rPr>
                <m:t>t</m:t>
              </m:r>
              <m:r>
                <w:rPr>
                  <w:rFonts w:ascii="Cambria Math" w:hAnsi="Cambria Math"/>
                  <w:sz w:val="28"/>
                  <w:szCs w:val="28"/>
                </w:rPr>
                <m:t>)</m:t>
              </m:r>
            </m:num>
            <m:den>
              <m:f>
                <m:fPr>
                  <m:ctrlPr>
                    <w:rPr>
                      <w:rFonts w:ascii="Cambria Math" w:hAnsi="Cambria Math"/>
                      <w:sz w:val="28"/>
                      <w:szCs w:val="28"/>
                    </w:rPr>
                  </m:ctrlPr>
                </m:fPr>
                <m:num>
                  <m:r>
                    <w:rPr>
                      <w:rFonts w:ascii="Cambria Math" w:hAnsi="Cambria Math"/>
                      <w:sz w:val="28"/>
                      <w:szCs w:val="28"/>
                    </w:rPr>
                    <m:t>1</m:t>
                  </m:r>
                </m:num>
                <m:den>
                  <m:sSub>
                    <m:sSubPr>
                      <m:ctrlPr>
                        <w:rPr>
                          <w:rFonts w:ascii="Cambria Math" w:hAnsi="Cambria Math"/>
                          <w:sz w:val="28"/>
                          <w:szCs w:val="28"/>
                        </w:rPr>
                      </m:ctrlPr>
                    </m:sSubPr>
                    <m:e>
                      <m:r>
                        <w:rPr>
                          <w:rFonts w:ascii="Cambria Math" w:hAnsi="Cambria Math"/>
                          <w:sz w:val="28"/>
                          <w:szCs w:val="28"/>
                        </w:rPr>
                        <m:t>η</m:t>
                      </m:r>
                    </m:e>
                    <m:sub>
                      <m:r>
                        <w:rPr>
                          <w:rFonts w:ascii="Cambria Math" w:hAnsi="Cambria Math"/>
                          <w:sz w:val="28"/>
                          <w:szCs w:val="28"/>
                        </w:rPr>
                        <m:t>s</m:t>
                      </m:r>
                    </m:sub>
                  </m:sSub>
                </m:den>
              </m:f>
              <m:r>
                <w:rPr>
                  <w:rFonts w:ascii="Cambria Math" w:hAnsi="Cambria Math"/>
                  <w:sz w:val="28"/>
                  <w:szCs w:val="28"/>
                </w:rPr>
                <m:t>+1</m:t>
              </m:r>
            </m:den>
          </m:f>
          <m:sSup>
            <m:sSupPr>
              <m:ctrlPr>
                <w:rPr>
                  <w:rFonts w:ascii="Cambria Math" w:hAnsi="Cambria Math"/>
                </w:rPr>
              </m:ctrlPr>
            </m:sSupPr>
            <m:e>
              <m:sSup>
                <m:sSupPr>
                  <m:ctrlPr>
                    <w:rPr>
                      <w:rFonts w:ascii="Cambria Math" w:hAnsi="Cambria Math"/>
                    </w:rPr>
                  </m:ctrlPr>
                </m:sSupPr>
                <m:e>
                  <m:sSub>
                    <m:sSubPr>
                      <m:ctrlPr>
                        <w:rPr>
                          <w:rFonts w:ascii="Cambria Math" w:hAnsi="Cambria Math"/>
                        </w:rPr>
                      </m:ctrlPr>
                    </m:sSubPr>
                    <m:e>
                      <m:r>
                        <w:rPr>
                          <w:rFonts w:ascii="Cambria Math" w:hAnsi="Cambria Math"/>
                        </w:rPr>
                        <m:t>Q</m:t>
                      </m:r>
                    </m:e>
                    <m:sub>
                      <m:r>
                        <w:rPr>
                          <w:rFonts w:ascii="Cambria Math" w:hAnsi="Cambria Math"/>
                        </w:rPr>
                        <m:t>r</m:t>
                      </m:r>
                    </m:sub>
                  </m:sSub>
                </m:e>
                <m:sup>
                  <m:r>
                    <w:rPr>
                      <w:rFonts w:ascii="Cambria Math" w:hAnsi="Cambria Math"/>
                    </w:rPr>
                    <m:t>s</m:t>
                  </m:r>
                </m:sup>
              </m:sSup>
              <m:r>
                <w:rPr>
                  <w:rFonts w:ascii="Cambria Math" w:hAnsi="Cambria Math"/>
                </w:rPr>
                <m:t>(</m:t>
              </m:r>
              <m:r>
                <w:rPr>
                  <w:rFonts w:ascii="Cambria Math" w:hAnsi="Cambria Math"/>
                </w:rPr>
                <m:t>t</m:t>
              </m:r>
              <m:r>
                <w:rPr>
                  <w:rFonts w:ascii="Cambria Math" w:hAnsi="Cambria Math"/>
                </w:rPr>
                <m:t>)]-</m:t>
              </m:r>
              <m:r>
                <w:rPr>
                  <w:rFonts w:ascii="Cambria Math" w:hAnsi="Cambria Math"/>
                </w:rPr>
                <m:t>C</m:t>
              </m:r>
              <m:r>
                <w:rPr>
                  <w:rFonts w:ascii="Cambria Math" w:hAnsi="Cambria Math"/>
                </w:rPr>
                <m:t>(</m:t>
              </m:r>
              <m:r>
                <w:rPr>
                  <w:rFonts w:ascii="Cambria Math" w:hAnsi="Cambria Math"/>
                </w:rPr>
                <m:t>t</m:t>
              </m:r>
              <m:r>
                <w:rPr>
                  <w:rFonts w:ascii="Cambria Math" w:hAnsi="Cambria Math"/>
                </w:rPr>
                <m:t>)</m:t>
              </m:r>
            </m:e>
            <m:sup/>
          </m:sSup>
        </m:oMath>
      </m:oMathPara>
    </w:p>
    <w:p w:rsidR="00DC23FA" w:rsidRDefault="009C15B2">
      <w:pPr>
        <w:spacing w:after="0" w:line="276" w:lineRule="auto"/>
        <w:ind w:left="720"/>
      </w:pPr>
      <w:r>
        <w:t xml:space="preserve">The solver maximises the discounted sum </w:t>
      </w:r>
      <w:proofErr w:type="spellStart"/>
      <w:r>
        <w:rPr>
          <w:i/>
        </w:rPr>
        <w:t>O</w:t>
      </w:r>
      <w:r>
        <w:rPr>
          <w:i/>
          <w:vertAlign w:val="subscript"/>
        </w:rPr>
        <w:t>reactive</w:t>
      </w:r>
      <w:proofErr w:type="spellEnd"/>
      <w:r>
        <w:t xml:space="preserve"> of the annual social surplus between 2020 and 2150.</w:t>
      </w:r>
    </w:p>
    <w:p w:rsidR="00DC23FA" w:rsidRDefault="009C15B2">
      <w:pPr>
        <w:spacing w:after="0" w:line="276" w:lineRule="auto"/>
        <w:ind w:left="720"/>
      </w:pPr>
      <m:oMath>
        <m:sSub>
          <m:sSubPr>
            <m:ctrlPr>
              <w:rPr>
                <w:rFonts w:ascii="Cambria Math" w:hAnsi="Cambria Math"/>
              </w:rPr>
            </m:ctrlPr>
          </m:sSubPr>
          <m:e>
            <m:r>
              <w:rPr>
                <w:rFonts w:ascii="Cambria Math" w:hAnsi="Cambria Math"/>
              </w:rPr>
              <m:t>O</m:t>
            </m:r>
          </m:e>
          <m:sub>
            <m:r>
              <w:rPr>
                <w:rFonts w:ascii="Cambria Math" w:hAnsi="Cambria Math"/>
              </w:rPr>
              <m:t>elast</m:t>
            </m:r>
          </m:sub>
        </m:sSub>
        <m:r>
          <w:rPr>
            <w:rFonts w:ascii="Cambria Math" w:hAnsi="Cambria Math"/>
          </w:rPr>
          <m:t xml:space="preserve">= </m:t>
        </m:r>
        <m:nary>
          <m:naryPr>
            <m:chr m:val="∑"/>
            <m:ctrlPr>
              <w:rPr>
                <w:rFonts w:ascii="Cambria Math" w:hAnsi="Cambria Math"/>
              </w:rPr>
            </m:ctrlPr>
          </m:naryPr>
          <m:sub>
            <m:r>
              <w:rPr>
                <w:rFonts w:ascii="Cambria Math" w:hAnsi="Cambria Math"/>
              </w:rPr>
              <m:t>t</m:t>
            </m:r>
          </m:sub>
          <m:sup/>
          <m:e/>
        </m:nary>
        <m:r>
          <w:rPr>
            <w:rFonts w:ascii="Cambria Math" w:hAnsi="Cambria Math"/>
          </w:rPr>
          <m:t>S</m:t>
        </m:r>
        <m:r>
          <w:rPr>
            <w:rFonts w:ascii="Cambria Math" w:hAnsi="Cambria Math"/>
          </w:rPr>
          <m:t>(</m:t>
        </m:r>
        <m:r>
          <w:rPr>
            <w:rFonts w:ascii="Cambria Math" w:hAnsi="Cambria Math"/>
          </w:rPr>
          <m:t>t</m:t>
        </m:r>
        <m:r>
          <w:rPr>
            <w:rFonts w:ascii="Cambria Math" w:hAnsi="Cambria Math"/>
          </w:rPr>
          <m:t>)</m:t>
        </m:r>
        <m:sSup>
          <m:sSupPr>
            <m:ctrlPr>
              <w:rPr>
                <w:rFonts w:ascii="Cambria Math" w:hAnsi="Cambria Math"/>
              </w:rPr>
            </m:ctrlPr>
          </m:sSupPr>
          <m:e>
            <m:r>
              <w:rPr>
                <w:rFonts w:ascii="Cambria Math" w:hAnsi="Cambria Math"/>
              </w:rPr>
              <m:t>ρ</m:t>
            </m:r>
          </m:e>
          <m:sup>
            <m:r>
              <w:rPr>
                <w:rFonts w:ascii="Cambria Math" w:hAnsi="Cambria Math"/>
              </w:rPr>
              <m:t>-</m:t>
            </m:r>
            <m:r>
              <w:rPr>
                <w:rFonts w:ascii="Cambria Math" w:hAnsi="Cambria Math"/>
              </w:rPr>
              <m:t>(</m:t>
            </m:r>
            <m:r>
              <w:rPr>
                <w:rFonts w:ascii="Cambria Math" w:hAnsi="Cambria Math"/>
              </w:rPr>
              <m:t>t</m:t>
            </m:r>
            <m: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0</m:t>
                </m:r>
              </m:sub>
            </m:sSub>
            <m:r>
              <w:rPr>
                <w:rFonts w:ascii="Cambria Math" w:hAnsi="Cambria Math"/>
              </w:rPr>
              <m:t>)</m:t>
            </m:r>
          </m:sup>
        </m:sSup>
      </m:oMath>
      <w:r>
        <w:t xml:space="preserve"> where </w:t>
      </w:r>
      <m:oMath>
        <m:r>
          <w:rPr>
            <w:rFonts w:ascii="Cambria Math" w:hAnsi="Cambria Math"/>
          </w:rPr>
          <m:t>ρ</m:t>
        </m:r>
        <m:r>
          <w:rPr>
            <w:rFonts w:ascii="Cambria Math" w:hAnsi="Cambria Math"/>
          </w:rPr>
          <m:t>=1</m:t>
        </m:r>
        <m:r>
          <w:rPr>
            <w:rFonts w:ascii="Cambria Math" w:hAnsi="Cambria Math"/>
          </w:rPr>
          <m:t>.05</m:t>
        </m:r>
      </m:oMath>
    </w:p>
    <w:p w:rsidR="00DC23FA" w:rsidRDefault="00DC23FA">
      <w:pPr>
        <w:spacing w:after="0" w:line="276" w:lineRule="auto"/>
      </w:pPr>
    </w:p>
    <w:p w:rsidR="00DC23FA" w:rsidRDefault="009C15B2">
      <w:pPr>
        <w:rPr>
          <w:sz w:val="18"/>
          <w:szCs w:val="18"/>
        </w:rPr>
      </w:pPr>
      <w:r>
        <w:rPr>
          <w:noProof/>
          <w:sz w:val="18"/>
          <w:szCs w:val="18"/>
        </w:rPr>
        <w:drawing>
          <wp:inline distT="114300" distB="114300" distL="114300" distR="114300">
            <wp:extent cx="5760410" cy="1943100"/>
            <wp:effectExtent l="0" t="0" r="0" b="0"/>
            <wp:docPr id="16"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72"/>
                    <a:srcRect l="60" r="60"/>
                    <a:stretch>
                      <a:fillRect/>
                    </a:stretch>
                  </pic:blipFill>
                  <pic:spPr>
                    <a:xfrm>
                      <a:off x="0" y="0"/>
                      <a:ext cx="5760410" cy="1943100"/>
                    </a:xfrm>
                    <a:prstGeom prst="rect">
                      <a:avLst/>
                    </a:prstGeom>
                    <a:ln/>
                  </pic:spPr>
                </pic:pic>
              </a:graphicData>
            </a:graphic>
          </wp:inline>
        </w:drawing>
      </w:r>
    </w:p>
    <w:p w:rsidR="00DC23FA" w:rsidRDefault="009C15B2">
      <w:r>
        <w:rPr>
          <w:b/>
          <w:sz w:val="18"/>
          <w:szCs w:val="18"/>
        </w:rPr>
        <w:t>Fig 3.1.3 Annual median mitigation costs in GET-ACC2</w:t>
      </w:r>
      <w:r>
        <w:rPr>
          <w:sz w:val="18"/>
          <w:szCs w:val="18"/>
        </w:rPr>
        <w:t xml:space="preserve"> (discount rate = 5%). The dotted lines show the 25-75% range.</w:t>
      </w:r>
    </w:p>
    <w:p w:rsidR="00DC23FA" w:rsidRDefault="009C15B2">
      <w:pPr>
        <w:rPr>
          <w:sz w:val="18"/>
          <w:szCs w:val="18"/>
        </w:rPr>
      </w:pPr>
      <w:r>
        <w:rPr>
          <w:noProof/>
          <w:sz w:val="18"/>
          <w:szCs w:val="18"/>
        </w:rPr>
        <w:lastRenderedPageBreak/>
        <w:drawing>
          <wp:inline distT="114300" distB="114300" distL="114300" distR="114300">
            <wp:extent cx="5760410" cy="1943100"/>
            <wp:effectExtent l="0" t="0" r="0" b="0"/>
            <wp:docPr id="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3"/>
                    <a:srcRect l="60" r="60"/>
                    <a:stretch>
                      <a:fillRect/>
                    </a:stretch>
                  </pic:blipFill>
                  <pic:spPr>
                    <a:xfrm>
                      <a:off x="0" y="0"/>
                      <a:ext cx="5760410" cy="1943100"/>
                    </a:xfrm>
                    <a:prstGeom prst="rect">
                      <a:avLst/>
                    </a:prstGeom>
                    <a:ln/>
                  </pic:spPr>
                </pic:pic>
              </a:graphicData>
            </a:graphic>
          </wp:inline>
        </w:drawing>
      </w:r>
    </w:p>
    <w:p w:rsidR="00DC23FA" w:rsidRDefault="009C15B2">
      <w:r>
        <w:rPr>
          <w:b/>
          <w:sz w:val="18"/>
          <w:szCs w:val="18"/>
        </w:rPr>
        <w:t>Fig 3.1.3 Annual median mitigation costs in GET-ACC2</w:t>
      </w:r>
      <w:r>
        <w:rPr>
          <w:sz w:val="18"/>
          <w:szCs w:val="18"/>
        </w:rPr>
        <w:t xml:space="preserve"> with discount rate =2% per year. The dotted lines show the 25-75% range.</w:t>
      </w:r>
    </w:p>
    <w:p w:rsidR="00DC23FA" w:rsidRDefault="009C15B2">
      <w:pPr>
        <w:pStyle w:val="Titre3"/>
      </w:pPr>
      <w:bookmarkStart w:id="39" w:name="_jl5uzs3kt7fi" w:colFirst="0" w:colLast="0"/>
      <w:bookmarkEnd w:id="39"/>
      <w:r>
        <w:t>3.2 Ma</w:t>
      </w:r>
      <w:r>
        <w:t>jor updates on GET</w:t>
      </w:r>
    </w:p>
    <w:p w:rsidR="00DC23FA" w:rsidRDefault="00DC23FA"/>
    <w:p w:rsidR="00DC23FA" w:rsidRDefault="009C15B2">
      <w:pPr>
        <w:pStyle w:val="Titre4"/>
      </w:pPr>
      <w:bookmarkStart w:id="40" w:name="_bj346b85ot3p" w:colFirst="0" w:colLast="0"/>
      <w:bookmarkEnd w:id="40"/>
      <w:r>
        <w:t>3.2.1 Fossil fuel supply curves</w:t>
      </w:r>
    </w:p>
    <w:p w:rsidR="00DC23FA" w:rsidRDefault="009C15B2">
      <w:r>
        <w:t>The version GET7.0 assumed a constant cost for fossil fuel extraction. The GET7.1 includes fossil fuels supply curves that represent how costs increase as resources are depleted. These supply curves are d</w:t>
      </w:r>
      <w:r>
        <w:t>erived from the TIAM-UCL model</w:t>
      </w:r>
      <w:hyperlink r:id="rId74">
        <w:r>
          <w:rPr>
            <w:vertAlign w:val="superscript"/>
          </w:rPr>
          <w:t>31</w:t>
        </w:r>
      </w:hyperlink>
      <w:r>
        <w:t>.</w:t>
      </w:r>
    </w:p>
    <w:p w:rsidR="00DC23FA" w:rsidRDefault="009C15B2">
      <w:pPr>
        <w:pStyle w:val="Titre4"/>
      </w:pPr>
      <w:bookmarkStart w:id="41" w:name="_4xi72iurk6mk" w:colFirst="0" w:colLast="0"/>
      <w:bookmarkEnd w:id="41"/>
      <w:r>
        <w:t>3.2.2 Biomass supply curve</w:t>
      </w:r>
    </w:p>
    <w:p w:rsidR="00DC23FA" w:rsidRDefault="009C15B2">
      <w:r>
        <w:t>The version GET7.0 assumed a constant cost for bioenergy supply. The GET7.1 model does not model land use, but represents the increas</w:t>
      </w:r>
      <w:r>
        <w:t>ing marginal costs of bioenergy supply. We use an idealised supply curve based on the one computed with the IMAGE3.0</w:t>
      </w:r>
      <w:hyperlink r:id="rId75">
        <w:r>
          <w:rPr>
            <w:vertAlign w:val="superscript"/>
          </w:rPr>
          <w:t>32</w:t>
        </w:r>
      </w:hyperlink>
      <w:r>
        <w:t xml:space="preserve"> model (fig. 6 of ref </w:t>
      </w:r>
      <w:hyperlink r:id="rId76">
        <w:r>
          <w:rPr>
            <w:vertAlign w:val="superscript"/>
          </w:rPr>
          <w:t>32</w:t>
        </w:r>
      </w:hyperlink>
      <w:r>
        <w:t xml:space="preserve">). We assume that the supply curve follows the </w:t>
      </w:r>
      <w:proofErr w:type="gramStart"/>
      <w:r>
        <w:t>equation :</w:t>
      </w:r>
      <w:proofErr w:type="gramEnd"/>
      <w:r>
        <w:rPr>
          <w:i/>
        </w:rPr>
        <w:t xml:space="preserve"> P = </w:t>
      </w:r>
      <w:proofErr w:type="spellStart"/>
      <w:r>
        <w:rPr>
          <w:i/>
        </w:rPr>
        <w:t>P</w:t>
      </w:r>
      <w:r>
        <w:rPr>
          <w:i/>
          <w:vertAlign w:val="subscript"/>
        </w:rPr>
        <w:t>max</w:t>
      </w:r>
      <w:proofErr w:type="spellEnd"/>
      <w:r>
        <w:rPr>
          <w:i/>
          <w:vertAlign w:val="subscript"/>
        </w:rPr>
        <w:t xml:space="preserve"> </w:t>
      </w:r>
      <w:r>
        <w:rPr>
          <w:i/>
        </w:rPr>
        <w:t>Q</w:t>
      </w:r>
      <w:r>
        <w:rPr>
          <w:i/>
          <w:vertAlign w:val="superscript"/>
        </w:rPr>
        <w:t>4</w:t>
      </w:r>
      <w:r>
        <w:rPr>
          <w:i/>
        </w:rPr>
        <w:t xml:space="preserve"> /Q</w:t>
      </w:r>
      <w:r>
        <w:rPr>
          <w:i/>
          <w:vertAlign w:val="subscript"/>
        </w:rPr>
        <w:t>max</w:t>
      </w:r>
      <w:r>
        <w:rPr>
          <w:i/>
          <w:vertAlign w:val="superscript"/>
        </w:rPr>
        <w:t>4</w:t>
      </w:r>
      <w:r>
        <w:rPr>
          <w:i/>
        </w:rPr>
        <w:t>+b,</w:t>
      </w:r>
      <w:r>
        <w:t xml:space="preserve"> where </w:t>
      </w:r>
      <w:r>
        <w:rPr>
          <w:i/>
        </w:rPr>
        <w:t>b</w:t>
      </w:r>
      <w:r>
        <w:t xml:space="preserve"> is the initial bioenergy price, </w:t>
      </w:r>
      <w:proofErr w:type="spellStart"/>
      <w:r>
        <w:rPr>
          <w:i/>
        </w:rPr>
        <w:t>P</w:t>
      </w:r>
      <w:r>
        <w:rPr>
          <w:i/>
          <w:vertAlign w:val="subscript"/>
        </w:rPr>
        <w:t>max</w:t>
      </w:r>
      <w:proofErr w:type="spellEnd"/>
      <w:r>
        <w:t xml:space="preserve"> =15$2005/GJ, and </w:t>
      </w:r>
      <w:proofErr w:type="spellStart"/>
      <w:r>
        <w:t>Q</w:t>
      </w:r>
      <w:r>
        <w:rPr>
          <w:vertAlign w:val="subscript"/>
        </w:rPr>
        <w:t>max</w:t>
      </w:r>
      <w:proofErr w:type="spellEnd"/>
      <w:r>
        <w:t xml:space="preserve"> is the assumed maximum bioenergy supply potential (between 160 and 260 EJ/year). This simple supply curve generally underestimates the biomass supply cost compared to the original data, but it remains an improvement compared to the initial static cost par</w:t>
      </w:r>
      <w:r>
        <w:t>ameterization.</w:t>
      </w:r>
    </w:p>
    <w:p w:rsidR="00DC23FA" w:rsidRDefault="009C15B2">
      <w:pPr>
        <w:pStyle w:val="Titre4"/>
      </w:pPr>
      <w:bookmarkStart w:id="42" w:name="_qmmp9apicr4f" w:colFirst="0" w:colLast="0"/>
      <w:bookmarkEnd w:id="42"/>
      <w:r>
        <w:t>3.2.3 Methane and Nitrous oxide abatement</w:t>
      </w:r>
    </w:p>
    <w:p w:rsidR="00DC23FA" w:rsidRDefault="009C15B2">
      <w:r>
        <w:t>New abatement cost curves to reduce methane and nitrous oxide emissions are implemented. There are 4 source-dependent abatement cost curves for methane (for coal, oil, natural gas and non-energy emis</w:t>
      </w:r>
      <w:r>
        <w:t>sions), and one for N</w:t>
      </w:r>
      <w:r>
        <w:rPr>
          <w:vertAlign w:val="subscript"/>
        </w:rPr>
        <w:t>2</w:t>
      </w:r>
      <w:r>
        <w:t>O. They were derived from ref.</w:t>
      </w:r>
      <w:hyperlink r:id="rId77">
        <w:r>
          <w:rPr>
            <w:vertAlign w:val="superscript"/>
          </w:rPr>
          <w:t>33</w:t>
        </w:r>
      </w:hyperlink>
      <w:r>
        <w:t xml:space="preserve"> </w:t>
      </w:r>
    </w:p>
    <w:p w:rsidR="00DC23FA" w:rsidRDefault="009C15B2">
      <w:pPr>
        <w:pStyle w:val="Titre4"/>
      </w:pPr>
      <w:bookmarkStart w:id="43" w:name="_83wngqojfkg6" w:colFirst="0" w:colLast="0"/>
      <w:bookmarkEnd w:id="43"/>
      <w:r>
        <w:t>3.2.4 Parameters updates</w:t>
      </w:r>
    </w:p>
    <w:p w:rsidR="00DC23FA" w:rsidRDefault="009C15B2">
      <w:r>
        <w:t>As solar panels, wind turbines and batteries costs have declined, the capital costs in GET7.1 are different from those in GET7.0. Electricity generation costs are based on the data from EIA, NREL, IRENA</w:t>
      </w:r>
      <w:hyperlink r:id="rId78">
        <w:r>
          <w:rPr>
            <w:vertAlign w:val="superscript"/>
          </w:rPr>
          <w:t>34–36</w:t>
        </w:r>
      </w:hyperlink>
      <w:r>
        <w:t>, while H2 and MeOH generation costs are based on the REMIND model</w:t>
      </w:r>
      <w:hyperlink r:id="rId79">
        <w:r>
          <w:rPr>
            <w:vertAlign w:val="superscript"/>
          </w:rPr>
          <w:t>37</w:t>
        </w:r>
      </w:hyperlink>
      <w:r>
        <w:t>. The electric vehicles and plug-in hybrid electric vehicles are also cheaper, as we assume a battery cost of 100</w:t>
      </w:r>
      <w:r>
        <w:t>$/kWh.</w:t>
      </w:r>
    </w:p>
    <w:p w:rsidR="00DC23FA" w:rsidRDefault="009C15B2">
      <w:r>
        <w:t>The total CO2 storage reserves were extended to 3000 GtCO</w:t>
      </w:r>
      <w:r>
        <w:rPr>
          <w:vertAlign w:val="subscript"/>
        </w:rPr>
        <w:t>2</w:t>
      </w:r>
      <w:r>
        <w:t>. A maximum annual injection rate of 0.5% of storage reserves was added, following ref.</w:t>
      </w:r>
      <w:hyperlink r:id="rId80">
        <w:r>
          <w:rPr>
            <w:vertAlign w:val="superscript"/>
          </w:rPr>
          <w:t>38</w:t>
        </w:r>
      </w:hyperlink>
      <w:r>
        <w:t xml:space="preserve"> This leads to a maximum annual CO</w:t>
      </w:r>
      <w:r>
        <w:rPr>
          <w:vertAlign w:val="subscript"/>
        </w:rPr>
        <w:t>2</w:t>
      </w:r>
      <w:r>
        <w:t xml:space="preserve"> stor</w:t>
      </w:r>
      <w:r>
        <w:t>age of 15GtCO</w:t>
      </w:r>
      <w:r>
        <w:rPr>
          <w:vertAlign w:val="subscript"/>
        </w:rPr>
        <w:t>2</w:t>
      </w:r>
      <w:r>
        <w:t xml:space="preserve"> per year, consistent with annual sequestration rates in the ENGAGE database.</w:t>
      </w:r>
      <w:hyperlink r:id="rId81">
        <w:r>
          <w:rPr>
            <w:vertAlign w:val="superscript"/>
          </w:rPr>
          <w:t>39</w:t>
        </w:r>
      </w:hyperlink>
      <w:r>
        <w:t xml:space="preserve"> Furthermore, the extension of annual CCS flows is limited to 150 </w:t>
      </w:r>
      <w:proofErr w:type="spellStart"/>
      <w:r>
        <w:t>MtC</w:t>
      </w:r>
      <w:proofErr w:type="spellEnd"/>
      <w:r>
        <w:t>/year, i.e. 5.5 GtCO</w:t>
      </w:r>
      <w:r>
        <w:rPr>
          <w:vertAlign w:val="subscript"/>
        </w:rPr>
        <w:t>2</w:t>
      </w:r>
      <w:r>
        <w:t xml:space="preserve"> per decade</w:t>
      </w:r>
      <w:r>
        <w:t xml:space="preserve">. </w:t>
      </w:r>
    </w:p>
    <w:p w:rsidR="00DC23FA" w:rsidRDefault="009C15B2">
      <w:pPr>
        <w:pStyle w:val="Titre4"/>
      </w:pPr>
      <w:bookmarkStart w:id="44" w:name="_505x6dr0zoqj" w:colFirst="0" w:colLast="0"/>
      <w:bookmarkEnd w:id="44"/>
      <w:r>
        <w:lastRenderedPageBreak/>
        <w:t>3.2.4 Renewable energy mix</w:t>
      </w:r>
    </w:p>
    <w:p w:rsidR="00DC23FA" w:rsidRDefault="009C15B2">
      <w:r>
        <w:t>The onshore wind power potential was increased to 2000EJ/year following ref.</w:t>
      </w:r>
      <w:hyperlink r:id="rId82">
        <w:r>
          <w:rPr>
            <w:vertAlign w:val="superscript"/>
          </w:rPr>
          <w:t>40</w:t>
        </w:r>
      </w:hyperlink>
      <w:r>
        <w:t xml:space="preserve">. </w:t>
      </w:r>
    </w:p>
    <w:p w:rsidR="00DC23FA" w:rsidRDefault="009C15B2">
      <w:r>
        <w:t>There is no detailed description of wind and solar production in GET, nor of issues</w:t>
      </w:r>
      <w:r>
        <w:t xml:space="preserve"> related to VRE penetration in power production such as curtailment. The maximum share of variable renewable energy that does not have to be stored is limited to 30%, and the rest can be freely integrated as long as batteries (or cheaper storage with limit</w:t>
      </w:r>
      <w:r>
        <w:t>ed potential, such as dams) are purchased. We imposed that the shares of variable renewable energy provided by wind or solar energy cannot exceed given thresholds. Otherwise, since wind power is cheaper than solar, it completely replaces it.</w:t>
      </w:r>
    </w:p>
    <w:p w:rsidR="00DC23FA" w:rsidRDefault="00DC23FA"/>
    <w:p w:rsidR="00DC23FA" w:rsidRDefault="009C15B2">
      <w:pPr>
        <w:pStyle w:val="Titre3"/>
      </w:pPr>
      <w:bookmarkStart w:id="45" w:name="_fdl02zjl8wtn" w:colFirst="0" w:colLast="0"/>
      <w:bookmarkEnd w:id="45"/>
      <w:r>
        <w:t>3.3 Compariso</w:t>
      </w:r>
      <w:r>
        <w:t>n of mitigation scenarios and baseline</w:t>
      </w:r>
    </w:p>
    <w:p w:rsidR="00DC23FA" w:rsidRDefault="009C15B2">
      <w:r>
        <w:t>When no climate target nor carbon tax constrains the model, energy supply relies heavily on coal, although the shares of wind, solar and nuclear power also increase (Fig 3.3.1). The CO</w:t>
      </w:r>
      <w:r>
        <w:rPr>
          <w:vertAlign w:val="subscript"/>
        </w:rPr>
        <w:t xml:space="preserve">2 </w:t>
      </w:r>
      <w:r>
        <w:t xml:space="preserve">emissions rise steadily across </w:t>
      </w:r>
      <w:r>
        <w:t>the 21</w:t>
      </w:r>
      <w:r>
        <w:rPr>
          <w:vertAlign w:val="superscript"/>
        </w:rPr>
        <w:t>st</w:t>
      </w:r>
      <w:r>
        <w:t xml:space="preserve"> century and peak around 2100 (Fig 3.3.2).</w:t>
      </w:r>
    </w:p>
    <w:p w:rsidR="00DC23FA" w:rsidRDefault="009C15B2">
      <w:r>
        <w:rPr>
          <w:noProof/>
        </w:rPr>
        <w:drawing>
          <wp:inline distT="114300" distB="114300" distL="114300" distR="114300">
            <wp:extent cx="6410325" cy="3779248"/>
            <wp:effectExtent l="0" t="0" r="0" b="0"/>
            <wp:docPr id="10"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83"/>
                    <a:srcRect l="17" r="17"/>
                    <a:stretch>
                      <a:fillRect/>
                    </a:stretch>
                  </pic:blipFill>
                  <pic:spPr>
                    <a:xfrm>
                      <a:off x="0" y="0"/>
                      <a:ext cx="6410325" cy="3779248"/>
                    </a:xfrm>
                    <a:prstGeom prst="rect">
                      <a:avLst/>
                    </a:prstGeom>
                    <a:ln/>
                  </pic:spPr>
                </pic:pic>
              </a:graphicData>
            </a:graphic>
          </wp:inline>
        </w:drawing>
      </w:r>
    </w:p>
    <w:p w:rsidR="00DC23FA" w:rsidRDefault="009C15B2">
      <w:pPr>
        <w:rPr>
          <w:sz w:val="18"/>
          <w:szCs w:val="18"/>
        </w:rPr>
      </w:pPr>
      <w:r>
        <w:rPr>
          <w:b/>
          <w:sz w:val="18"/>
          <w:szCs w:val="18"/>
        </w:rPr>
        <w:t>Fig 3.3.1 Energy flows in GET-ACC2</w:t>
      </w:r>
      <w:r>
        <w:rPr>
          <w:sz w:val="18"/>
          <w:szCs w:val="18"/>
        </w:rPr>
        <w:t xml:space="preserve">. The hatched bars follow the same pattern as in the main text, except for the right panel where no EW is applied. The error bars represent the 25-75% range. </w:t>
      </w:r>
    </w:p>
    <w:p w:rsidR="00DC23FA" w:rsidRDefault="00DC23FA"/>
    <w:p w:rsidR="00DC23FA" w:rsidRDefault="009C15B2">
      <w:r>
        <w:rPr>
          <w:noProof/>
        </w:rPr>
        <w:lastRenderedPageBreak/>
        <w:drawing>
          <wp:inline distT="114300" distB="114300" distL="114300" distR="114300">
            <wp:extent cx="6286818" cy="3377216"/>
            <wp:effectExtent l="0" t="0" r="0" b="0"/>
            <wp:docPr id="20"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84"/>
                    <a:srcRect/>
                    <a:stretch>
                      <a:fillRect/>
                    </a:stretch>
                  </pic:blipFill>
                  <pic:spPr>
                    <a:xfrm>
                      <a:off x="0" y="0"/>
                      <a:ext cx="6286818" cy="3377216"/>
                    </a:xfrm>
                    <a:prstGeom prst="rect">
                      <a:avLst/>
                    </a:prstGeom>
                    <a:ln/>
                  </pic:spPr>
                </pic:pic>
              </a:graphicData>
            </a:graphic>
          </wp:inline>
        </w:drawing>
      </w:r>
    </w:p>
    <w:p w:rsidR="00DC23FA" w:rsidRDefault="009C15B2">
      <w:r>
        <w:rPr>
          <w:b/>
          <w:sz w:val="18"/>
          <w:szCs w:val="18"/>
        </w:rPr>
        <w:t>Fig 3.3.2 CO</w:t>
      </w:r>
      <w:r>
        <w:rPr>
          <w:b/>
          <w:sz w:val="18"/>
          <w:szCs w:val="18"/>
          <w:vertAlign w:val="subscript"/>
        </w:rPr>
        <w:t>2</w:t>
      </w:r>
      <w:r>
        <w:rPr>
          <w:b/>
          <w:sz w:val="18"/>
          <w:szCs w:val="18"/>
        </w:rPr>
        <w:t xml:space="preserve"> </w:t>
      </w:r>
      <w:r>
        <w:rPr>
          <w:b/>
          <w:sz w:val="18"/>
          <w:szCs w:val="18"/>
        </w:rPr>
        <w:t>Emissions and Temperature change in GET-ACC2</w:t>
      </w:r>
      <w:r>
        <w:rPr>
          <w:sz w:val="18"/>
          <w:szCs w:val="18"/>
        </w:rPr>
        <w:t>. The dotted lines show the 25</w:t>
      </w:r>
      <w:r>
        <w:rPr>
          <w:sz w:val="18"/>
          <w:szCs w:val="18"/>
        </w:rPr>
        <w:t>-75% range. When the temperature returns to its target after overshoot, the climate inertia leaves a little space for emissions to bounce back, while keeping the temperature below target. As the calculation is made up to 2150, emissions increase slightly i</w:t>
      </w:r>
      <w:r>
        <w:rPr>
          <w:sz w:val="18"/>
          <w:szCs w:val="18"/>
        </w:rPr>
        <w:t>n 2150 because they do not have enough time to affect the climate system: it is a side-effect due to the assumed time horizon.</w:t>
      </w:r>
    </w:p>
    <w:p w:rsidR="00DC23FA" w:rsidRDefault="009C15B2">
      <w:pPr>
        <w:pStyle w:val="Titre3"/>
      </w:pPr>
      <w:bookmarkStart w:id="46" w:name="_s4vhots6yzbd" w:colFirst="0" w:colLast="0"/>
      <w:bookmarkEnd w:id="46"/>
      <w:r>
        <w:t>3.4 Inverse parameterisation of the climate model ACC2</w:t>
      </w:r>
    </w:p>
    <w:p w:rsidR="00DC23FA" w:rsidRDefault="009C15B2">
      <w:r>
        <w:t>The spread of uncertainty relating to the climate system is assessed by sa</w:t>
      </w:r>
      <w:r>
        <w:t>mpling the equilibrium climate sensitivity</w:t>
      </w:r>
      <w:hyperlink r:id="rId85">
        <w:r>
          <w:rPr>
            <w:vertAlign w:val="superscript"/>
          </w:rPr>
          <w:t>41</w:t>
        </w:r>
      </w:hyperlink>
      <w:r>
        <w:t xml:space="preserve"> (ECS). In ACC2, several parameters are jointly calibrated on historical values using the inverse mode</w:t>
      </w:r>
      <w:hyperlink r:id="rId86">
        <w:r>
          <w:rPr>
            <w:vertAlign w:val="superscript"/>
          </w:rPr>
          <w:t>16</w:t>
        </w:r>
      </w:hyperlink>
      <w:r>
        <w:t>. Here the value of the ECS is exogenously set, and other parameters are calibrated consistently to this ECS value. The most influential parameters are Q10, by which the rate of terrestrial heterotrophic respiration increases with a tempera</w:t>
      </w:r>
      <w:r>
        <w:t>ture increase of 10°C, the factor β, which logarithmically scales the CO</w:t>
      </w:r>
      <w:r>
        <w:rPr>
          <w:vertAlign w:val="subscript"/>
        </w:rPr>
        <w:t>2</w:t>
      </w:r>
      <w:r>
        <w:t xml:space="preserve"> fertilisation effect on net primary production with the fractional change of atmospheric CO</w:t>
      </w:r>
      <w:r>
        <w:rPr>
          <w:vertAlign w:val="subscript"/>
        </w:rPr>
        <w:t>2</w:t>
      </w:r>
      <w:r>
        <w:t xml:space="preserve"> concentration, and the aerosol forcing. The </w:t>
      </w:r>
      <w:r>
        <w:rPr>
          <w:b/>
        </w:rPr>
        <w:t xml:space="preserve">Figure 3.4.1 </w:t>
      </w:r>
      <w:r>
        <w:t xml:space="preserve">shows how these parameters vary </w:t>
      </w:r>
      <w:r>
        <w:t xml:space="preserve">with the ECS. </w:t>
      </w:r>
    </w:p>
    <w:p w:rsidR="00DC23FA" w:rsidRDefault="009C15B2">
      <w:r>
        <w:rPr>
          <w:noProof/>
        </w:rPr>
        <w:drawing>
          <wp:inline distT="114300" distB="114300" distL="114300" distR="114300">
            <wp:extent cx="5760410" cy="1892300"/>
            <wp:effectExtent l="0" t="0" r="0" b="0"/>
            <wp:docPr id="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7"/>
                    <a:srcRect/>
                    <a:stretch>
                      <a:fillRect/>
                    </a:stretch>
                  </pic:blipFill>
                  <pic:spPr>
                    <a:xfrm>
                      <a:off x="0" y="0"/>
                      <a:ext cx="5760410" cy="1892300"/>
                    </a:xfrm>
                    <a:prstGeom prst="rect">
                      <a:avLst/>
                    </a:prstGeom>
                    <a:ln/>
                  </pic:spPr>
                </pic:pic>
              </a:graphicData>
            </a:graphic>
          </wp:inline>
        </w:drawing>
      </w:r>
      <w:r>
        <w:rPr>
          <w:b/>
        </w:rPr>
        <w:t>Figure 3.4.1| Correlations between climate parameters Q10, Beta and the Aerosol forcing</w:t>
      </w:r>
      <w:r>
        <w:t>, as estimated from ACC2 inverse mode.</w:t>
      </w:r>
    </w:p>
    <w:p w:rsidR="00DC23FA" w:rsidRDefault="00DC23FA">
      <w:pPr>
        <w:spacing w:line="240" w:lineRule="auto"/>
        <w:rPr>
          <w:b/>
        </w:rPr>
      </w:pPr>
    </w:p>
    <w:p w:rsidR="00DC23FA" w:rsidRDefault="00DC23FA">
      <w:pPr>
        <w:spacing w:line="240" w:lineRule="auto"/>
        <w:rPr>
          <w:b/>
        </w:rPr>
      </w:pPr>
    </w:p>
    <w:p w:rsidR="00DC23FA" w:rsidRDefault="00DC23FA">
      <w:pPr>
        <w:spacing w:line="240" w:lineRule="auto"/>
      </w:pPr>
    </w:p>
    <w:p w:rsidR="00DC23FA" w:rsidRDefault="00DC23FA">
      <w:pPr>
        <w:spacing w:line="240" w:lineRule="auto"/>
      </w:pPr>
    </w:p>
    <w:p w:rsidR="00DC23FA" w:rsidRDefault="009C15B2">
      <w:pPr>
        <w:widowControl w:val="0"/>
        <w:pBdr>
          <w:top w:val="nil"/>
          <w:left w:val="nil"/>
          <w:bottom w:val="nil"/>
          <w:right w:val="nil"/>
          <w:between w:val="nil"/>
        </w:pBdr>
        <w:spacing w:after="0" w:line="480" w:lineRule="auto"/>
        <w:ind w:left="384" w:hanging="384"/>
      </w:pPr>
      <w:r>
        <w:br w:type="page"/>
      </w:r>
    </w:p>
    <w:p w:rsidR="00DC23FA" w:rsidRDefault="009C15B2">
      <w:pPr>
        <w:widowControl w:val="0"/>
        <w:pBdr>
          <w:top w:val="nil"/>
          <w:left w:val="nil"/>
          <w:bottom w:val="nil"/>
          <w:right w:val="nil"/>
          <w:between w:val="nil"/>
        </w:pBdr>
        <w:spacing w:after="0" w:line="480" w:lineRule="auto"/>
        <w:ind w:left="384" w:hanging="384"/>
        <w:rPr>
          <w:i/>
        </w:rPr>
      </w:pPr>
      <w:r>
        <w:rPr>
          <w:i/>
        </w:rPr>
        <w:lastRenderedPageBreak/>
        <w:t>References</w:t>
      </w:r>
    </w:p>
    <w:p w:rsidR="00DC23FA" w:rsidRDefault="009C15B2">
      <w:pPr>
        <w:widowControl w:val="0"/>
        <w:pBdr>
          <w:top w:val="nil"/>
          <w:left w:val="nil"/>
          <w:bottom w:val="nil"/>
          <w:right w:val="nil"/>
          <w:between w:val="nil"/>
        </w:pBdr>
        <w:spacing w:after="0" w:line="480" w:lineRule="auto"/>
        <w:ind w:left="384" w:hanging="384"/>
      </w:pPr>
      <w:hyperlink r:id="rId88">
        <w:r>
          <w:t>1.</w:t>
        </w:r>
        <w:r>
          <w:tab/>
        </w:r>
        <w:proofErr w:type="spellStart"/>
        <w:r>
          <w:t>Atima</w:t>
        </w:r>
        <w:proofErr w:type="spellEnd"/>
        <w:r>
          <w:t xml:space="preserve">, D. &amp; </w:t>
        </w:r>
        <w:proofErr w:type="spellStart"/>
        <w:r>
          <w:t>Suthirat</w:t>
        </w:r>
        <w:proofErr w:type="spellEnd"/>
        <w:r>
          <w:t xml:space="preserve">, K. Estimated Greenhouse Gases Emissions from Mobile and Stationary Sources in the Limestone and Basalt Rock Mining in Thailand. </w:t>
        </w:r>
      </w:hyperlink>
      <w:hyperlink r:id="rId89">
        <w:r>
          <w:rPr>
            <w:i/>
          </w:rPr>
          <w:t xml:space="preserve">American Journal of Environmental Sciences </w:t>
        </w:r>
      </w:hyperlink>
      <w:hyperlink r:id="rId90">
        <w:r>
          <w:rPr>
            <w:b/>
          </w:rPr>
          <w:t>12</w:t>
        </w:r>
      </w:hyperlink>
      <w:hyperlink r:id="rId91">
        <w:r>
          <w:t>, (2016).</w:t>
        </w:r>
      </w:hyperlink>
    </w:p>
    <w:p w:rsidR="00DC23FA" w:rsidRDefault="009C15B2">
      <w:pPr>
        <w:widowControl w:val="0"/>
        <w:pBdr>
          <w:top w:val="nil"/>
          <w:left w:val="nil"/>
          <w:bottom w:val="nil"/>
          <w:right w:val="nil"/>
          <w:between w:val="nil"/>
        </w:pBdr>
        <w:spacing w:after="0" w:line="480" w:lineRule="auto"/>
        <w:ind w:left="384" w:hanging="384"/>
      </w:pPr>
      <w:hyperlink r:id="rId92">
        <w:r>
          <w:t>2.</w:t>
        </w:r>
        <w:r>
          <w:tab/>
        </w:r>
        <w:proofErr w:type="spellStart"/>
        <w:r>
          <w:t>Strefler</w:t>
        </w:r>
        <w:proofErr w:type="spellEnd"/>
        <w:r>
          <w:t xml:space="preserve">, J., Amann, T., Bauer, N., </w:t>
        </w:r>
        <w:proofErr w:type="spellStart"/>
        <w:r>
          <w:t>Kriegler</w:t>
        </w:r>
        <w:proofErr w:type="spellEnd"/>
        <w:r>
          <w:t xml:space="preserve">, E. &amp; Hartmann, J. Potential and costs of carbon dioxide removal by enhanced weathering of rocks. </w:t>
        </w:r>
      </w:hyperlink>
      <w:hyperlink r:id="rId93">
        <w:r>
          <w:rPr>
            <w:i/>
          </w:rPr>
          <w:t xml:space="preserve">Environ. Res. Lett. </w:t>
        </w:r>
      </w:hyperlink>
      <w:hyperlink r:id="rId94">
        <w:r>
          <w:rPr>
            <w:b/>
          </w:rPr>
          <w:t>13</w:t>
        </w:r>
      </w:hyperlink>
      <w:hyperlink r:id="rId95">
        <w:r>
          <w:t>, 034010 (2018).</w:t>
        </w:r>
      </w:hyperlink>
    </w:p>
    <w:p w:rsidR="00DC23FA" w:rsidRDefault="009C15B2">
      <w:pPr>
        <w:widowControl w:val="0"/>
        <w:pBdr>
          <w:top w:val="nil"/>
          <w:left w:val="nil"/>
          <w:bottom w:val="nil"/>
          <w:right w:val="nil"/>
          <w:between w:val="nil"/>
        </w:pBdr>
        <w:spacing w:after="0" w:line="480" w:lineRule="auto"/>
        <w:ind w:left="384" w:hanging="384"/>
      </w:pPr>
      <w:hyperlink r:id="rId96">
        <w:r>
          <w:t>3.</w:t>
        </w:r>
        <w:r>
          <w:tab/>
          <w:t xml:space="preserve">Renforth, P. The potential of enhanced weathering in the UK. </w:t>
        </w:r>
      </w:hyperlink>
      <w:hyperlink r:id="rId97">
        <w:r>
          <w:rPr>
            <w:i/>
          </w:rPr>
          <w:t xml:space="preserve">International Journal of Greenhouse Gas Control </w:t>
        </w:r>
      </w:hyperlink>
      <w:hyperlink r:id="rId98">
        <w:r>
          <w:rPr>
            <w:b/>
          </w:rPr>
          <w:t>10</w:t>
        </w:r>
      </w:hyperlink>
      <w:hyperlink r:id="rId99">
        <w:r>
          <w:t>, 229–243 (2012).</w:t>
        </w:r>
      </w:hyperlink>
    </w:p>
    <w:p w:rsidR="00DC23FA" w:rsidRDefault="009C15B2">
      <w:pPr>
        <w:widowControl w:val="0"/>
        <w:pBdr>
          <w:top w:val="nil"/>
          <w:left w:val="nil"/>
          <w:bottom w:val="nil"/>
          <w:right w:val="nil"/>
          <w:between w:val="nil"/>
        </w:pBdr>
        <w:spacing w:after="0" w:line="480" w:lineRule="auto"/>
        <w:ind w:left="384" w:hanging="384"/>
      </w:pPr>
      <w:hyperlink r:id="rId100">
        <w:r>
          <w:t>4.</w:t>
        </w:r>
        <w:r>
          <w:tab/>
        </w:r>
        <w:proofErr w:type="spellStart"/>
        <w:r>
          <w:t>Thrikawala</w:t>
        </w:r>
        <w:proofErr w:type="spellEnd"/>
        <w:r>
          <w:t xml:space="preserve">, S., </w:t>
        </w:r>
        <w:proofErr w:type="spellStart"/>
        <w:r>
          <w:t>Weersink</w:t>
        </w:r>
        <w:proofErr w:type="spellEnd"/>
        <w:r>
          <w:t xml:space="preserve">, A., Fox, G. &amp; </w:t>
        </w:r>
        <w:proofErr w:type="spellStart"/>
        <w:r>
          <w:t>Kachanoski</w:t>
        </w:r>
        <w:proofErr w:type="spellEnd"/>
        <w:r>
          <w:t xml:space="preserve">, G. Economic Feasibility of Variable-Rate Technology for Nitrogen on Corn. </w:t>
        </w:r>
      </w:hyperlink>
      <w:hyperlink r:id="rId101">
        <w:r>
          <w:rPr>
            <w:i/>
          </w:rPr>
          <w:t>American Journal of Agr</w:t>
        </w:r>
        <w:r>
          <w:rPr>
            <w:i/>
          </w:rPr>
          <w:t xml:space="preserve">icultural Economics </w:t>
        </w:r>
      </w:hyperlink>
      <w:hyperlink r:id="rId102">
        <w:r>
          <w:rPr>
            <w:b/>
          </w:rPr>
          <w:t>81</w:t>
        </w:r>
      </w:hyperlink>
      <w:hyperlink r:id="rId103">
        <w:r>
          <w:t>, 914–927 (1999).</w:t>
        </w:r>
      </w:hyperlink>
    </w:p>
    <w:p w:rsidR="00DC23FA" w:rsidRDefault="009C15B2">
      <w:pPr>
        <w:widowControl w:val="0"/>
        <w:pBdr>
          <w:top w:val="nil"/>
          <w:left w:val="nil"/>
          <w:bottom w:val="nil"/>
          <w:right w:val="nil"/>
          <w:between w:val="nil"/>
        </w:pBdr>
        <w:spacing w:after="0" w:line="480" w:lineRule="auto"/>
        <w:ind w:left="384" w:hanging="384"/>
      </w:pPr>
      <w:hyperlink r:id="rId104">
        <w:r>
          <w:t>5.</w:t>
        </w:r>
        <w:r>
          <w:tab/>
        </w:r>
        <w:proofErr w:type="spellStart"/>
        <w:r>
          <w:t>Ibisch</w:t>
        </w:r>
        <w:proofErr w:type="spellEnd"/>
        <w:r>
          <w:t xml:space="preserve">, P. L. </w:t>
        </w:r>
      </w:hyperlink>
      <w:hyperlink r:id="rId105">
        <w:r>
          <w:rPr>
            <w:i/>
          </w:rPr>
          <w:t>et al.</w:t>
        </w:r>
      </w:hyperlink>
      <w:hyperlink r:id="rId106">
        <w:r>
          <w:t xml:space="preserve"> A global map of roadless areas and their conservation status. </w:t>
        </w:r>
      </w:hyperlink>
      <w:hyperlink r:id="rId107">
        <w:r>
          <w:rPr>
            <w:i/>
          </w:rPr>
          <w:t xml:space="preserve">Science </w:t>
        </w:r>
      </w:hyperlink>
      <w:hyperlink r:id="rId108">
        <w:r>
          <w:rPr>
            <w:b/>
          </w:rPr>
          <w:t>354</w:t>
        </w:r>
      </w:hyperlink>
      <w:hyperlink r:id="rId109">
        <w:r>
          <w:t>, 1423–1427 (2016).</w:t>
        </w:r>
      </w:hyperlink>
    </w:p>
    <w:p w:rsidR="00DC23FA" w:rsidRDefault="009C15B2">
      <w:pPr>
        <w:widowControl w:val="0"/>
        <w:pBdr>
          <w:top w:val="nil"/>
          <w:left w:val="nil"/>
          <w:bottom w:val="nil"/>
          <w:right w:val="nil"/>
          <w:between w:val="nil"/>
        </w:pBdr>
        <w:spacing w:after="0" w:line="480" w:lineRule="auto"/>
        <w:ind w:left="384" w:hanging="384"/>
      </w:pPr>
      <w:hyperlink r:id="rId110">
        <w:r>
          <w:t>6.</w:t>
        </w:r>
        <w:r>
          <w:tab/>
          <w:t xml:space="preserve">Hartmann, J. &amp; </w:t>
        </w:r>
        <w:proofErr w:type="spellStart"/>
        <w:r>
          <w:t>Moosdorf</w:t>
        </w:r>
        <w:proofErr w:type="spellEnd"/>
        <w:r>
          <w:t>, N. The new global litholo</w:t>
        </w:r>
        <w:r>
          <w:t xml:space="preserve">gical map database </w:t>
        </w:r>
        <w:proofErr w:type="spellStart"/>
        <w:r>
          <w:t>GLiM</w:t>
        </w:r>
        <w:proofErr w:type="spellEnd"/>
        <w:r>
          <w:t xml:space="preserve">: A representation of rock properties at the Earth surface. </w:t>
        </w:r>
      </w:hyperlink>
      <w:hyperlink r:id="rId111">
        <w:r>
          <w:rPr>
            <w:i/>
          </w:rPr>
          <w:t xml:space="preserve">Geochemistry, Geophysics, Geosystems </w:t>
        </w:r>
      </w:hyperlink>
      <w:hyperlink r:id="rId112">
        <w:r>
          <w:rPr>
            <w:b/>
          </w:rPr>
          <w:t>13</w:t>
        </w:r>
      </w:hyperlink>
      <w:hyperlink r:id="rId113">
        <w:r>
          <w:t>, (2012).</w:t>
        </w:r>
      </w:hyperlink>
    </w:p>
    <w:p w:rsidR="00DC23FA" w:rsidRDefault="009C15B2">
      <w:pPr>
        <w:widowControl w:val="0"/>
        <w:pBdr>
          <w:top w:val="nil"/>
          <w:left w:val="nil"/>
          <w:bottom w:val="nil"/>
          <w:right w:val="nil"/>
          <w:between w:val="nil"/>
        </w:pBdr>
        <w:spacing w:after="0" w:line="480" w:lineRule="auto"/>
        <w:ind w:left="384" w:hanging="384"/>
      </w:pPr>
      <w:hyperlink r:id="rId114">
        <w:r>
          <w:t>7.</w:t>
        </w:r>
        <w:r>
          <w:tab/>
        </w:r>
        <w:proofErr w:type="spellStart"/>
        <w:r>
          <w:t>Goll</w:t>
        </w:r>
        <w:proofErr w:type="spellEnd"/>
        <w:r>
          <w:t xml:space="preserve">, D. S. </w:t>
        </w:r>
      </w:hyperlink>
      <w:hyperlink r:id="rId115">
        <w:r>
          <w:rPr>
            <w:i/>
          </w:rPr>
          <w:t>et al.</w:t>
        </w:r>
      </w:hyperlink>
      <w:hyperlink r:id="rId116">
        <w:r>
          <w:t xml:space="preserve"> Potential CO2 removal from enhanced weathering by ecosystem responses to powdered rock. </w:t>
        </w:r>
      </w:hyperlink>
      <w:hyperlink r:id="rId117">
        <w:r>
          <w:rPr>
            <w:i/>
          </w:rPr>
          <w:t xml:space="preserve">Nat. </w:t>
        </w:r>
        <w:proofErr w:type="spellStart"/>
        <w:r>
          <w:rPr>
            <w:i/>
          </w:rPr>
          <w:t>Geosci</w:t>
        </w:r>
        <w:proofErr w:type="spellEnd"/>
        <w:r>
          <w:rPr>
            <w:i/>
          </w:rPr>
          <w:t xml:space="preserve">. </w:t>
        </w:r>
      </w:hyperlink>
      <w:hyperlink r:id="rId118">
        <w:r>
          <w:rPr>
            <w:b/>
          </w:rPr>
          <w:t>14</w:t>
        </w:r>
      </w:hyperlink>
      <w:hyperlink r:id="rId119">
        <w:r>
          <w:t>, 545–549 (2021).</w:t>
        </w:r>
      </w:hyperlink>
    </w:p>
    <w:p w:rsidR="00DC23FA" w:rsidRDefault="009C15B2">
      <w:pPr>
        <w:widowControl w:val="0"/>
        <w:pBdr>
          <w:top w:val="nil"/>
          <w:left w:val="nil"/>
          <w:bottom w:val="nil"/>
          <w:right w:val="nil"/>
          <w:between w:val="nil"/>
        </w:pBdr>
        <w:spacing w:after="0" w:line="480" w:lineRule="auto"/>
        <w:ind w:left="384" w:hanging="384"/>
      </w:pPr>
      <w:hyperlink r:id="rId120">
        <w:r>
          <w:t>8.</w:t>
        </w:r>
        <w:r>
          <w:tab/>
          <w:t>Grafton, M., Yule, I., Davies, C., Stewart, R. &amp; Jones, J. Resolving the Agricultural Crushed Limestone Flow Problem f</w:t>
        </w:r>
        <w:r>
          <w:t xml:space="preserve">rom Fixed-Wing Aircraft. </w:t>
        </w:r>
      </w:hyperlink>
      <w:hyperlink r:id="rId121">
        <w:r>
          <w:rPr>
            <w:i/>
          </w:rPr>
          <w:t xml:space="preserve">Transactions of the ASABE </w:t>
        </w:r>
      </w:hyperlink>
      <w:hyperlink r:id="rId122">
        <w:r>
          <w:rPr>
            <w:b/>
          </w:rPr>
          <w:t>54</w:t>
        </w:r>
      </w:hyperlink>
      <w:hyperlink r:id="rId123">
        <w:r>
          <w:t>, 769–775 (2011).</w:t>
        </w:r>
      </w:hyperlink>
    </w:p>
    <w:p w:rsidR="00DC23FA" w:rsidRDefault="009C15B2">
      <w:pPr>
        <w:widowControl w:val="0"/>
        <w:pBdr>
          <w:top w:val="nil"/>
          <w:left w:val="nil"/>
          <w:bottom w:val="nil"/>
          <w:right w:val="nil"/>
          <w:between w:val="nil"/>
        </w:pBdr>
        <w:spacing w:after="0" w:line="480" w:lineRule="auto"/>
        <w:ind w:left="384" w:hanging="384"/>
      </w:pPr>
      <w:hyperlink r:id="rId124">
        <w:r>
          <w:t>9.</w:t>
        </w:r>
        <w:r>
          <w:tab/>
        </w:r>
        <w:proofErr w:type="spellStart"/>
        <w:r>
          <w:t>Bošeľa</w:t>
        </w:r>
        <w:proofErr w:type="spellEnd"/>
        <w:r>
          <w:t xml:space="preserve">, M. &amp; </w:t>
        </w:r>
        <w:proofErr w:type="spellStart"/>
        <w:r>
          <w:t>Šebeň</w:t>
        </w:r>
        <w:proofErr w:type="spellEnd"/>
        <w:r>
          <w:t xml:space="preserve">, V. Analysis of the aerial application of fertilizer and dolomitic limestone. </w:t>
        </w:r>
      </w:hyperlink>
      <w:hyperlink r:id="rId125">
        <w:r>
          <w:rPr>
            <w:i/>
          </w:rPr>
          <w:t xml:space="preserve">Journal of Forest Science </w:t>
        </w:r>
      </w:hyperlink>
      <w:hyperlink r:id="rId126">
        <w:r>
          <w:rPr>
            <w:b/>
          </w:rPr>
          <w:t>56</w:t>
        </w:r>
      </w:hyperlink>
      <w:hyperlink r:id="rId127">
        <w:r>
          <w:t>, 47–57 (2018).</w:t>
        </w:r>
      </w:hyperlink>
    </w:p>
    <w:p w:rsidR="00DC23FA" w:rsidRDefault="009C15B2">
      <w:pPr>
        <w:widowControl w:val="0"/>
        <w:pBdr>
          <w:top w:val="nil"/>
          <w:left w:val="nil"/>
          <w:bottom w:val="nil"/>
          <w:right w:val="nil"/>
          <w:between w:val="nil"/>
        </w:pBdr>
        <w:spacing w:after="0" w:line="480" w:lineRule="auto"/>
        <w:ind w:left="384" w:hanging="384"/>
      </w:pPr>
      <w:hyperlink r:id="rId128">
        <w:r>
          <w:t>10.</w:t>
        </w:r>
        <w:r>
          <w:tab/>
          <w:t xml:space="preserve">Clair, T. A. &amp; </w:t>
        </w:r>
        <w:proofErr w:type="spellStart"/>
        <w:r>
          <w:t>Hindar</w:t>
        </w:r>
        <w:proofErr w:type="spellEnd"/>
        <w:r>
          <w:t>, A. Liming for the mitigation o</w:t>
        </w:r>
        <w:r>
          <w:t xml:space="preserve">f acid rain effects in freshwaters: A review of recent results. </w:t>
        </w:r>
      </w:hyperlink>
      <w:hyperlink r:id="rId129">
        <w:r>
          <w:rPr>
            <w:i/>
          </w:rPr>
          <w:t xml:space="preserve">Environ. Rev. </w:t>
        </w:r>
      </w:hyperlink>
      <w:hyperlink r:id="rId130">
        <w:r>
          <w:rPr>
            <w:b/>
          </w:rPr>
          <w:t>13</w:t>
        </w:r>
      </w:hyperlink>
      <w:hyperlink r:id="rId131">
        <w:r>
          <w:t>, 91–128 (2005).</w:t>
        </w:r>
      </w:hyperlink>
    </w:p>
    <w:p w:rsidR="00DC23FA" w:rsidRDefault="009C15B2">
      <w:pPr>
        <w:widowControl w:val="0"/>
        <w:pBdr>
          <w:top w:val="nil"/>
          <w:left w:val="nil"/>
          <w:bottom w:val="nil"/>
          <w:right w:val="nil"/>
          <w:between w:val="nil"/>
        </w:pBdr>
        <w:spacing w:after="0" w:line="480" w:lineRule="auto"/>
        <w:ind w:left="384" w:hanging="384"/>
      </w:pPr>
      <w:hyperlink r:id="rId132">
        <w:r>
          <w:t>11.</w:t>
        </w:r>
        <w:r>
          <w:tab/>
        </w:r>
        <w:proofErr w:type="spellStart"/>
        <w:r>
          <w:t>Rinder</w:t>
        </w:r>
        <w:proofErr w:type="spellEnd"/>
        <w:r>
          <w:t xml:space="preserve">, T. &amp; von </w:t>
        </w:r>
        <w:proofErr w:type="spellStart"/>
        <w:r>
          <w:t>Hagke</w:t>
        </w:r>
        <w:proofErr w:type="spellEnd"/>
        <w:r>
          <w:t>, C. The influence of particle size on the potential of enhanced basalt weathering for carbon dioxide removal - Insights from a regional asse</w:t>
        </w:r>
        <w:r>
          <w:t xml:space="preserve">ssment. </w:t>
        </w:r>
      </w:hyperlink>
      <w:hyperlink r:id="rId133">
        <w:r>
          <w:rPr>
            <w:i/>
          </w:rPr>
          <w:t xml:space="preserve">Journal of Cleaner Production </w:t>
        </w:r>
      </w:hyperlink>
      <w:hyperlink r:id="rId134">
        <w:r>
          <w:rPr>
            <w:b/>
          </w:rPr>
          <w:t>315</w:t>
        </w:r>
      </w:hyperlink>
      <w:hyperlink r:id="rId135">
        <w:r>
          <w:t>, 128178 (2021).</w:t>
        </w:r>
      </w:hyperlink>
    </w:p>
    <w:p w:rsidR="00DC23FA" w:rsidRDefault="009C15B2">
      <w:pPr>
        <w:widowControl w:val="0"/>
        <w:pBdr>
          <w:top w:val="nil"/>
          <w:left w:val="nil"/>
          <w:bottom w:val="nil"/>
          <w:right w:val="nil"/>
          <w:between w:val="nil"/>
        </w:pBdr>
        <w:spacing w:after="0" w:line="480" w:lineRule="auto"/>
        <w:ind w:left="384" w:hanging="384"/>
      </w:pPr>
      <w:hyperlink r:id="rId136">
        <w:r>
          <w:t>12.</w:t>
        </w:r>
        <w:r>
          <w:tab/>
          <w:t>Mankins, J. Technology Readiness Level – A White Paper. (1995).</w:t>
        </w:r>
      </w:hyperlink>
    </w:p>
    <w:p w:rsidR="00DC23FA" w:rsidRDefault="009C15B2">
      <w:pPr>
        <w:widowControl w:val="0"/>
        <w:pBdr>
          <w:top w:val="nil"/>
          <w:left w:val="nil"/>
          <w:bottom w:val="nil"/>
          <w:right w:val="nil"/>
          <w:between w:val="nil"/>
        </w:pBdr>
        <w:spacing w:after="0" w:line="480" w:lineRule="auto"/>
        <w:ind w:left="384" w:hanging="384"/>
      </w:pPr>
      <w:hyperlink r:id="rId137">
        <w:r>
          <w:t>13.</w:t>
        </w:r>
        <w:r>
          <w:tab/>
          <w:t xml:space="preserve">Cox, B., Bauer, C., Mendoza Beltran, A., van Vuuren, D. P. &amp; </w:t>
        </w:r>
        <w:proofErr w:type="spellStart"/>
        <w:r>
          <w:t>M</w:t>
        </w:r>
        <w:r>
          <w:t>utel</w:t>
        </w:r>
        <w:proofErr w:type="spellEnd"/>
        <w:r>
          <w:t xml:space="preserve">, C. L. Life cycle environmental and cost comparison of current and future passenger cars under different energy scenarios. </w:t>
        </w:r>
      </w:hyperlink>
      <w:hyperlink r:id="rId138">
        <w:r>
          <w:rPr>
            <w:i/>
          </w:rPr>
          <w:t xml:space="preserve">Applied Energy </w:t>
        </w:r>
      </w:hyperlink>
      <w:hyperlink r:id="rId139">
        <w:r>
          <w:rPr>
            <w:b/>
          </w:rPr>
          <w:t>269</w:t>
        </w:r>
      </w:hyperlink>
      <w:hyperlink r:id="rId140">
        <w:r>
          <w:t>, 115021 (2020).</w:t>
        </w:r>
      </w:hyperlink>
    </w:p>
    <w:p w:rsidR="00DC23FA" w:rsidRDefault="009C15B2">
      <w:pPr>
        <w:widowControl w:val="0"/>
        <w:pBdr>
          <w:top w:val="nil"/>
          <w:left w:val="nil"/>
          <w:bottom w:val="nil"/>
          <w:right w:val="nil"/>
          <w:between w:val="nil"/>
        </w:pBdr>
        <w:spacing w:after="0" w:line="480" w:lineRule="auto"/>
        <w:ind w:left="384" w:hanging="384"/>
      </w:pPr>
      <w:hyperlink r:id="rId141">
        <w:r>
          <w:t>14.</w:t>
        </w:r>
        <w:r>
          <w:tab/>
        </w:r>
        <w:proofErr w:type="spellStart"/>
        <w:r>
          <w:t>Rogner</w:t>
        </w:r>
        <w:proofErr w:type="spellEnd"/>
        <w:r>
          <w:t xml:space="preserve">, H.-H. </w:t>
        </w:r>
      </w:hyperlink>
      <w:hyperlink r:id="rId142">
        <w:r>
          <w:rPr>
            <w:i/>
          </w:rPr>
          <w:t>et al.</w:t>
        </w:r>
      </w:hyperlink>
      <w:hyperlink r:id="rId143">
        <w:r>
          <w:t xml:space="preserve"> Chapter 7 - Energy Resources and Potentials. in </w:t>
        </w:r>
      </w:hyperlink>
      <w:hyperlink r:id="rId144">
        <w:r>
          <w:rPr>
            <w:i/>
          </w:rPr>
          <w:t>Global Energy Assessment - Toward a Sustainable Future</w:t>
        </w:r>
      </w:hyperlink>
      <w:hyperlink r:id="rId145">
        <w:r>
          <w:t xml:space="preserve"> 423–512 (2012).</w:t>
        </w:r>
      </w:hyperlink>
    </w:p>
    <w:p w:rsidR="00DC23FA" w:rsidRDefault="009C15B2">
      <w:pPr>
        <w:widowControl w:val="0"/>
        <w:pBdr>
          <w:top w:val="nil"/>
          <w:left w:val="nil"/>
          <w:bottom w:val="nil"/>
          <w:right w:val="nil"/>
          <w:between w:val="nil"/>
        </w:pBdr>
        <w:spacing w:after="0" w:line="480" w:lineRule="auto"/>
        <w:ind w:left="384" w:hanging="384"/>
      </w:pPr>
      <w:hyperlink r:id="rId146">
        <w:r>
          <w:t>15.</w:t>
        </w:r>
        <w:r>
          <w:tab/>
          <w:t xml:space="preserve">Li, W. </w:t>
        </w:r>
      </w:hyperlink>
      <w:hyperlink r:id="rId147">
        <w:r>
          <w:rPr>
            <w:i/>
          </w:rPr>
          <w:t>et al.</w:t>
        </w:r>
      </w:hyperlink>
      <w:hyperlink r:id="rId148">
        <w:r>
          <w:t xml:space="preserve"> Bioenergy Crops f</w:t>
        </w:r>
        <w:r>
          <w:t xml:space="preserve">or Low Warming Targets Require Half of the Present Agricultural Fertilizer Use. </w:t>
        </w:r>
      </w:hyperlink>
      <w:hyperlink r:id="rId149">
        <w:r>
          <w:rPr>
            <w:i/>
          </w:rPr>
          <w:t xml:space="preserve">Environ. Sci. Technol. </w:t>
        </w:r>
      </w:hyperlink>
      <w:hyperlink r:id="rId150">
        <w:r>
          <w:rPr>
            <w:b/>
          </w:rPr>
          <w:t>55</w:t>
        </w:r>
      </w:hyperlink>
      <w:hyperlink r:id="rId151">
        <w:r>
          <w:t>, 10654–10661 (2021).</w:t>
        </w:r>
      </w:hyperlink>
    </w:p>
    <w:p w:rsidR="00DC23FA" w:rsidRDefault="009C15B2">
      <w:pPr>
        <w:widowControl w:val="0"/>
        <w:pBdr>
          <w:top w:val="nil"/>
          <w:left w:val="nil"/>
          <w:bottom w:val="nil"/>
          <w:right w:val="nil"/>
          <w:between w:val="nil"/>
        </w:pBdr>
        <w:spacing w:after="0" w:line="480" w:lineRule="auto"/>
        <w:ind w:left="384" w:hanging="384"/>
      </w:pPr>
      <w:hyperlink r:id="rId152">
        <w:r>
          <w:t>16.</w:t>
        </w:r>
        <w:r>
          <w:tab/>
          <w:t xml:space="preserve">Tanaka, K. </w:t>
        </w:r>
      </w:hyperlink>
      <w:hyperlink r:id="rId153">
        <w:r>
          <w:rPr>
            <w:i/>
          </w:rPr>
          <w:t>et al.</w:t>
        </w:r>
      </w:hyperlink>
      <w:hyperlink r:id="rId154">
        <w:r>
          <w:t xml:space="preserve"> Aggregated Carbon cycle, atmospheric chemistry and climate model (ACC2): description of forward and inverse mode. 14069106 (2007) doi:10.17617/2.994422.</w:t>
        </w:r>
      </w:hyperlink>
    </w:p>
    <w:p w:rsidR="00DC23FA" w:rsidRDefault="009C15B2">
      <w:pPr>
        <w:widowControl w:val="0"/>
        <w:pBdr>
          <w:top w:val="nil"/>
          <w:left w:val="nil"/>
          <w:bottom w:val="nil"/>
          <w:right w:val="nil"/>
          <w:between w:val="nil"/>
        </w:pBdr>
        <w:spacing w:after="0" w:line="480" w:lineRule="auto"/>
        <w:ind w:left="384" w:hanging="384"/>
      </w:pPr>
      <w:hyperlink r:id="rId155">
        <w:r>
          <w:t>17.</w:t>
        </w:r>
        <w:r>
          <w:tab/>
        </w:r>
        <w:r>
          <w:t xml:space="preserve">Tanaka, K., Raddatz, T., O’Neill, B. C. &amp; </w:t>
        </w:r>
        <w:proofErr w:type="spellStart"/>
        <w:r>
          <w:t>Reick</w:t>
        </w:r>
        <w:proofErr w:type="spellEnd"/>
        <w:r>
          <w:t xml:space="preserve">, C. H. Insufficient forcing uncertainty underestimates the risk of high climate sensitivity. </w:t>
        </w:r>
      </w:hyperlink>
      <w:hyperlink r:id="rId156">
        <w:proofErr w:type="spellStart"/>
        <w:r>
          <w:rPr>
            <w:i/>
          </w:rPr>
          <w:t>Geophys</w:t>
        </w:r>
        <w:proofErr w:type="spellEnd"/>
        <w:r>
          <w:rPr>
            <w:i/>
          </w:rPr>
          <w:t xml:space="preserve">. Res. Lett. </w:t>
        </w:r>
      </w:hyperlink>
      <w:hyperlink r:id="rId157">
        <w:r>
          <w:rPr>
            <w:b/>
          </w:rPr>
          <w:t>36</w:t>
        </w:r>
      </w:hyperlink>
      <w:hyperlink r:id="rId158">
        <w:r>
          <w:t>, L16709 (2009).</w:t>
        </w:r>
      </w:hyperlink>
    </w:p>
    <w:p w:rsidR="00DC23FA" w:rsidRDefault="009C15B2">
      <w:pPr>
        <w:widowControl w:val="0"/>
        <w:pBdr>
          <w:top w:val="nil"/>
          <w:left w:val="nil"/>
          <w:bottom w:val="nil"/>
          <w:right w:val="nil"/>
          <w:between w:val="nil"/>
        </w:pBdr>
        <w:spacing w:after="0" w:line="480" w:lineRule="auto"/>
        <w:ind w:left="384" w:hanging="384"/>
      </w:pPr>
      <w:hyperlink r:id="rId159">
        <w:r>
          <w:t>18.</w:t>
        </w:r>
        <w:r>
          <w:tab/>
          <w:t xml:space="preserve">King, D. M. &amp; </w:t>
        </w:r>
        <w:proofErr w:type="spellStart"/>
        <w:r>
          <w:t>Perera</w:t>
        </w:r>
        <w:proofErr w:type="spellEnd"/>
        <w:r>
          <w:t xml:space="preserve">, B. J. C. Morris method of sensitivity analysis applied to </w:t>
        </w:r>
        <w:r>
          <w:t xml:space="preserve">assess the importance of input variables on urban water supply yield – A case study. </w:t>
        </w:r>
      </w:hyperlink>
      <w:hyperlink r:id="rId160">
        <w:r>
          <w:rPr>
            <w:i/>
          </w:rPr>
          <w:t xml:space="preserve">Journal of Hydrology </w:t>
        </w:r>
      </w:hyperlink>
      <w:hyperlink r:id="rId161">
        <w:r>
          <w:rPr>
            <w:b/>
          </w:rPr>
          <w:t>477</w:t>
        </w:r>
      </w:hyperlink>
      <w:hyperlink r:id="rId162">
        <w:r>
          <w:t>, 17–32 (2013).</w:t>
        </w:r>
      </w:hyperlink>
    </w:p>
    <w:p w:rsidR="00DC23FA" w:rsidRDefault="009C15B2">
      <w:pPr>
        <w:widowControl w:val="0"/>
        <w:pBdr>
          <w:top w:val="nil"/>
          <w:left w:val="nil"/>
          <w:bottom w:val="nil"/>
          <w:right w:val="nil"/>
          <w:between w:val="nil"/>
        </w:pBdr>
        <w:spacing w:after="0" w:line="480" w:lineRule="auto"/>
        <w:ind w:left="384" w:hanging="384"/>
      </w:pPr>
      <w:hyperlink r:id="rId163">
        <w:r>
          <w:t>19.</w:t>
        </w:r>
        <w:r>
          <w:tab/>
        </w:r>
        <w:proofErr w:type="spellStart"/>
        <w:r>
          <w:t>Campolongo</w:t>
        </w:r>
        <w:proofErr w:type="spellEnd"/>
        <w:r>
          <w:t xml:space="preserve">, F., </w:t>
        </w:r>
        <w:proofErr w:type="spellStart"/>
        <w:r>
          <w:t>Cariboni</w:t>
        </w:r>
        <w:proofErr w:type="spellEnd"/>
        <w:r>
          <w:t xml:space="preserve">, J. &amp; </w:t>
        </w:r>
        <w:proofErr w:type="spellStart"/>
        <w:r>
          <w:t>Saltelli</w:t>
        </w:r>
        <w:proofErr w:type="spellEnd"/>
        <w:r>
          <w:t xml:space="preserve">, A. An effective screening design for sensitivity analysis of large models. </w:t>
        </w:r>
      </w:hyperlink>
      <w:hyperlink r:id="rId164">
        <w:r>
          <w:rPr>
            <w:i/>
          </w:rPr>
          <w:t xml:space="preserve">Environmental Modelling &amp; Software </w:t>
        </w:r>
      </w:hyperlink>
      <w:hyperlink r:id="rId165">
        <w:r>
          <w:rPr>
            <w:b/>
          </w:rPr>
          <w:t>22</w:t>
        </w:r>
      </w:hyperlink>
      <w:hyperlink r:id="rId166">
        <w:r>
          <w:t>, 1509–1518 (2007).</w:t>
        </w:r>
      </w:hyperlink>
    </w:p>
    <w:p w:rsidR="00DC23FA" w:rsidRDefault="009C15B2">
      <w:pPr>
        <w:widowControl w:val="0"/>
        <w:pBdr>
          <w:top w:val="nil"/>
          <w:left w:val="nil"/>
          <w:bottom w:val="nil"/>
          <w:right w:val="nil"/>
          <w:between w:val="nil"/>
        </w:pBdr>
        <w:spacing w:after="0" w:line="480" w:lineRule="auto"/>
        <w:ind w:left="384" w:hanging="384"/>
      </w:pPr>
      <w:hyperlink r:id="rId167">
        <w:r>
          <w:t>20.</w:t>
        </w:r>
        <w:r>
          <w:tab/>
          <w:t xml:space="preserve">Morris, M. D. Factorial Sampling Plans for Preliminary Computational Experiments. </w:t>
        </w:r>
      </w:hyperlink>
      <w:hyperlink r:id="rId168">
        <w:proofErr w:type="spellStart"/>
        <w:r>
          <w:rPr>
            <w:i/>
          </w:rPr>
          <w:t>Technometrics</w:t>
        </w:r>
        <w:proofErr w:type="spellEnd"/>
        <w:r>
          <w:rPr>
            <w:i/>
          </w:rPr>
          <w:t xml:space="preserve"> </w:t>
        </w:r>
      </w:hyperlink>
      <w:hyperlink r:id="rId169">
        <w:r>
          <w:rPr>
            <w:b/>
          </w:rPr>
          <w:t>33</w:t>
        </w:r>
      </w:hyperlink>
      <w:hyperlink r:id="rId170">
        <w:r>
          <w:t>, 161–174 (1991).</w:t>
        </w:r>
      </w:hyperlink>
    </w:p>
    <w:p w:rsidR="00DC23FA" w:rsidRDefault="009C15B2">
      <w:pPr>
        <w:widowControl w:val="0"/>
        <w:pBdr>
          <w:top w:val="nil"/>
          <w:left w:val="nil"/>
          <w:bottom w:val="nil"/>
          <w:right w:val="nil"/>
          <w:between w:val="nil"/>
        </w:pBdr>
        <w:spacing w:after="0" w:line="480" w:lineRule="auto"/>
        <w:ind w:left="384" w:hanging="384"/>
      </w:pPr>
      <w:hyperlink r:id="rId171">
        <w:r>
          <w:t>21.</w:t>
        </w:r>
        <w:r>
          <w:tab/>
        </w:r>
        <w:r>
          <w:t xml:space="preserve">Tanaka, K. &amp; O’Neill, B. C. The Paris Agreement zero-emissions goal is not always consistent with the 1.5 °C and 2 °C temperature targets. </w:t>
        </w:r>
      </w:hyperlink>
      <w:hyperlink r:id="rId172">
        <w:r>
          <w:rPr>
            <w:i/>
          </w:rPr>
          <w:t xml:space="preserve">Nature Climate Change </w:t>
        </w:r>
      </w:hyperlink>
      <w:hyperlink r:id="rId173">
        <w:r>
          <w:rPr>
            <w:b/>
          </w:rPr>
          <w:t>8</w:t>
        </w:r>
      </w:hyperlink>
      <w:hyperlink r:id="rId174">
        <w:r>
          <w:t>, 319–324 (2018).</w:t>
        </w:r>
      </w:hyperlink>
    </w:p>
    <w:p w:rsidR="00DC23FA" w:rsidRDefault="009C15B2">
      <w:pPr>
        <w:widowControl w:val="0"/>
        <w:pBdr>
          <w:top w:val="nil"/>
          <w:left w:val="nil"/>
          <w:bottom w:val="nil"/>
          <w:right w:val="nil"/>
          <w:between w:val="nil"/>
        </w:pBdr>
        <w:spacing w:after="0" w:line="480" w:lineRule="auto"/>
        <w:ind w:left="384" w:hanging="384"/>
      </w:pPr>
      <w:hyperlink r:id="rId175">
        <w:r>
          <w:t>22.</w:t>
        </w:r>
        <w:r>
          <w:tab/>
          <w:t xml:space="preserve">Azar, C. A., Lindgren, K. &amp; Andersson, B. Hydrogen </w:t>
        </w:r>
        <w:proofErr w:type="gramStart"/>
        <w:r>
          <w:t>Or</w:t>
        </w:r>
        <w:proofErr w:type="gramEnd"/>
        <w:r>
          <w:t xml:space="preserve"> Methanol in the Transporta</w:t>
        </w:r>
        <w:r>
          <w:t>tion Sector? (2000).</w:t>
        </w:r>
      </w:hyperlink>
    </w:p>
    <w:p w:rsidR="00DC23FA" w:rsidRDefault="009C15B2">
      <w:pPr>
        <w:widowControl w:val="0"/>
        <w:pBdr>
          <w:top w:val="nil"/>
          <w:left w:val="nil"/>
          <w:bottom w:val="nil"/>
          <w:right w:val="nil"/>
          <w:between w:val="nil"/>
        </w:pBdr>
        <w:spacing w:after="0" w:line="480" w:lineRule="auto"/>
        <w:ind w:left="384" w:hanging="384"/>
      </w:pPr>
      <w:hyperlink r:id="rId176">
        <w:r>
          <w:t>23.</w:t>
        </w:r>
        <w:r>
          <w:tab/>
          <w:t xml:space="preserve">Azar, C. &amp; Lindgren, K. Global energy scenarios meeting stringent CO2 constraints— cost-effective fuel choices in the transportation sector. </w:t>
        </w:r>
      </w:hyperlink>
      <w:hyperlink r:id="rId177">
        <w:r>
          <w:rPr>
            <w:i/>
          </w:rPr>
          <w:t>Energy Policy</w:t>
        </w:r>
      </w:hyperlink>
      <w:hyperlink r:id="rId178">
        <w:r>
          <w:t xml:space="preserve"> 16 (2003).</w:t>
        </w:r>
      </w:hyperlink>
    </w:p>
    <w:p w:rsidR="00DC23FA" w:rsidRDefault="009C15B2">
      <w:pPr>
        <w:widowControl w:val="0"/>
        <w:pBdr>
          <w:top w:val="nil"/>
          <w:left w:val="nil"/>
          <w:bottom w:val="nil"/>
          <w:right w:val="nil"/>
          <w:between w:val="nil"/>
        </w:pBdr>
        <w:spacing w:after="0" w:line="480" w:lineRule="auto"/>
        <w:ind w:left="384" w:hanging="384"/>
      </w:pPr>
      <w:hyperlink r:id="rId179">
        <w:r>
          <w:t>24.</w:t>
        </w:r>
        <w:r>
          <w:tab/>
          <w:t xml:space="preserve">Johansson, D. J. A., Azar, C., </w:t>
        </w:r>
        <w:proofErr w:type="spellStart"/>
        <w:r>
          <w:t>Lehtveer</w:t>
        </w:r>
        <w:proofErr w:type="spellEnd"/>
        <w:r>
          <w:t>, M.</w:t>
        </w:r>
        <w:r>
          <w:t xml:space="preserve"> &amp; Peters, G. P. The role of negative carbon emissions in reaching the Paris climate targets: The impact of target formulation in integrated assessment models. </w:t>
        </w:r>
      </w:hyperlink>
      <w:hyperlink r:id="rId180">
        <w:r>
          <w:rPr>
            <w:i/>
          </w:rPr>
          <w:t xml:space="preserve">Environ. Res. Lett. </w:t>
        </w:r>
      </w:hyperlink>
      <w:hyperlink r:id="rId181">
        <w:r>
          <w:rPr>
            <w:b/>
          </w:rPr>
          <w:t>15</w:t>
        </w:r>
      </w:hyperlink>
      <w:hyperlink r:id="rId182">
        <w:r>
          <w:t>, 124024 (2020).</w:t>
        </w:r>
      </w:hyperlink>
    </w:p>
    <w:p w:rsidR="00DC23FA" w:rsidRDefault="009C15B2">
      <w:pPr>
        <w:widowControl w:val="0"/>
        <w:pBdr>
          <w:top w:val="nil"/>
          <w:left w:val="nil"/>
          <w:bottom w:val="nil"/>
          <w:right w:val="nil"/>
          <w:between w:val="nil"/>
        </w:pBdr>
        <w:spacing w:after="0" w:line="480" w:lineRule="auto"/>
        <w:ind w:left="384" w:hanging="384"/>
      </w:pPr>
      <w:hyperlink r:id="rId183">
        <w:r>
          <w:t>25.</w:t>
        </w:r>
        <w:r>
          <w:tab/>
        </w:r>
        <w:proofErr w:type="spellStart"/>
        <w:r>
          <w:t>Grahn</w:t>
        </w:r>
        <w:proofErr w:type="spellEnd"/>
        <w:r>
          <w:t xml:space="preserve">, M., </w:t>
        </w:r>
        <w:proofErr w:type="spellStart"/>
        <w:r>
          <w:t>Klampfl</w:t>
        </w:r>
        <w:proofErr w:type="spellEnd"/>
        <w:r>
          <w:t>, E., Whalen, M. &amp; Wallington, T. Sustainab</w:t>
        </w:r>
        <w:r>
          <w:t xml:space="preserve">le Mobility: Using a Global </w:t>
        </w:r>
        <w:r>
          <w:lastRenderedPageBreak/>
          <w:t xml:space="preserve">Energy Model to Inform Vehicle Technology Choices in a Decarbonized Economy. </w:t>
        </w:r>
      </w:hyperlink>
      <w:hyperlink r:id="rId184">
        <w:r>
          <w:rPr>
            <w:i/>
          </w:rPr>
          <w:t xml:space="preserve">Sustainability </w:t>
        </w:r>
      </w:hyperlink>
      <w:hyperlink r:id="rId185">
        <w:r>
          <w:rPr>
            <w:b/>
          </w:rPr>
          <w:t>5</w:t>
        </w:r>
      </w:hyperlink>
      <w:hyperlink r:id="rId186">
        <w:r>
          <w:t>, 1845–1862 (2013).</w:t>
        </w:r>
      </w:hyperlink>
    </w:p>
    <w:p w:rsidR="00DC23FA" w:rsidRDefault="009C15B2">
      <w:pPr>
        <w:widowControl w:val="0"/>
        <w:pBdr>
          <w:top w:val="nil"/>
          <w:left w:val="nil"/>
          <w:bottom w:val="nil"/>
          <w:right w:val="nil"/>
          <w:between w:val="nil"/>
        </w:pBdr>
        <w:spacing w:after="0" w:line="480" w:lineRule="auto"/>
        <w:ind w:left="384" w:hanging="384"/>
      </w:pPr>
      <w:hyperlink r:id="rId187">
        <w:r>
          <w:t>26.</w:t>
        </w:r>
        <w:r>
          <w:tab/>
        </w:r>
        <w:proofErr w:type="spellStart"/>
        <w:r>
          <w:t>Grahn</w:t>
        </w:r>
        <w:proofErr w:type="spellEnd"/>
        <w:r>
          <w:t xml:space="preserve">, M., </w:t>
        </w:r>
        <w:proofErr w:type="spellStart"/>
        <w:r>
          <w:t>Klampfl</w:t>
        </w:r>
        <w:proofErr w:type="spellEnd"/>
        <w:r>
          <w:t xml:space="preserve">, E., Whalen, M. J., Wallington, T. J. &amp; Lindgren, K. </w:t>
        </w:r>
      </w:hyperlink>
      <w:hyperlink r:id="rId188">
        <w:r>
          <w:rPr>
            <w:i/>
          </w:rPr>
          <w:t>Description of the global energy systems model GET-RC 6.1.</w:t>
        </w:r>
      </w:hyperlink>
      <w:hyperlink r:id="rId189">
        <w:r>
          <w:t xml:space="preserve"> (2013).</w:t>
        </w:r>
      </w:hyperlink>
    </w:p>
    <w:p w:rsidR="00DC23FA" w:rsidRDefault="009C15B2">
      <w:pPr>
        <w:widowControl w:val="0"/>
        <w:pBdr>
          <w:top w:val="nil"/>
          <w:left w:val="nil"/>
          <w:bottom w:val="nil"/>
          <w:right w:val="nil"/>
          <w:between w:val="nil"/>
        </w:pBdr>
        <w:spacing w:after="0" w:line="480" w:lineRule="auto"/>
        <w:ind w:left="384" w:hanging="384"/>
      </w:pPr>
      <w:hyperlink r:id="rId190">
        <w:r>
          <w:t>27.</w:t>
        </w:r>
        <w:r>
          <w:tab/>
          <w:t xml:space="preserve">Bertram, C. </w:t>
        </w:r>
      </w:hyperlink>
      <w:hyperlink r:id="rId191">
        <w:r>
          <w:rPr>
            <w:i/>
          </w:rPr>
          <w:t>et al.</w:t>
        </w:r>
      </w:hyperlink>
      <w:hyperlink r:id="rId192">
        <w:r>
          <w:t xml:space="preserve"> Energy system developments and investments in the decisive decade for the Paris Agreement goals. </w:t>
        </w:r>
      </w:hyperlink>
      <w:hyperlink r:id="rId193">
        <w:r>
          <w:rPr>
            <w:i/>
          </w:rPr>
          <w:t xml:space="preserve">Environ. Res. Lett. </w:t>
        </w:r>
      </w:hyperlink>
      <w:hyperlink r:id="rId194">
        <w:r>
          <w:rPr>
            <w:b/>
          </w:rPr>
          <w:t>16</w:t>
        </w:r>
      </w:hyperlink>
      <w:hyperlink r:id="rId195">
        <w:r>
          <w:t>, 074020 (2021).</w:t>
        </w:r>
      </w:hyperlink>
    </w:p>
    <w:p w:rsidR="00DC23FA" w:rsidRDefault="009C15B2">
      <w:pPr>
        <w:widowControl w:val="0"/>
        <w:pBdr>
          <w:top w:val="nil"/>
          <w:left w:val="nil"/>
          <w:bottom w:val="nil"/>
          <w:right w:val="nil"/>
          <w:between w:val="nil"/>
        </w:pBdr>
        <w:spacing w:after="0" w:line="480" w:lineRule="auto"/>
        <w:ind w:left="384" w:hanging="384"/>
      </w:pPr>
      <w:hyperlink r:id="rId196">
        <w:r>
          <w:t>28.</w:t>
        </w:r>
        <w:r>
          <w:tab/>
        </w:r>
        <w:proofErr w:type="spellStart"/>
        <w:r>
          <w:t>Labandeira</w:t>
        </w:r>
        <w:proofErr w:type="spellEnd"/>
        <w:r>
          <w:t xml:space="preserve">, X., </w:t>
        </w:r>
        <w:proofErr w:type="spellStart"/>
        <w:r>
          <w:t>Labeaga</w:t>
        </w:r>
        <w:proofErr w:type="spellEnd"/>
        <w:r>
          <w:t>, J.</w:t>
        </w:r>
        <w:r>
          <w:t xml:space="preserve"> M. &amp; López-Otero, X. A meta-analysis on the price elasticity of energy demand. </w:t>
        </w:r>
      </w:hyperlink>
      <w:hyperlink r:id="rId197">
        <w:r>
          <w:rPr>
            <w:i/>
          </w:rPr>
          <w:t xml:space="preserve">Energy Policy </w:t>
        </w:r>
      </w:hyperlink>
      <w:hyperlink r:id="rId198">
        <w:r>
          <w:rPr>
            <w:b/>
          </w:rPr>
          <w:t>102</w:t>
        </w:r>
      </w:hyperlink>
      <w:hyperlink r:id="rId199">
        <w:r>
          <w:t>, 549–568 (2017).</w:t>
        </w:r>
      </w:hyperlink>
    </w:p>
    <w:p w:rsidR="00DC23FA" w:rsidRDefault="009C15B2">
      <w:pPr>
        <w:widowControl w:val="0"/>
        <w:pBdr>
          <w:top w:val="nil"/>
          <w:left w:val="nil"/>
          <w:bottom w:val="nil"/>
          <w:right w:val="nil"/>
          <w:between w:val="nil"/>
        </w:pBdr>
        <w:spacing w:after="0" w:line="480" w:lineRule="auto"/>
        <w:ind w:left="384" w:hanging="384"/>
      </w:pPr>
      <w:hyperlink r:id="rId200">
        <w:r>
          <w:t>29.</w:t>
        </w:r>
        <w:r>
          <w:tab/>
        </w:r>
        <w:proofErr w:type="spellStart"/>
        <w:r>
          <w:t>Dimitropoulos</w:t>
        </w:r>
        <w:proofErr w:type="spellEnd"/>
        <w:r>
          <w:t xml:space="preserve">, A., </w:t>
        </w:r>
        <w:proofErr w:type="spellStart"/>
        <w:r>
          <w:t>Oueslati</w:t>
        </w:r>
        <w:proofErr w:type="spellEnd"/>
        <w:r>
          <w:t xml:space="preserve">, W. &amp; </w:t>
        </w:r>
        <w:proofErr w:type="spellStart"/>
        <w:r>
          <w:t>Sintek</w:t>
        </w:r>
        <w:proofErr w:type="spellEnd"/>
        <w:r>
          <w:t xml:space="preserve">, C. The rebound effect in road transport: A meta-analysis of empirical </w:t>
        </w:r>
        <w:r>
          <w:t xml:space="preserve">studies. </w:t>
        </w:r>
      </w:hyperlink>
      <w:hyperlink r:id="rId201">
        <w:r>
          <w:rPr>
            <w:i/>
          </w:rPr>
          <w:t xml:space="preserve">Energy Economics </w:t>
        </w:r>
      </w:hyperlink>
      <w:hyperlink r:id="rId202">
        <w:r>
          <w:rPr>
            <w:b/>
          </w:rPr>
          <w:t>75</w:t>
        </w:r>
      </w:hyperlink>
      <w:hyperlink r:id="rId203">
        <w:r>
          <w:t>, 163–179 (2018).</w:t>
        </w:r>
      </w:hyperlink>
    </w:p>
    <w:p w:rsidR="00DC23FA" w:rsidRDefault="009C15B2">
      <w:pPr>
        <w:widowControl w:val="0"/>
        <w:pBdr>
          <w:top w:val="nil"/>
          <w:left w:val="nil"/>
          <w:bottom w:val="nil"/>
          <w:right w:val="nil"/>
          <w:between w:val="nil"/>
        </w:pBdr>
        <w:spacing w:after="0" w:line="480" w:lineRule="auto"/>
        <w:ind w:left="384" w:hanging="384"/>
      </w:pPr>
      <w:hyperlink r:id="rId204">
        <w:r>
          <w:t>30.</w:t>
        </w:r>
        <w:r>
          <w:tab/>
          <w:t xml:space="preserve">Persson, T. A., Azar, C., Johansson, D. &amp; Lindgren, K. Major oil exporters may profit rather than lose, in a carbon-constrained world. </w:t>
        </w:r>
      </w:hyperlink>
      <w:hyperlink r:id="rId205">
        <w:r>
          <w:rPr>
            <w:i/>
          </w:rPr>
          <w:t xml:space="preserve">Energy Policy </w:t>
        </w:r>
      </w:hyperlink>
      <w:hyperlink r:id="rId206">
        <w:r>
          <w:rPr>
            <w:b/>
          </w:rPr>
          <w:t>35</w:t>
        </w:r>
      </w:hyperlink>
      <w:hyperlink r:id="rId207">
        <w:r>
          <w:t>, 6346–6353 (2007).</w:t>
        </w:r>
      </w:hyperlink>
    </w:p>
    <w:p w:rsidR="00DC23FA" w:rsidRDefault="009C15B2">
      <w:pPr>
        <w:widowControl w:val="0"/>
        <w:pBdr>
          <w:top w:val="nil"/>
          <w:left w:val="nil"/>
          <w:bottom w:val="nil"/>
          <w:right w:val="nil"/>
          <w:between w:val="nil"/>
        </w:pBdr>
        <w:spacing w:after="0" w:line="480" w:lineRule="auto"/>
        <w:ind w:left="384" w:hanging="384"/>
      </w:pPr>
      <w:hyperlink r:id="rId208">
        <w:r>
          <w:t>31.</w:t>
        </w:r>
        <w:r>
          <w:tab/>
        </w:r>
        <w:proofErr w:type="spellStart"/>
        <w:r>
          <w:t>Welsby</w:t>
        </w:r>
        <w:proofErr w:type="spellEnd"/>
        <w:r>
          <w:t xml:space="preserve">, D., Price, J., </w:t>
        </w:r>
        <w:proofErr w:type="spellStart"/>
        <w:r>
          <w:t>Pye</w:t>
        </w:r>
        <w:proofErr w:type="spellEnd"/>
        <w:r>
          <w:t>, S. &amp; Ekins, P. Unex</w:t>
        </w:r>
        <w:r>
          <w:t xml:space="preserve">tractable fossil fuels in a 1.5 °C world. </w:t>
        </w:r>
      </w:hyperlink>
      <w:hyperlink r:id="rId209">
        <w:r>
          <w:rPr>
            <w:i/>
          </w:rPr>
          <w:t xml:space="preserve">Nature </w:t>
        </w:r>
      </w:hyperlink>
      <w:hyperlink r:id="rId210">
        <w:r>
          <w:rPr>
            <w:b/>
          </w:rPr>
          <w:t>597</w:t>
        </w:r>
      </w:hyperlink>
      <w:hyperlink r:id="rId211">
        <w:r>
          <w:t>, 230–234 (2021).</w:t>
        </w:r>
      </w:hyperlink>
    </w:p>
    <w:p w:rsidR="00DC23FA" w:rsidRPr="00FB1DF4" w:rsidRDefault="009C15B2">
      <w:pPr>
        <w:widowControl w:val="0"/>
        <w:pBdr>
          <w:top w:val="nil"/>
          <w:left w:val="nil"/>
          <w:bottom w:val="nil"/>
          <w:right w:val="nil"/>
          <w:between w:val="nil"/>
        </w:pBdr>
        <w:spacing w:after="0" w:line="480" w:lineRule="auto"/>
        <w:ind w:left="384" w:hanging="384"/>
        <w:rPr>
          <w:lang w:val="fr-FR"/>
        </w:rPr>
      </w:pPr>
      <w:hyperlink r:id="rId212">
        <w:r>
          <w:t>32.</w:t>
        </w:r>
        <w:r>
          <w:tab/>
        </w:r>
        <w:proofErr w:type="spellStart"/>
        <w:r>
          <w:t>Daioglou</w:t>
        </w:r>
        <w:proofErr w:type="spellEnd"/>
        <w:r>
          <w:t xml:space="preserve">, V., </w:t>
        </w:r>
        <w:proofErr w:type="spellStart"/>
        <w:r>
          <w:t>Doelman</w:t>
        </w:r>
        <w:proofErr w:type="spellEnd"/>
        <w:r>
          <w:t xml:space="preserve">, J. C., </w:t>
        </w:r>
        <w:proofErr w:type="spellStart"/>
        <w:r>
          <w:t>Wicke</w:t>
        </w:r>
        <w:proofErr w:type="spellEnd"/>
        <w:r>
          <w:t xml:space="preserve">, B., </w:t>
        </w:r>
        <w:proofErr w:type="spellStart"/>
        <w:r>
          <w:t>Faaij</w:t>
        </w:r>
        <w:proofErr w:type="spellEnd"/>
        <w:r>
          <w:t xml:space="preserve">, A. &amp; van Vuuren, D. P. Integrated assessment of biomass supply and demand in climate change mitigation scenarios. </w:t>
        </w:r>
      </w:hyperlink>
      <w:hyperlink r:id="rId213">
        <w:r w:rsidRPr="00FB1DF4">
          <w:rPr>
            <w:i/>
            <w:lang w:val="fr-FR"/>
          </w:rPr>
          <w:t xml:space="preserve">Global Environmental Change </w:t>
        </w:r>
      </w:hyperlink>
      <w:r>
        <w:fldChar w:fldCharType="begin"/>
      </w:r>
      <w:r w:rsidRPr="00FB1DF4">
        <w:rPr>
          <w:lang w:val="fr-FR"/>
        </w:rPr>
        <w:instrText xml:space="preserve"> HYPERLINK "https://www.zotero.org/google-docs/?giJS9b" \h </w:instrText>
      </w:r>
      <w:r>
        <w:fldChar w:fldCharType="separate"/>
      </w:r>
      <w:r w:rsidRPr="00FB1DF4">
        <w:rPr>
          <w:b/>
          <w:lang w:val="fr-FR"/>
        </w:rPr>
        <w:t>54</w:t>
      </w:r>
      <w:r>
        <w:rPr>
          <w:b/>
        </w:rPr>
        <w:fldChar w:fldCharType="end"/>
      </w:r>
      <w:r>
        <w:fldChar w:fldCharType="begin"/>
      </w:r>
      <w:r w:rsidRPr="00FB1DF4">
        <w:rPr>
          <w:lang w:val="fr-FR"/>
        </w:rPr>
        <w:instrText xml:space="preserve"> HYPERLINK "https://www.zotero.org/google-docs/?giJS9b" \h </w:instrText>
      </w:r>
      <w:r>
        <w:fldChar w:fldCharType="separate"/>
      </w:r>
      <w:r w:rsidRPr="00FB1DF4">
        <w:rPr>
          <w:lang w:val="fr-FR"/>
        </w:rPr>
        <w:t>, 88–101 (2019).</w:t>
      </w:r>
      <w:r>
        <w:fldChar w:fldCharType="end"/>
      </w:r>
    </w:p>
    <w:p w:rsidR="00DC23FA" w:rsidRDefault="009C15B2">
      <w:pPr>
        <w:widowControl w:val="0"/>
        <w:pBdr>
          <w:top w:val="nil"/>
          <w:left w:val="nil"/>
          <w:bottom w:val="nil"/>
          <w:right w:val="nil"/>
          <w:between w:val="nil"/>
        </w:pBdr>
        <w:spacing w:after="0" w:line="480" w:lineRule="auto"/>
        <w:ind w:left="384" w:hanging="384"/>
      </w:pPr>
      <w:r>
        <w:fldChar w:fldCharType="begin"/>
      </w:r>
      <w:r w:rsidRPr="00FB1DF4">
        <w:rPr>
          <w:lang w:val="fr-FR"/>
        </w:rPr>
        <w:instrText xml:space="preserve"> HYPERLINK "https://www.zotero.org/google-docs/?g</w:instrText>
      </w:r>
      <w:r w:rsidRPr="00FB1DF4">
        <w:rPr>
          <w:lang w:val="fr-FR"/>
        </w:rPr>
        <w:instrText xml:space="preserve">iJS9b" \h </w:instrText>
      </w:r>
      <w:r>
        <w:fldChar w:fldCharType="separate"/>
      </w:r>
      <w:r w:rsidRPr="00FB1DF4">
        <w:rPr>
          <w:lang w:val="fr-FR"/>
        </w:rPr>
        <w:t>33.</w:t>
      </w:r>
      <w:r w:rsidRPr="00FB1DF4">
        <w:rPr>
          <w:lang w:val="fr-FR"/>
        </w:rPr>
        <w:tab/>
        <w:t xml:space="preserve">Harmsen, M. J. H. M. </w:t>
      </w:r>
      <w:r>
        <w:fldChar w:fldCharType="end"/>
      </w:r>
      <w:r>
        <w:fldChar w:fldCharType="begin"/>
      </w:r>
      <w:r w:rsidRPr="00FB1DF4">
        <w:rPr>
          <w:lang w:val="fr-FR"/>
        </w:rPr>
        <w:instrText xml:space="preserve"> HYPERLINK "https://www.zotero.org/google-docs/?giJS9b" \h </w:instrText>
      </w:r>
      <w:r>
        <w:fldChar w:fldCharType="separate"/>
      </w:r>
      <w:r w:rsidRPr="00FB1DF4">
        <w:rPr>
          <w:i/>
          <w:lang w:val="fr-FR"/>
        </w:rPr>
        <w:t>et al.</w:t>
      </w:r>
      <w:r>
        <w:rPr>
          <w:i/>
        </w:rPr>
        <w:fldChar w:fldCharType="end"/>
      </w:r>
      <w:r>
        <w:fldChar w:fldCharType="begin"/>
      </w:r>
      <w:r w:rsidRPr="00FB1DF4">
        <w:rPr>
          <w:lang w:val="fr-FR"/>
        </w:rPr>
        <w:instrText xml:space="preserve"> HYPERLINK "https://www.zotero.org/google-docs/?giJS9b" \h </w:instrText>
      </w:r>
      <w:r>
        <w:fldChar w:fldCharType="separate"/>
      </w:r>
      <w:r w:rsidRPr="00FB1DF4">
        <w:rPr>
          <w:lang w:val="fr-FR"/>
        </w:rPr>
        <w:t xml:space="preserve"> </w:t>
      </w:r>
      <w:r>
        <w:t xml:space="preserve">Data for long-term marginal abatement cost curves of non-CO2 greenhouse gases. </w:t>
      </w:r>
      <w:r>
        <w:fldChar w:fldCharType="end"/>
      </w:r>
      <w:hyperlink r:id="rId214">
        <w:r>
          <w:rPr>
            <w:i/>
          </w:rPr>
          <w:t xml:space="preserve">Data in Brief </w:t>
        </w:r>
      </w:hyperlink>
      <w:hyperlink r:id="rId215">
        <w:r>
          <w:rPr>
            <w:b/>
          </w:rPr>
          <w:t>25</w:t>
        </w:r>
      </w:hyperlink>
      <w:hyperlink r:id="rId216">
        <w:r>
          <w:t>, 104334 (2019).</w:t>
        </w:r>
      </w:hyperlink>
    </w:p>
    <w:p w:rsidR="00DC23FA" w:rsidRDefault="009C15B2">
      <w:pPr>
        <w:widowControl w:val="0"/>
        <w:pBdr>
          <w:top w:val="nil"/>
          <w:left w:val="nil"/>
          <w:bottom w:val="nil"/>
          <w:right w:val="nil"/>
          <w:between w:val="nil"/>
        </w:pBdr>
        <w:spacing w:after="0" w:line="480" w:lineRule="auto"/>
        <w:ind w:left="384" w:hanging="384"/>
      </w:pPr>
      <w:hyperlink r:id="rId217">
        <w:r>
          <w:t>34.</w:t>
        </w:r>
        <w:r>
          <w:tab/>
          <w:t xml:space="preserve">IRENA. </w:t>
        </w:r>
      </w:hyperlink>
      <w:hyperlink r:id="rId218">
        <w:r>
          <w:rPr>
            <w:i/>
          </w:rPr>
          <w:t>Renewable Power Generation Costs in 2020, International Renewable Energy Agency, Abu Dhabi.</w:t>
        </w:r>
      </w:hyperlink>
      <w:hyperlink r:id="rId219">
        <w:r>
          <w:t xml:space="preserve"> (2021).</w:t>
        </w:r>
      </w:hyperlink>
    </w:p>
    <w:p w:rsidR="00DC23FA" w:rsidRDefault="009C15B2">
      <w:pPr>
        <w:widowControl w:val="0"/>
        <w:pBdr>
          <w:top w:val="nil"/>
          <w:left w:val="nil"/>
          <w:bottom w:val="nil"/>
          <w:right w:val="nil"/>
          <w:between w:val="nil"/>
        </w:pBdr>
        <w:spacing w:after="0" w:line="480" w:lineRule="auto"/>
        <w:ind w:left="384" w:hanging="384"/>
      </w:pPr>
      <w:hyperlink r:id="rId220">
        <w:r>
          <w:t>35.</w:t>
        </w:r>
        <w:r>
          <w:tab/>
          <w:t xml:space="preserve">NREL. </w:t>
        </w:r>
      </w:hyperlink>
      <w:hyperlink r:id="rId221">
        <w:r>
          <w:rPr>
            <w:i/>
          </w:rPr>
          <w:t>‘2021 Annual Technology Baseline.’ Golden, CO: National Renewable Energy Laboratory</w:t>
        </w:r>
        <w:r>
          <w:rPr>
            <w:i/>
          </w:rPr>
          <w:t>.</w:t>
        </w:r>
      </w:hyperlink>
      <w:hyperlink r:id="rId222">
        <w:r>
          <w:t xml:space="preserve"> (2021).</w:t>
        </w:r>
      </w:hyperlink>
    </w:p>
    <w:p w:rsidR="00DC23FA" w:rsidRDefault="009C15B2">
      <w:pPr>
        <w:widowControl w:val="0"/>
        <w:pBdr>
          <w:top w:val="nil"/>
          <w:left w:val="nil"/>
          <w:bottom w:val="nil"/>
          <w:right w:val="nil"/>
          <w:between w:val="nil"/>
        </w:pBdr>
        <w:spacing w:after="0" w:line="480" w:lineRule="auto"/>
        <w:ind w:left="384" w:hanging="384"/>
      </w:pPr>
      <w:hyperlink r:id="rId223">
        <w:r>
          <w:t>36.</w:t>
        </w:r>
        <w:r>
          <w:tab/>
          <w:t>Cost and Performance Characteristics of New Generating Technologies, Annual Energy Outlook 2022. 4.</w:t>
        </w:r>
      </w:hyperlink>
    </w:p>
    <w:p w:rsidR="00DC23FA" w:rsidRDefault="009C15B2">
      <w:pPr>
        <w:widowControl w:val="0"/>
        <w:pBdr>
          <w:top w:val="nil"/>
          <w:left w:val="nil"/>
          <w:bottom w:val="nil"/>
          <w:right w:val="nil"/>
          <w:between w:val="nil"/>
        </w:pBdr>
        <w:spacing w:after="0" w:line="480" w:lineRule="auto"/>
        <w:ind w:left="384" w:hanging="384"/>
      </w:pPr>
      <w:hyperlink r:id="rId224">
        <w:r>
          <w:t>37.</w:t>
        </w:r>
        <w:r>
          <w:tab/>
        </w:r>
        <w:proofErr w:type="spellStart"/>
        <w:r>
          <w:t>Luderer</w:t>
        </w:r>
        <w:proofErr w:type="spellEnd"/>
        <w:r>
          <w:t xml:space="preserve">, G. </w:t>
        </w:r>
      </w:hyperlink>
      <w:hyperlink r:id="rId225">
        <w:r>
          <w:rPr>
            <w:i/>
          </w:rPr>
          <w:t>et al.</w:t>
        </w:r>
      </w:hyperlink>
      <w:hyperlink r:id="rId226">
        <w:r>
          <w:t xml:space="preserve"> Impact of declining renewable energy costs on electrification in </w:t>
        </w:r>
        <w:r>
          <w:t xml:space="preserve">low-emission scenarios. </w:t>
        </w:r>
      </w:hyperlink>
      <w:hyperlink r:id="rId227">
        <w:r>
          <w:rPr>
            <w:i/>
          </w:rPr>
          <w:t xml:space="preserve">Nat Energy </w:t>
        </w:r>
      </w:hyperlink>
      <w:hyperlink r:id="rId228">
        <w:r>
          <w:rPr>
            <w:b/>
          </w:rPr>
          <w:t>7</w:t>
        </w:r>
      </w:hyperlink>
      <w:hyperlink r:id="rId229">
        <w:r>
          <w:t>, 32–42 (2022).</w:t>
        </w:r>
      </w:hyperlink>
    </w:p>
    <w:p w:rsidR="00DC23FA" w:rsidRDefault="009C15B2">
      <w:pPr>
        <w:widowControl w:val="0"/>
        <w:pBdr>
          <w:top w:val="nil"/>
          <w:left w:val="nil"/>
          <w:bottom w:val="nil"/>
          <w:right w:val="nil"/>
          <w:between w:val="nil"/>
        </w:pBdr>
        <w:spacing w:after="0" w:line="480" w:lineRule="auto"/>
        <w:ind w:left="384" w:hanging="384"/>
      </w:pPr>
      <w:hyperlink r:id="rId230">
        <w:r>
          <w:t>38.</w:t>
        </w:r>
        <w:r>
          <w:tab/>
        </w:r>
        <w:proofErr w:type="spellStart"/>
        <w:r>
          <w:t>Strefler</w:t>
        </w:r>
        <w:proofErr w:type="spellEnd"/>
        <w:r>
          <w:t xml:space="preserve">, J. </w:t>
        </w:r>
      </w:hyperlink>
      <w:hyperlink r:id="rId231">
        <w:r>
          <w:rPr>
            <w:i/>
          </w:rPr>
          <w:t>et al.</w:t>
        </w:r>
      </w:hyperlink>
      <w:hyperlink r:id="rId232">
        <w:r>
          <w:t xml:space="preserve"> Carbon dioxide removal technologies are not born equal. </w:t>
        </w:r>
      </w:hyperlink>
      <w:hyperlink r:id="rId233">
        <w:r>
          <w:rPr>
            <w:i/>
          </w:rPr>
          <w:t xml:space="preserve">Environ. Res. Lett. </w:t>
        </w:r>
      </w:hyperlink>
      <w:hyperlink r:id="rId234">
        <w:r>
          <w:rPr>
            <w:b/>
          </w:rPr>
          <w:t>16</w:t>
        </w:r>
      </w:hyperlink>
      <w:hyperlink r:id="rId235">
        <w:r>
          <w:t xml:space="preserve">, </w:t>
        </w:r>
        <w:r>
          <w:lastRenderedPageBreak/>
          <w:t>074021 (2021).</w:t>
        </w:r>
      </w:hyperlink>
    </w:p>
    <w:p w:rsidR="00DC23FA" w:rsidRDefault="009C15B2">
      <w:pPr>
        <w:widowControl w:val="0"/>
        <w:pBdr>
          <w:top w:val="nil"/>
          <w:left w:val="nil"/>
          <w:bottom w:val="nil"/>
          <w:right w:val="nil"/>
          <w:between w:val="nil"/>
        </w:pBdr>
        <w:spacing w:after="0" w:line="480" w:lineRule="auto"/>
        <w:ind w:left="384" w:hanging="384"/>
      </w:pPr>
      <w:hyperlink r:id="rId236">
        <w:r>
          <w:t>39.</w:t>
        </w:r>
        <w:r>
          <w:tab/>
        </w:r>
        <w:proofErr w:type="spellStart"/>
        <w:r>
          <w:t>Riahi</w:t>
        </w:r>
        <w:proofErr w:type="spellEnd"/>
        <w:r>
          <w:t xml:space="preserve">, K. </w:t>
        </w:r>
      </w:hyperlink>
      <w:hyperlink r:id="rId237">
        <w:r>
          <w:rPr>
            <w:i/>
          </w:rPr>
          <w:t>et al.</w:t>
        </w:r>
      </w:hyperlink>
      <w:hyperlink r:id="rId238">
        <w:r>
          <w:t xml:space="preserve"> Cost and attainability of meeting stringent climate targets without overshoot. </w:t>
        </w:r>
      </w:hyperlink>
      <w:hyperlink r:id="rId239">
        <w:r>
          <w:rPr>
            <w:i/>
          </w:rPr>
          <w:t xml:space="preserve">Nat. </w:t>
        </w:r>
        <w:proofErr w:type="spellStart"/>
        <w:r>
          <w:rPr>
            <w:i/>
          </w:rPr>
          <w:t>Clim</w:t>
        </w:r>
        <w:proofErr w:type="spellEnd"/>
        <w:r>
          <w:rPr>
            <w:i/>
          </w:rPr>
          <w:t xml:space="preserve">. Chang. </w:t>
        </w:r>
      </w:hyperlink>
      <w:hyperlink r:id="rId240">
        <w:r>
          <w:rPr>
            <w:b/>
          </w:rPr>
          <w:t>11</w:t>
        </w:r>
      </w:hyperlink>
      <w:hyperlink r:id="rId241">
        <w:r>
          <w:t>, 1063–1069 (2021).</w:t>
        </w:r>
      </w:hyperlink>
    </w:p>
    <w:p w:rsidR="00DC23FA" w:rsidRDefault="009C15B2">
      <w:pPr>
        <w:widowControl w:val="0"/>
        <w:pBdr>
          <w:top w:val="nil"/>
          <w:left w:val="nil"/>
          <w:bottom w:val="nil"/>
          <w:right w:val="nil"/>
          <w:between w:val="nil"/>
        </w:pBdr>
        <w:spacing w:after="0" w:line="480" w:lineRule="auto"/>
        <w:ind w:left="384" w:hanging="384"/>
      </w:pPr>
      <w:hyperlink r:id="rId242">
        <w:r>
          <w:t>40.</w:t>
        </w:r>
        <w:r>
          <w:tab/>
        </w:r>
        <w:proofErr w:type="spellStart"/>
        <w:r>
          <w:t>Eurek</w:t>
        </w:r>
        <w:proofErr w:type="spellEnd"/>
        <w:r>
          <w:t xml:space="preserve">, K. </w:t>
        </w:r>
      </w:hyperlink>
      <w:hyperlink r:id="rId243">
        <w:r>
          <w:rPr>
            <w:i/>
          </w:rPr>
          <w:t>et al.</w:t>
        </w:r>
      </w:hyperlink>
      <w:hyperlink r:id="rId244">
        <w:r>
          <w:t xml:space="preserve"> An improved global wind resource estimate for integrated assessment models. </w:t>
        </w:r>
      </w:hyperlink>
      <w:hyperlink r:id="rId245">
        <w:r>
          <w:rPr>
            <w:i/>
          </w:rPr>
          <w:t xml:space="preserve">Energy Economics </w:t>
        </w:r>
      </w:hyperlink>
      <w:hyperlink r:id="rId246">
        <w:r>
          <w:rPr>
            <w:b/>
          </w:rPr>
          <w:t>64</w:t>
        </w:r>
      </w:hyperlink>
      <w:hyperlink r:id="rId247">
        <w:r>
          <w:t>, (2016).</w:t>
        </w:r>
      </w:hyperlink>
    </w:p>
    <w:p w:rsidR="00DC23FA" w:rsidRDefault="009C15B2">
      <w:pPr>
        <w:widowControl w:val="0"/>
        <w:pBdr>
          <w:top w:val="nil"/>
          <w:left w:val="nil"/>
          <w:bottom w:val="nil"/>
          <w:right w:val="nil"/>
          <w:between w:val="nil"/>
        </w:pBdr>
        <w:spacing w:after="0" w:line="480" w:lineRule="auto"/>
        <w:ind w:left="384" w:hanging="384"/>
      </w:pPr>
      <w:hyperlink r:id="rId248">
        <w:r>
          <w:t>41.</w:t>
        </w:r>
        <w:r>
          <w:tab/>
          <w:t xml:space="preserve">Sherwood, S. C. </w:t>
        </w:r>
      </w:hyperlink>
      <w:hyperlink r:id="rId249">
        <w:r>
          <w:rPr>
            <w:i/>
          </w:rPr>
          <w:t>et al.</w:t>
        </w:r>
      </w:hyperlink>
      <w:hyperlink r:id="rId250">
        <w:r>
          <w:t xml:space="preserve"> An Assessment of Earth’s Climate Sensitivity Using Multiple Lines of Evidence. </w:t>
        </w:r>
      </w:hyperlink>
      <w:hyperlink r:id="rId251">
        <w:r>
          <w:rPr>
            <w:i/>
          </w:rPr>
          <w:t xml:space="preserve">Rev. </w:t>
        </w:r>
        <w:proofErr w:type="spellStart"/>
        <w:r>
          <w:rPr>
            <w:i/>
          </w:rPr>
          <w:t>Geophys</w:t>
        </w:r>
        <w:proofErr w:type="spellEnd"/>
        <w:r>
          <w:rPr>
            <w:i/>
          </w:rPr>
          <w:t xml:space="preserve">. </w:t>
        </w:r>
      </w:hyperlink>
      <w:hyperlink r:id="rId252">
        <w:r>
          <w:rPr>
            <w:b/>
          </w:rPr>
          <w:t>58</w:t>
        </w:r>
      </w:hyperlink>
      <w:hyperlink r:id="rId253">
        <w:r>
          <w:t>, (2020).</w:t>
        </w:r>
      </w:hyperlink>
    </w:p>
    <w:p w:rsidR="00DC23FA" w:rsidRDefault="00DC23FA">
      <w:pPr>
        <w:widowControl w:val="0"/>
        <w:pBdr>
          <w:top w:val="nil"/>
          <w:left w:val="nil"/>
          <w:bottom w:val="nil"/>
          <w:right w:val="nil"/>
          <w:between w:val="nil"/>
        </w:pBdr>
        <w:spacing w:after="0" w:line="276" w:lineRule="auto"/>
      </w:pPr>
    </w:p>
    <w:sectPr w:rsidR="00DC23FA">
      <w:headerReference w:type="default" r:id="rId254"/>
      <w:footerReference w:type="default" r:id="rId255"/>
      <w:pgSz w:w="11906" w:h="16838"/>
      <w:pgMar w:top="1417" w:right="1417" w:bottom="1417" w:left="1417"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C15B2" w:rsidRDefault="009C15B2">
      <w:pPr>
        <w:spacing w:after="0" w:line="240" w:lineRule="auto"/>
      </w:pPr>
      <w:r>
        <w:separator/>
      </w:r>
    </w:p>
  </w:endnote>
  <w:endnote w:type="continuationSeparator" w:id="0">
    <w:p w:rsidR="009C15B2" w:rsidRDefault="009C15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C23FA" w:rsidRDefault="00DC23F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C15B2" w:rsidRDefault="009C15B2">
      <w:pPr>
        <w:spacing w:after="0" w:line="240" w:lineRule="auto"/>
      </w:pPr>
      <w:r>
        <w:separator/>
      </w:r>
    </w:p>
  </w:footnote>
  <w:footnote w:type="continuationSeparator" w:id="0">
    <w:p w:rsidR="009C15B2" w:rsidRDefault="009C15B2">
      <w:pPr>
        <w:spacing w:after="0" w:line="240" w:lineRule="auto"/>
      </w:pPr>
      <w:r>
        <w:continuationSeparator/>
      </w:r>
    </w:p>
  </w:footnote>
  <w:footnote w:id="1">
    <w:p w:rsidR="00DC23FA" w:rsidRDefault="009C15B2">
      <w:pPr>
        <w:spacing w:after="0" w:line="240" w:lineRule="auto"/>
        <w:rPr>
          <w:sz w:val="20"/>
          <w:szCs w:val="20"/>
        </w:rPr>
      </w:pPr>
      <w:r>
        <w:rPr>
          <w:vertAlign w:val="superscript"/>
        </w:rPr>
        <w:footnoteRef/>
      </w:r>
      <w:r>
        <w:rPr>
          <w:sz w:val="20"/>
          <w:szCs w:val="20"/>
        </w:rPr>
        <w:t xml:space="preserve"> </w:t>
      </w:r>
      <w:r>
        <w:t xml:space="preserve">Source for all TRLs : IEA (2022), ETP Clean Energy Technology Guide, IEA, Paris </w:t>
      </w:r>
      <w:hyperlink r:id="rId1">
        <w:r>
          <w:rPr>
            <w:color w:val="0563C1"/>
            <w:u w:val="single"/>
          </w:rPr>
          <w:t>https://www.iea.org/data-and-statistics/data-to</w:t>
        </w:r>
        <w:r>
          <w:rPr>
            <w:color w:val="0563C1"/>
            <w:u w:val="single"/>
          </w:rPr>
          <w:t>ols/etp-clean-energy-technology-guide</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C23FA" w:rsidRDefault="00DC23F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233F09"/>
    <w:multiLevelType w:val="multilevel"/>
    <w:tmpl w:val="E9F4FB5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351A7283"/>
    <w:multiLevelType w:val="multilevel"/>
    <w:tmpl w:val="AD6C976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15:restartNumberingAfterBreak="0">
    <w:nsid w:val="45917DE1"/>
    <w:multiLevelType w:val="multilevel"/>
    <w:tmpl w:val="C598E5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23FA"/>
    <w:rsid w:val="009C15B2"/>
    <w:rsid w:val="00DC23FA"/>
    <w:rsid w:val="00FB1DF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1360874-DDF4-4DE4-B00F-5DFE0DAE46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unhideWhenUsed/>
    <w:qFormat/>
    <w:pPr>
      <w:keepNext/>
      <w:keepLines/>
      <w:spacing w:before="360" w:after="80"/>
      <w:outlineLvl w:val="1"/>
    </w:pPr>
    <w:rPr>
      <w:b/>
      <w:sz w:val="36"/>
      <w:szCs w:val="36"/>
    </w:rPr>
  </w:style>
  <w:style w:type="paragraph" w:styleId="Titre3">
    <w:name w:val="heading 3"/>
    <w:basedOn w:val="Normal"/>
    <w:next w:val="Normal"/>
    <w:uiPriority w:val="9"/>
    <w:unhideWhenUsed/>
    <w:qFormat/>
    <w:pPr>
      <w:keepNext/>
      <w:keepLines/>
      <w:spacing w:before="280" w:after="80"/>
      <w:outlineLvl w:val="2"/>
    </w:pPr>
    <w:rPr>
      <w:b/>
      <w:sz w:val="28"/>
      <w:szCs w:val="28"/>
    </w:rPr>
  </w:style>
  <w:style w:type="paragraph" w:styleId="Titre4">
    <w:name w:val="heading 4"/>
    <w:basedOn w:val="Normal"/>
    <w:next w:val="Normal"/>
    <w:uiPriority w:val="9"/>
    <w:unhideWhenUsed/>
    <w:qFormat/>
    <w:pPr>
      <w:keepNext/>
      <w:keepLines/>
      <w:spacing w:before="240" w:after="40"/>
      <w:outlineLvl w:val="3"/>
    </w:pPr>
    <w:rPr>
      <w:b/>
      <w:sz w:val="24"/>
      <w:szCs w:val="24"/>
    </w:rPr>
  </w:style>
  <w:style w:type="paragraph" w:styleId="Titre5">
    <w:name w:val="heading 5"/>
    <w:basedOn w:val="Normal"/>
    <w:next w:val="Normal"/>
    <w:uiPriority w:val="9"/>
    <w:semiHidden/>
    <w:unhideWhenUsed/>
    <w:qFormat/>
    <w:pPr>
      <w:keepNext/>
      <w:keepLines/>
      <w:spacing w:before="220" w:after="40"/>
      <w:outlineLvl w:val="4"/>
    </w:pPr>
    <w:rPr>
      <w:b/>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5" w:type="dxa"/>
        <w:left w:w="15" w:type="dxa"/>
        <w:bottom w:w="15" w:type="dxa"/>
        <w:right w:w="15"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0" w:type="dxa"/>
        <w:left w:w="115" w:type="dxa"/>
        <w:bottom w:w="0" w:type="dxa"/>
        <w:right w:w="115" w:type="dxa"/>
      </w:tblCellMar>
    </w:tblPr>
  </w:style>
  <w:style w:type="paragraph" w:styleId="Commentaire">
    <w:name w:val="annotation text"/>
    <w:basedOn w:val="Normal"/>
    <w:link w:val="CommentaireCar"/>
    <w:uiPriority w:val="99"/>
    <w:semiHidden/>
    <w:unhideWhenUsed/>
    <w:pPr>
      <w:spacing w:line="240" w:lineRule="auto"/>
    </w:pPr>
    <w:rPr>
      <w:sz w:val="20"/>
      <w:szCs w:val="20"/>
    </w:rPr>
  </w:style>
  <w:style w:type="character" w:customStyle="1" w:styleId="CommentaireCar">
    <w:name w:val="Commentaire Car"/>
    <w:basedOn w:val="Policepardfaut"/>
    <w:link w:val="Commentaire"/>
    <w:uiPriority w:val="99"/>
    <w:semiHidden/>
    <w:rPr>
      <w:sz w:val="20"/>
      <w:szCs w:val="20"/>
    </w:rPr>
  </w:style>
  <w:style w:type="character" w:styleId="Marquedecommentaire">
    <w:name w:val="annotation reference"/>
    <w:basedOn w:val="Policepardfaut"/>
    <w:uiPriority w:val="99"/>
    <w:semiHidden/>
    <w:unhideWhenUsed/>
    <w:rPr>
      <w:sz w:val="16"/>
      <w:szCs w:val="16"/>
    </w:rPr>
  </w:style>
  <w:style w:type="paragraph" w:styleId="Textedebulles">
    <w:name w:val="Balloon Text"/>
    <w:basedOn w:val="Normal"/>
    <w:link w:val="TextedebullesCar"/>
    <w:uiPriority w:val="99"/>
    <w:semiHidden/>
    <w:unhideWhenUsed/>
    <w:rsid w:val="00FB1DF4"/>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FB1DF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17" Type="http://schemas.openxmlformats.org/officeDocument/2006/relationships/hyperlink" Target="https://www.zotero.org/google-docs/?giJS9b" TargetMode="External"/><Relationship Id="rId21" Type="http://schemas.openxmlformats.org/officeDocument/2006/relationships/hyperlink" Target="https://www.zotero.org/google-docs/?Ix215o" TargetMode="External"/><Relationship Id="rId42" Type="http://schemas.openxmlformats.org/officeDocument/2006/relationships/hyperlink" Target="https://www.zotero.org/google-docs/?tlbcCx" TargetMode="External"/><Relationship Id="rId63" Type="http://schemas.openxmlformats.org/officeDocument/2006/relationships/hyperlink" Target="https://www.zotero.org/google-docs/?gfos6r" TargetMode="External"/><Relationship Id="rId84" Type="http://schemas.openxmlformats.org/officeDocument/2006/relationships/image" Target="media/image22.png"/><Relationship Id="rId138" Type="http://schemas.openxmlformats.org/officeDocument/2006/relationships/hyperlink" Target="https://www.zotero.org/google-docs/?giJS9b" TargetMode="External"/><Relationship Id="rId159" Type="http://schemas.openxmlformats.org/officeDocument/2006/relationships/hyperlink" Target="https://www.zotero.org/google-docs/?giJS9b" TargetMode="External"/><Relationship Id="rId170" Type="http://schemas.openxmlformats.org/officeDocument/2006/relationships/hyperlink" Target="https://www.zotero.org/google-docs/?giJS9b" TargetMode="External"/><Relationship Id="rId191" Type="http://schemas.openxmlformats.org/officeDocument/2006/relationships/hyperlink" Target="https://www.zotero.org/google-docs/?giJS9b" TargetMode="External"/><Relationship Id="rId205" Type="http://schemas.openxmlformats.org/officeDocument/2006/relationships/hyperlink" Target="https://www.zotero.org/google-docs/?giJS9b" TargetMode="External"/><Relationship Id="rId226" Type="http://schemas.openxmlformats.org/officeDocument/2006/relationships/hyperlink" Target="https://www.zotero.org/google-docs/?giJS9b" TargetMode="External"/><Relationship Id="rId247" Type="http://schemas.openxmlformats.org/officeDocument/2006/relationships/hyperlink" Target="https://www.zotero.org/google-docs/?giJS9b" TargetMode="External"/><Relationship Id="rId107" Type="http://schemas.openxmlformats.org/officeDocument/2006/relationships/hyperlink" Target="https://www.zotero.org/google-docs/?giJS9b" TargetMode="External"/><Relationship Id="rId11" Type="http://schemas.openxmlformats.org/officeDocument/2006/relationships/hyperlink" Target="https://www.zotero.org/google-docs/?Kg08em" TargetMode="External"/><Relationship Id="rId32" Type="http://schemas.openxmlformats.org/officeDocument/2006/relationships/image" Target="media/image9.png"/><Relationship Id="rId53" Type="http://schemas.openxmlformats.org/officeDocument/2006/relationships/hyperlink" Target="https://www.codecogs.com/eqnedit.php?latex=%20%20%5Csum_%7Bm%2Cl%7D%20d_%7Bm%2Cl%7D" TargetMode="External"/><Relationship Id="rId74" Type="http://schemas.openxmlformats.org/officeDocument/2006/relationships/hyperlink" Target="https://www.zotero.org/google-docs/?EykmHG" TargetMode="External"/><Relationship Id="rId128" Type="http://schemas.openxmlformats.org/officeDocument/2006/relationships/hyperlink" Target="https://www.zotero.org/google-docs/?giJS9b" TargetMode="External"/><Relationship Id="rId149" Type="http://schemas.openxmlformats.org/officeDocument/2006/relationships/hyperlink" Target="https://www.zotero.org/google-docs/?giJS9b" TargetMode="External"/><Relationship Id="rId5" Type="http://schemas.openxmlformats.org/officeDocument/2006/relationships/footnotes" Target="footnotes.xml"/><Relationship Id="rId95" Type="http://schemas.openxmlformats.org/officeDocument/2006/relationships/hyperlink" Target="https://www.zotero.org/google-docs/?giJS9b" TargetMode="External"/><Relationship Id="rId160" Type="http://schemas.openxmlformats.org/officeDocument/2006/relationships/hyperlink" Target="https://www.zotero.org/google-docs/?giJS9b" TargetMode="External"/><Relationship Id="rId181" Type="http://schemas.openxmlformats.org/officeDocument/2006/relationships/hyperlink" Target="https://www.zotero.org/google-docs/?giJS9b" TargetMode="External"/><Relationship Id="rId216" Type="http://schemas.openxmlformats.org/officeDocument/2006/relationships/hyperlink" Target="https://www.zotero.org/google-docs/?giJS9b" TargetMode="External"/><Relationship Id="rId237" Type="http://schemas.openxmlformats.org/officeDocument/2006/relationships/hyperlink" Target="https://www.zotero.org/google-docs/?giJS9b" TargetMode="External"/><Relationship Id="rId22" Type="http://schemas.openxmlformats.org/officeDocument/2006/relationships/hyperlink" Target="https://www.zotero.org/google-docs/?jXCog2" TargetMode="External"/><Relationship Id="rId43" Type="http://schemas.openxmlformats.org/officeDocument/2006/relationships/hyperlink" Target="https://www.iea.org/data-and-statistics/data-tools/etp-clean-energy-technology-guide" TargetMode="External"/><Relationship Id="rId64" Type="http://schemas.openxmlformats.org/officeDocument/2006/relationships/hyperlink" Target="https://www.zotero.org/google-docs/?ypOC1J" TargetMode="External"/><Relationship Id="rId118" Type="http://schemas.openxmlformats.org/officeDocument/2006/relationships/hyperlink" Target="https://www.zotero.org/google-docs/?giJS9b" TargetMode="External"/><Relationship Id="rId139" Type="http://schemas.openxmlformats.org/officeDocument/2006/relationships/hyperlink" Target="https://www.zotero.org/google-docs/?giJS9b" TargetMode="External"/><Relationship Id="rId85" Type="http://schemas.openxmlformats.org/officeDocument/2006/relationships/hyperlink" Target="https://www.zotero.org/google-docs/?Or7zL2" TargetMode="External"/><Relationship Id="rId150" Type="http://schemas.openxmlformats.org/officeDocument/2006/relationships/hyperlink" Target="https://www.zotero.org/google-docs/?giJS9b" TargetMode="External"/><Relationship Id="rId171" Type="http://schemas.openxmlformats.org/officeDocument/2006/relationships/hyperlink" Target="https://www.zotero.org/google-docs/?giJS9b" TargetMode="External"/><Relationship Id="rId192" Type="http://schemas.openxmlformats.org/officeDocument/2006/relationships/hyperlink" Target="https://www.zotero.org/google-docs/?giJS9b" TargetMode="External"/><Relationship Id="rId206" Type="http://schemas.openxmlformats.org/officeDocument/2006/relationships/hyperlink" Target="https://www.zotero.org/google-docs/?giJS9b" TargetMode="External"/><Relationship Id="rId227" Type="http://schemas.openxmlformats.org/officeDocument/2006/relationships/hyperlink" Target="https://www.zotero.org/google-docs/?giJS9b" TargetMode="External"/><Relationship Id="rId248" Type="http://schemas.openxmlformats.org/officeDocument/2006/relationships/hyperlink" Target="https://www.zotero.org/google-docs/?giJS9b" TargetMode="External"/><Relationship Id="rId12" Type="http://schemas.openxmlformats.org/officeDocument/2006/relationships/hyperlink" Target="https://www.zotero.org/google-docs/?LH7EN2" TargetMode="External"/><Relationship Id="rId33" Type="http://schemas.openxmlformats.org/officeDocument/2006/relationships/image" Target="media/image10.png"/><Relationship Id="rId108" Type="http://schemas.openxmlformats.org/officeDocument/2006/relationships/hyperlink" Target="https://www.zotero.org/google-docs/?giJS9b" TargetMode="External"/><Relationship Id="rId129" Type="http://schemas.openxmlformats.org/officeDocument/2006/relationships/hyperlink" Target="https://www.zotero.org/google-docs/?giJS9b" TargetMode="External"/><Relationship Id="rId54" Type="http://schemas.openxmlformats.org/officeDocument/2006/relationships/image" Target="media/image15.png"/><Relationship Id="rId75" Type="http://schemas.openxmlformats.org/officeDocument/2006/relationships/hyperlink" Target="https://www.zotero.org/google-docs/?zxvr26" TargetMode="External"/><Relationship Id="rId96" Type="http://schemas.openxmlformats.org/officeDocument/2006/relationships/hyperlink" Target="https://www.zotero.org/google-docs/?giJS9b" TargetMode="External"/><Relationship Id="rId140" Type="http://schemas.openxmlformats.org/officeDocument/2006/relationships/hyperlink" Target="https://www.zotero.org/google-docs/?giJS9b" TargetMode="External"/><Relationship Id="rId161" Type="http://schemas.openxmlformats.org/officeDocument/2006/relationships/hyperlink" Target="https://www.zotero.org/google-docs/?giJS9b" TargetMode="External"/><Relationship Id="rId182" Type="http://schemas.openxmlformats.org/officeDocument/2006/relationships/hyperlink" Target="https://www.zotero.org/google-docs/?giJS9b" TargetMode="External"/><Relationship Id="rId217" Type="http://schemas.openxmlformats.org/officeDocument/2006/relationships/hyperlink" Target="https://www.zotero.org/google-docs/?giJS9b" TargetMode="External"/><Relationship Id="rId6" Type="http://schemas.openxmlformats.org/officeDocument/2006/relationships/endnotes" Target="endnotes.xml"/><Relationship Id="rId238" Type="http://schemas.openxmlformats.org/officeDocument/2006/relationships/hyperlink" Target="https://www.zotero.org/google-docs/?giJS9b" TargetMode="External"/><Relationship Id="rId23" Type="http://schemas.openxmlformats.org/officeDocument/2006/relationships/image" Target="media/image3.png"/><Relationship Id="rId119" Type="http://schemas.openxmlformats.org/officeDocument/2006/relationships/hyperlink" Target="https://www.zotero.org/google-docs/?giJS9b" TargetMode="External"/><Relationship Id="rId44" Type="http://schemas.openxmlformats.org/officeDocument/2006/relationships/hyperlink" Target="https://www.zotero.org/google-docs/?pH1DVl" TargetMode="External"/><Relationship Id="rId65" Type="http://schemas.openxmlformats.org/officeDocument/2006/relationships/hyperlink" Target="https://www.zotero.org/google-docs/?ypOC1J" TargetMode="External"/><Relationship Id="rId86" Type="http://schemas.openxmlformats.org/officeDocument/2006/relationships/hyperlink" Target="https://www.zotero.org/google-docs/?CdR10t" TargetMode="External"/><Relationship Id="rId130" Type="http://schemas.openxmlformats.org/officeDocument/2006/relationships/hyperlink" Target="https://www.zotero.org/google-docs/?giJS9b" TargetMode="External"/><Relationship Id="rId151" Type="http://schemas.openxmlformats.org/officeDocument/2006/relationships/hyperlink" Target="https://www.zotero.org/google-docs/?giJS9b" TargetMode="External"/><Relationship Id="rId172" Type="http://schemas.openxmlformats.org/officeDocument/2006/relationships/hyperlink" Target="https://www.zotero.org/google-docs/?giJS9b" TargetMode="External"/><Relationship Id="rId193" Type="http://schemas.openxmlformats.org/officeDocument/2006/relationships/hyperlink" Target="https://www.zotero.org/google-docs/?giJS9b" TargetMode="External"/><Relationship Id="rId207" Type="http://schemas.openxmlformats.org/officeDocument/2006/relationships/hyperlink" Target="https://www.zotero.org/google-docs/?giJS9b" TargetMode="External"/><Relationship Id="rId228" Type="http://schemas.openxmlformats.org/officeDocument/2006/relationships/hyperlink" Target="https://www.zotero.org/google-docs/?giJS9b" TargetMode="External"/><Relationship Id="rId249" Type="http://schemas.openxmlformats.org/officeDocument/2006/relationships/hyperlink" Target="https://www.zotero.org/google-docs/?giJS9b" TargetMode="External"/><Relationship Id="rId13" Type="http://schemas.openxmlformats.org/officeDocument/2006/relationships/hyperlink" Target="https://www.zotero.org/google-docs/?lYxOsZ" TargetMode="External"/><Relationship Id="rId109" Type="http://schemas.openxmlformats.org/officeDocument/2006/relationships/hyperlink" Target="https://www.zotero.org/google-docs/?giJS9b" TargetMode="External"/><Relationship Id="rId34" Type="http://schemas.openxmlformats.org/officeDocument/2006/relationships/hyperlink" Target="https://www.codecogs.com/eqnedit.php?latex=R_%7BN%7D(t)%3D%5CSigma_%7Bk%5Cge%20t%7D%20%5Cfrac%7BP_%7Bm%7D(k)%5Br_%7B%7BCO_2%7D%7Dw_r(1-w_r)%5Ek%2BCDR(k)%5D%7D%7B%5Crho%5E%7Bk-t%7D%7D" TargetMode="External"/><Relationship Id="rId55" Type="http://schemas.openxmlformats.org/officeDocument/2006/relationships/hyperlink" Target="https://www.codecogs.com/eqnedit.php?latex=%5Cbinom%7BN%5E%7Bk%7Dk!%7D%7BN%7D%20k%5E2%20N%5E2%20" TargetMode="External"/><Relationship Id="rId76" Type="http://schemas.openxmlformats.org/officeDocument/2006/relationships/hyperlink" Target="https://www.zotero.org/google-docs/?mc2zY4" TargetMode="External"/><Relationship Id="rId97" Type="http://schemas.openxmlformats.org/officeDocument/2006/relationships/hyperlink" Target="https://www.zotero.org/google-docs/?giJS9b" TargetMode="External"/><Relationship Id="rId120" Type="http://schemas.openxmlformats.org/officeDocument/2006/relationships/hyperlink" Target="https://www.zotero.org/google-docs/?giJS9b" TargetMode="External"/><Relationship Id="rId141" Type="http://schemas.openxmlformats.org/officeDocument/2006/relationships/hyperlink" Target="https://www.zotero.org/google-docs/?giJS9b" TargetMode="External"/><Relationship Id="rId7" Type="http://schemas.openxmlformats.org/officeDocument/2006/relationships/hyperlink" Target="https://www.zotero.org/google-docs/?OlI42a" TargetMode="External"/><Relationship Id="rId162" Type="http://schemas.openxmlformats.org/officeDocument/2006/relationships/hyperlink" Target="https://www.zotero.org/google-docs/?giJS9b" TargetMode="External"/><Relationship Id="rId183" Type="http://schemas.openxmlformats.org/officeDocument/2006/relationships/hyperlink" Target="https://www.zotero.org/google-docs/?giJS9b" TargetMode="External"/><Relationship Id="rId218" Type="http://schemas.openxmlformats.org/officeDocument/2006/relationships/hyperlink" Target="https://www.zotero.org/google-docs/?giJS9b" TargetMode="External"/><Relationship Id="rId239" Type="http://schemas.openxmlformats.org/officeDocument/2006/relationships/hyperlink" Target="https://www.zotero.org/google-docs/?giJS9b" TargetMode="External"/><Relationship Id="rId250" Type="http://schemas.openxmlformats.org/officeDocument/2006/relationships/hyperlink" Target="https://www.zotero.org/google-docs/?giJS9b" TargetMode="External"/><Relationship Id="rId24" Type="http://schemas.openxmlformats.org/officeDocument/2006/relationships/hyperlink" Target="https://www.zotero.org/google-docs/?IFnEFW" TargetMode="External"/><Relationship Id="rId45" Type="http://schemas.openxmlformats.org/officeDocument/2006/relationships/hyperlink" Target="https://www.zotero.org/google-docs/?FBKyHj" TargetMode="External"/><Relationship Id="rId66" Type="http://schemas.openxmlformats.org/officeDocument/2006/relationships/hyperlink" Target="https://www.zotero.org/google-docs/?ypOC1J" TargetMode="External"/><Relationship Id="rId87" Type="http://schemas.openxmlformats.org/officeDocument/2006/relationships/image" Target="media/image23.png"/><Relationship Id="rId110" Type="http://schemas.openxmlformats.org/officeDocument/2006/relationships/hyperlink" Target="https://www.zotero.org/google-docs/?giJS9b" TargetMode="External"/><Relationship Id="rId131" Type="http://schemas.openxmlformats.org/officeDocument/2006/relationships/hyperlink" Target="https://www.zotero.org/google-docs/?giJS9b" TargetMode="External"/><Relationship Id="rId152" Type="http://schemas.openxmlformats.org/officeDocument/2006/relationships/hyperlink" Target="https://www.zotero.org/google-docs/?giJS9b" TargetMode="External"/><Relationship Id="rId173" Type="http://schemas.openxmlformats.org/officeDocument/2006/relationships/hyperlink" Target="https://www.zotero.org/google-docs/?giJS9b" TargetMode="External"/><Relationship Id="rId194" Type="http://schemas.openxmlformats.org/officeDocument/2006/relationships/hyperlink" Target="https://www.zotero.org/google-docs/?giJS9b" TargetMode="External"/><Relationship Id="rId208" Type="http://schemas.openxmlformats.org/officeDocument/2006/relationships/hyperlink" Target="https://www.zotero.org/google-docs/?giJS9b" TargetMode="External"/><Relationship Id="rId229" Type="http://schemas.openxmlformats.org/officeDocument/2006/relationships/hyperlink" Target="https://www.zotero.org/google-docs/?giJS9b" TargetMode="External"/><Relationship Id="rId240" Type="http://schemas.openxmlformats.org/officeDocument/2006/relationships/hyperlink" Target="https://www.zotero.org/google-docs/?giJS9b" TargetMode="External"/><Relationship Id="rId14" Type="http://schemas.openxmlformats.org/officeDocument/2006/relationships/hyperlink" Target="https://www.zotero.org/google-docs/?kwWgYx" TargetMode="External"/><Relationship Id="rId35" Type="http://schemas.openxmlformats.org/officeDocument/2006/relationships/image" Target="media/image11.png"/><Relationship Id="rId56" Type="http://schemas.openxmlformats.org/officeDocument/2006/relationships/image" Target="media/image16.png"/><Relationship Id="rId77" Type="http://schemas.openxmlformats.org/officeDocument/2006/relationships/hyperlink" Target="https://www.zotero.org/google-docs/?H8Qi8D" TargetMode="External"/><Relationship Id="rId100" Type="http://schemas.openxmlformats.org/officeDocument/2006/relationships/hyperlink" Target="https://www.zotero.org/google-docs/?giJS9b" TargetMode="External"/><Relationship Id="rId8" Type="http://schemas.openxmlformats.org/officeDocument/2006/relationships/hyperlink" Target="https://www.zotero.org/google-docs/?DcRzp3" TargetMode="External"/><Relationship Id="rId98" Type="http://schemas.openxmlformats.org/officeDocument/2006/relationships/hyperlink" Target="https://www.zotero.org/google-docs/?giJS9b" TargetMode="External"/><Relationship Id="rId121" Type="http://schemas.openxmlformats.org/officeDocument/2006/relationships/hyperlink" Target="https://www.zotero.org/google-docs/?giJS9b" TargetMode="External"/><Relationship Id="rId142" Type="http://schemas.openxmlformats.org/officeDocument/2006/relationships/hyperlink" Target="https://www.zotero.org/google-docs/?giJS9b" TargetMode="External"/><Relationship Id="rId163" Type="http://schemas.openxmlformats.org/officeDocument/2006/relationships/hyperlink" Target="https://www.zotero.org/google-docs/?giJS9b" TargetMode="External"/><Relationship Id="rId184" Type="http://schemas.openxmlformats.org/officeDocument/2006/relationships/hyperlink" Target="https://www.zotero.org/google-docs/?giJS9b" TargetMode="External"/><Relationship Id="rId219" Type="http://schemas.openxmlformats.org/officeDocument/2006/relationships/hyperlink" Target="https://www.zotero.org/google-docs/?giJS9b" TargetMode="External"/><Relationship Id="rId230" Type="http://schemas.openxmlformats.org/officeDocument/2006/relationships/hyperlink" Target="https://www.zotero.org/google-docs/?giJS9b" TargetMode="External"/><Relationship Id="rId251" Type="http://schemas.openxmlformats.org/officeDocument/2006/relationships/hyperlink" Target="https://www.zotero.org/google-docs/?giJS9b" TargetMode="External"/><Relationship Id="rId25" Type="http://schemas.openxmlformats.org/officeDocument/2006/relationships/hyperlink" Target="https://www.zotero.org/google-docs/?ZXQF8m" TargetMode="External"/><Relationship Id="rId46" Type="http://schemas.openxmlformats.org/officeDocument/2006/relationships/hyperlink" Target="https://www.zotero.org/google-docs/?tEUYhy" TargetMode="External"/><Relationship Id="rId67" Type="http://schemas.openxmlformats.org/officeDocument/2006/relationships/hyperlink" Target="https://www.zotero.org/google-docs/?6p3dGk" TargetMode="External"/><Relationship Id="rId88" Type="http://schemas.openxmlformats.org/officeDocument/2006/relationships/hyperlink" Target="https://www.zotero.org/google-docs/?giJS9b" TargetMode="External"/><Relationship Id="rId111" Type="http://schemas.openxmlformats.org/officeDocument/2006/relationships/hyperlink" Target="https://www.zotero.org/google-docs/?giJS9b" TargetMode="External"/><Relationship Id="rId132" Type="http://schemas.openxmlformats.org/officeDocument/2006/relationships/hyperlink" Target="https://www.zotero.org/google-docs/?giJS9b" TargetMode="External"/><Relationship Id="rId153" Type="http://schemas.openxmlformats.org/officeDocument/2006/relationships/hyperlink" Target="https://www.zotero.org/google-docs/?giJS9b" TargetMode="External"/><Relationship Id="rId174" Type="http://schemas.openxmlformats.org/officeDocument/2006/relationships/hyperlink" Target="https://www.zotero.org/google-docs/?giJS9b" TargetMode="External"/><Relationship Id="rId195" Type="http://schemas.openxmlformats.org/officeDocument/2006/relationships/hyperlink" Target="https://www.zotero.org/google-docs/?giJS9b" TargetMode="External"/><Relationship Id="rId209" Type="http://schemas.openxmlformats.org/officeDocument/2006/relationships/hyperlink" Target="https://www.zotero.org/google-docs/?giJS9b" TargetMode="External"/><Relationship Id="rId220" Type="http://schemas.openxmlformats.org/officeDocument/2006/relationships/hyperlink" Target="https://www.zotero.org/google-docs/?giJS9b" TargetMode="External"/><Relationship Id="rId241" Type="http://schemas.openxmlformats.org/officeDocument/2006/relationships/hyperlink" Target="https://www.zotero.org/google-docs/?giJS9b" TargetMode="External"/><Relationship Id="rId15" Type="http://schemas.openxmlformats.org/officeDocument/2006/relationships/hyperlink" Target="https://www.zotero.org/google-docs/?KV7ZxA" TargetMode="External"/><Relationship Id="rId36" Type="http://schemas.openxmlformats.org/officeDocument/2006/relationships/image" Target="media/image12.png"/><Relationship Id="rId57" Type="http://schemas.openxmlformats.org/officeDocument/2006/relationships/hyperlink" Target="https://www.codecogs.com/eqnedit.php?latex=%5B0%2C%5Cfrac%7B1%7D%7B2(N-1)%7D%2C...%2C%5Cfrac%7BN-1%7D%7B2(N-1)%7D%5D" TargetMode="External"/><Relationship Id="rId78" Type="http://schemas.openxmlformats.org/officeDocument/2006/relationships/hyperlink" Target="https://www.zotero.org/google-docs/?cYZ6Zt" TargetMode="External"/><Relationship Id="rId99" Type="http://schemas.openxmlformats.org/officeDocument/2006/relationships/hyperlink" Target="https://www.zotero.org/google-docs/?giJS9b" TargetMode="External"/><Relationship Id="rId101" Type="http://schemas.openxmlformats.org/officeDocument/2006/relationships/hyperlink" Target="https://www.zotero.org/google-docs/?giJS9b" TargetMode="External"/><Relationship Id="rId122" Type="http://schemas.openxmlformats.org/officeDocument/2006/relationships/hyperlink" Target="https://www.zotero.org/google-docs/?giJS9b" TargetMode="External"/><Relationship Id="rId143" Type="http://schemas.openxmlformats.org/officeDocument/2006/relationships/hyperlink" Target="https://www.zotero.org/google-docs/?giJS9b" TargetMode="External"/><Relationship Id="rId164" Type="http://schemas.openxmlformats.org/officeDocument/2006/relationships/hyperlink" Target="https://www.zotero.org/google-docs/?giJS9b" TargetMode="External"/><Relationship Id="rId185" Type="http://schemas.openxmlformats.org/officeDocument/2006/relationships/hyperlink" Target="https://www.zotero.org/google-docs/?giJS9b" TargetMode="External"/><Relationship Id="rId9" Type="http://schemas.openxmlformats.org/officeDocument/2006/relationships/hyperlink" Target="https://www.zotero.org/google-docs/?YKIGxT" TargetMode="External"/><Relationship Id="rId210" Type="http://schemas.openxmlformats.org/officeDocument/2006/relationships/hyperlink" Target="https://www.zotero.org/google-docs/?giJS9b" TargetMode="External"/><Relationship Id="rId26" Type="http://schemas.openxmlformats.org/officeDocument/2006/relationships/hyperlink" Target="https://www.zotero.org/google-docs/?ih35vu" TargetMode="External"/><Relationship Id="rId231" Type="http://schemas.openxmlformats.org/officeDocument/2006/relationships/hyperlink" Target="https://www.zotero.org/google-docs/?giJS9b" TargetMode="External"/><Relationship Id="rId252" Type="http://schemas.openxmlformats.org/officeDocument/2006/relationships/hyperlink" Target="https://www.zotero.org/google-docs/?giJS9b" TargetMode="External"/><Relationship Id="rId47" Type="http://schemas.openxmlformats.org/officeDocument/2006/relationships/hyperlink" Target="https://www.zotero.org/google-docs/?o5W2ss" TargetMode="External"/><Relationship Id="rId68" Type="http://schemas.openxmlformats.org/officeDocument/2006/relationships/hyperlink" Target="https://www.zotero.org/google-docs/?wBtGyA" TargetMode="External"/><Relationship Id="rId89" Type="http://schemas.openxmlformats.org/officeDocument/2006/relationships/hyperlink" Target="https://www.zotero.org/google-docs/?giJS9b" TargetMode="External"/><Relationship Id="rId112" Type="http://schemas.openxmlformats.org/officeDocument/2006/relationships/hyperlink" Target="https://www.zotero.org/google-docs/?giJS9b" TargetMode="External"/><Relationship Id="rId133" Type="http://schemas.openxmlformats.org/officeDocument/2006/relationships/hyperlink" Target="https://www.zotero.org/google-docs/?giJS9b" TargetMode="External"/><Relationship Id="rId154" Type="http://schemas.openxmlformats.org/officeDocument/2006/relationships/hyperlink" Target="https://www.zotero.org/google-docs/?giJS9b" TargetMode="External"/><Relationship Id="rId175" Type="http://schemas.openxmlformats.org/officeDocument/2006/relationships/hyperlink" Target="https://www.zotero.org/google-docs/?giJS9b" TargetMode="External"/><Relationship Id="rId196" Type="http://schemas.openxmlformats.org/officeDocument/2006/relationships/hyperlink" Target="https://www.zotero.org/google-docs/?giJS9b" TargetMode="External"/><Relationship Id="rId200" Type="http://schemas.openxmlformats.org/officeDocument/2006/relationships/hyperlink" Target="https://www.zotero.org/google-docs/?giJS9b" TargetMode="External"/><Relationship Id="rId16" Type="http://schemas.openxmlformats.org/officeDocument/2006/relationships/hyperlink" Target="https://www.zotero.org/google-docs/?FRD4fX" TargetMode="External"/><Relationship Id="rId221" Type="http://schemas.openxmlformats.org/officeDocument/2006/relationships/hyperlink" Target="https://www.zotero.org/google-docs/?giJS9b" TargetMode="External"/><Relationship Id="rId242" Type="http://schemas.openxmlformats.org/officeDocument/2006/relationships/hyperlink" Target="https://www.zotero.org/google-docs/?giJS9b" TargetMode="External"/><Relationship Id="rId37" Type="http://schemas.openxmlformats.org/officeDocument/2006/relationships/hyperlink" Target="https://www.zotero.org/google-docs/?Tn1bCs" TargetMode="External"/><Relationship Id="rId58" Type="http://schemas.openxmlformats.org/officeDocument/2006/relationships/image" Target="media/image17.png"/><Relationship Id="rId79" Type="http://schemas.openxmlformats.org/officeDocument/2006/relationships/hyperlink" Target="https://www.zotero.org/google-docs/?wIrk9j" TargetMode="External"/><Relationship Id="rId102" Type="http://schemas.openxmlformats.org/officeDocument/2006/relationships/hyperlink" Target="https://www.zotero.org/google-docs/?giJS9b" TargetMode="External"/><Relationship Id="rId123" Type="http://schemas.openxmlformats.org/officeDocument/2006/relationships/hyperlink" Target="https://www.zotero.org/google-docs/?giJS9b" TargetMode="External"/><Relationship Id="rId144" Type="http://schemas.openxmlformats.org/officeDocument/2006/relationships/hyperlink" Target="https://www.zotero.org/google-docs/?giJS9b" TargetMode="External"/><Relationship Id="rId90" Type="http://schemas.openxmlformats.org/officeDocument/2006/relationships/hyperlink" Target="https://www.zotero.org/google-docs/?giJS9b" TargetMode="External"/><Relationship Id="rId165" Type="http://schemas.openxmlformats.org/officeDocument/2006/relationships/hyperlink" Target="https://www.zotero.org/google-docs/?giJS9b" TargetMode="External"/><Relationship Id="rId186" Type="http://schemas.openxmlformats.org/officeDocument/2006/relationships/hyperlink" Target="https://www.zotero.org/google-docs/?giJS9b" TargetMode="External"/><Relationship Id="rId211" Type="http://schemas.openxmlformats.org/officeDocument/2006/relationships/hyperlink" Target="https://www.zotero.org/google-docs/?giJS9b" TargetMode="External"/><Relationship Id="rId232" Type="http://schemas.openxmlformats.org/officeDocument/2006/relationships/hyperlink" Target="https://www.zotero.org/google-docs/?giJS9b" TargetMode="External"/><Relationship Id="rId253" Type="http://schemas.openxmlformats.org/officeDocument/2006/relationships/hyperlink" Target="https://www.zotero.org/google-docs/?giJS9b" TargetMode="External"/><Relationship Id="rId27" Type="http://schemas.openxmlformats.org/officeDocument/2006/relationships/image" Target="media/image4.png"/><Relationship Id="rId48" Type="http://schemas.openxmlformats.org/officeDocument/2006/relationships/hyperlink" Target="https://www.zotero.org/google-docs/?nthcqC" TargetMode="External"/><Relationship Id="rId69" Type="http://schemas.openxmlformats.org/officeDocument/2006/relationships/hyperlink" Target="https://www.zotero.org/google-docs/?tSftDQ" TargetMode="External"/><Relationship Id="rId113" Type="http://schemas.openxmlformats.org/officeDocument/2006/relationships/hyperlink" Target="https://www.zotero.org/google-docs/?giJS9b" TargetMode="External"/><Relationship Id="rId134" Type="http://schemas.openxmlformats.org/officeDocument/2006/relationships/hyperlink" Target="https://www.zotero.org/google-docs/?giJS9b" TargetMode="External"/><Relationship Id="rId80" Type="http://schemas.openxmlformats.org/officeDocument/2006/relationships/hyperlink" Target="https://www.zotero.org/google-docs/?PCRNRS" TargetMode="External"/><Relationship Id="rId155" Type="http://schemas.openxmlformats.org/officeDocument/2006/relationships/hyperlink" Target="https://www.zotero.org/google-docs/?giJS9b" TargetMode="External"/><Relationship Id="rId176" Type="http://schemas.openxmlformats.org/officeDocument/2006/relationships/hyperlink" Target="https://www.zotero.org/google-docs/?giJS9b" TargetMode="External"/><Relationship Id="rId197" Type="http://schemas.openxmlformats.org/officeDocument/2006/relationships/hyperlink" Target="https://www.zotero.org/google-docs/?giJS9b" TargetMode="External"/><Relationship Id="rId201" Type="http://schemas.openxmlformats.org/officeDocument/2006/relationships/hyperlink" Target="https://www.zotero.org/google-docs/?giJS9b" TargetMode="External"/><Relationship Id="rId222" Type="http://schemas.openxmlformats.org/officeDocument/2006/relationships/hyperlink" Target="https://www.zotero.org/google-docs/?giJS9b" TargetMode="External"/><Relationship Id="rId243" Type="http://schemas.openxmlformats.org/officeDocument/2006/relationships/hyperlink" Target="https://www.zotero.org/google-docs/?giJS9b" TargetMode="External"/><Relationship Id="rId17" Type="http://schemas.openxmlformats.org/officeDocument/2006/relationships/image" Target="media/image1.png"/><Relationship Id="rId38" Type="http://schemas.openxmlformats.org/officeDocument/2006/relationships/hyperlink" Target="https://www.zotero.org/google-docs/?7fSCzS" TargetMode="External"/><Relationship Id="rId59" Type="http://schemas.openxmlformats.org/officeDocument/2006/relationships/hyperlink" Target="https://www.codecogs.com/eqnedit.php?latex=%5CDelta%20%3D%20%5Cfrac%7BN%7D%7B2N-1%7D" TargetMode="External"/><Relationship Id="rId103" Type="http://schemas.openxmlformats.org/officeDocument/2006/relationships/hyperlink" Target="https://www.zotero.org/google-docs/?giJS9b" TargetMode="External"/><Relationship Id="rId124" Type="http://schemas.openxmlformats.org/officeDocument/2006/relationships/hyperlink" Target="https://www.zotero.org/google-docs/?giJS9b" TargetMode="External"/><Relationship Id="rId70" Type="http://schemas.openxmlformats.org/officeDocument/2006/relationships/hyperlink" Target="https://www.zotero.org/google-docs/?cPOfWh" TargetMode="External"/><Relationship Id="rId91" Type="http://schemas.openxmlformats.org/officeDocument/2006/relationships/hyperlink" Target="https://www.zotero.org/google-docs/?giJS9b" TargetMode="External"/><Relationship Id="rId145" Type="http://schemas.openxmlformats.org/officeDocument/2006/relationships/hyperlink" Target="https://www.zotero.org/google-docs/?giJS9b" TargetMode="External"/><Relationship Id="rId166" Type="http://schemas.openxmlformats.org/officeDocument/2006/relationships/hyperlink" Target="https://www.zotero.org/google-docs/?giJS9b" TargetMode="External"/><Relationship Id="rId187" Type="http://schemas.openxmlformats.org/officeDocument/2006/relationships/hyperlink" Target="https://www.zotero.org/google-docs/?giJS9b" TargetMode="External"/><Relationship Id="rId1" Type="http://schemas.openxmlformats.org/officeDocument/2006/relationships/numbering" Target="numbering.xml"/><Relationship Id="rId212" Type="http://schemas.openxmlformats.org/officeDocument/2006/relationships/hyperlink" Target="https://www.zotero.org/google-docs/?giJS9b" TargetMode="External"/><Relationship Id="rId233" Type="http://schemas.openxmlformats.org/officeDocument/2006/relationships/hyperlink" Target="https://www.zotero.org/google-docs/?giJS9b" TargetMode="External"/><Relationship Id="rId254" Type="http://schemas.openxmlformats.org/officeDocument/2006/relationships/header" Target="header1.xml"/><Relationship Id="rId28" Type="http://schemas.openxmlformats.org/officeDocument/2006/relationships/image" Target="media/image5.png"/><Relationship Id="rId49" Type="http://schemas.openxmlformats.org/officeDocument/2006/relationships/hyperlink" Target="https://www.codecogs.com/eqnedit.php?latex=d_%7Bm%2Cl%7D%3D%20%20%5Csum_%7Bi%7D%5E%7Bk%2B1%7D%5Csum_%7Bj%7D%5E%7Bk%2B1%7D%5Csqrt%7B%5Csum_%7Bz%7D%5E%7Bk%7D%5BX_i%5Em(z)-X_j%5El(z)%5D%5E2%7D" TargetMode="External"/><Relationship Id="rId114" Type="http://schemas.openxmlformats.org/officeDocument/2006/relationships/hyperlink" Target="https://www.zotero.org/google-docs/?giJS9b" TargetMode="External"/><Relationship Id="rId60" Type="http://schemas.openxmlformats.org/officeDocument/2006/relationships/image" Target="media/image18.png"/><Relationship Id="rId81" Type="http://schemas.openxmlformats.org/officeDocument/2006/relationships/hyperlink" Target="https://www.zotero.org/google-docs/?7Mos4c" TargetMode="External"/><Relationship Id="rId135" Type="http://schemas.openxmlformats.org/officeDocument/2006/relationships/hyperlink" Target="https://www.zotero.org/google-docs/?giJS9b" TargetMode="External"/><Relationship Id="rId156" Type="http://schemas.openxmlformats.org/officeDocument/2006/relationships/hyperlink" Target="https://www.zotero.org/google-docs/?giJS9b" TargetMode="External"/><Relationship Id="rId177" Type="http://schemas.openxmlformats.org/officeDocument/2006/relationships/hyperlink" Target="https://www.zotero.org/google-docs/?giJS9b" TargetMode="External"/><Relationship Id="rId198" Type="http://schemas.openxmlformats.org/officeDocument/2006/relationships/hyperlink" Target="https://www.zotero.org/google-docs/?giJS9b" TargetMode="External"/><Relationship Id="rId202" Type="http://schemas.openxmlformats.org/officeDocument/2006/relationships/hyperlink" Target="https://www.zotero.org/google-docs/?giJS9b" TargetMode="External"/><Relationship Id="rId223" Type="http://schemas.openxmlformats.org/officeDocument/2006/relationships/hyperlink" Target="https://www.zotero.org/google-docs/?giJS9b" TargetMode="External"/><Relationship Id="rId244" Type="http://schemas.openxmlformats.org/officeDocument/2006/relationships/hyperlink" Target="https://www.zotero.org/google-docs/?giJS9b" TargetMode="External"/><Relationship Id="rId18" Type="http://schemas.openxmlformats.org/officeDocument/2006/relationships/image" Target="media/image2.png"/><Relationship Id="rId39" Type="http://schemas.openxmlformats.org/officeDocument/2006/relationships/hyperlink" Target="https://www.zotero.org/google-docs/?6UjHHO" TargetMode="External"/><Relationship Id="rId50" Type="http://schemas.openxmlformats.org/officeDocument/2006/relationships/image" Target="media/image13.png"/><Relationship Id="rId104" Type="http://schemas.openxmlformats.org/officeDocument/2006/relationships/hyperlink" Target="https://www.zotero.org/google-docs/?giJS9b" TargetMode="External"/><Relationship Id="rId125" Type="http://schemas.openxmlformats.org/officeDocument/2006/relationships/hyperlink" Target="https://www.zotero.org/google-docs/?giJS9b" TargetMode="External"/><Relationship Id="rId146" Type="http://schemas.openxmlformats.org/officeDocument/2006/relationships/hyperlink" Target="https://www.zotero.org/google-docs/?giJS9b" TargetMode="External"/><Relationship Id="rId167" Type="http://schemas.openxmlformats.org/officeDocument/2006/relationships/hyperlink" Target="https://www.zotero.org/google-docs/?giJS9b" TargetMode="External"/><Relationship Id="rId188" Type="http://schemas.openxmlformats.org/officeDocument/2006/relationships/hyperlink" Target="https://www.zotero.org/google-docs/?giJS9b" TargetMode="External"/><Relationship Id="rId71" Type="http://schemas.openxmlformats.org/officeDocument/2006/relationships/hyperlink" Target="https://www.zotero.org/google-docs/?jPrSUy" TargetMode="External"/><Relationship Id="rId92" Type="http://schemas.openxmlformats.org/officeDocument/2006/relationships/hyperlink" Target="https://www.zotero.org/google-docs/?giJS9b" TargetMode="External"/><Relationship Id="rId213" Type="http://schemas.openxmlformats.org/officeDocument/2006/relationships/hyperlink" Target="https://www.zotero.org/google-docs/?giJS9b" TargetMode="External"/><Relationship Id="rId234" Type="http://schemas.openxmlformats.org/officeDocument/2006/relationships/hyperlink" Target="https://www.zotero.org/google-docs/?giJS9b" TargetMode="External"/><Relationship Id="rId2" Type="http://schemas.openxmlformats.org/officeDocument/2006/relationships/styles" Target="styles.xml"/><Relationship Id="rId29" Type="http://schemas.openxmlformats.org/officeDocument/2006/relationships/image" Target="media/image6.png"/><Relationship Id="rId255" Type="http://schemas.openxmlformats.org/officeDocument/2006/relationships/footer" Target="footer1.xml"/><Relationship Id="rId40" Type="http://schemas.openxmlformats.org/officeDocument/2006/relationships/hyperlink" Target="https://www.zotero.org/google-docs/?3ambs2" TargetMode="External"/><Relationship Id="rId115" Type="http://schemas.openxmlformats.org/officeDocument/2006/relationships/hyperlink" Target="https://www.zotero.org/google-docs/?giJS9b" TargetMode="External"/><Relationship Id="rId136" Type="http://schemas.openxmlformats.org/officeDocument/2006/relationships/hyperlink" Target="https://www.zotero.org/google-docs/?giJS9b" TargetMode="External"/><Relationship Id="rId157" Type="http://schemas.openxmlformats.org/officeDocument/2006/relationships/hyperlink" Target="https://www.zotero.org/google-docs/?giJS9b" TargetMode="External"/><Relationship Id="rId178" Type="http://schemas.openxmlformats.org/officeDocument/2006/relationships/hyperlink" Target="https://www.zotero.org/google-docs/?giJS9b" TargetMode="External"/><Relationship Id="rId61" Type="http://schemas.openxmlformats.org/officeDocument/2006/relationships/hyperlink" Target="https://www.zotero.org/google-docs/?1DBemB" TargetMode="External"/><Relationship Id="rId82" Type="http://schemas.openxmlformats.org/officeDocument/2006/relationships/hyperlink" Target="https://www.zotero.org/google-docs/?q3QycY" TargetMode="External"/><Relationship Id="rId199" Type="http://schemas.openxmlformats.org/officeDocument/2006/relationships/hyperlink" Target="https://www.zotero.org/google-docs/?giJS9b" TargetMode="External"/><Relationship Id="rId203" Type="http://schemas.openxmlformats.org/officeDocument/2006/relationships/hyperlink" Target="https://www.zotero.org/google-docs/?giJS9b" TargetMode="External"/><Relationship Id="rId19" Type="http://schemas.openxmlformats.org/officeDocument/2006/relationships/hyperlink" Target="https://www.zotero.org/google-docs/?i2zmyp" TargetMode="External"/><Relationship Id="rId224" Type="http://schemas.openxmlformats.org/officeDocument/2006/relationships/hyperlink" Target="https://www.zotero.org/google-docs/?giJS9b" TargetMode="External"/><Relationship Id="rId245" Type="http://schemas.openxmlformats.org/officeDocument/2006/relationships/hyperlink" Target="https://www.zotero.org/google-docs/?giJS9b" TargetMode="External"/><Relationship Id="rId30" Type="http://schemas.openxmlformats.org/officeDocument/2006/relationships/image" Target="media/image7.png"/><Relationship Id="rId105" Type="http://schemas.openxmlformats.org/officeDocument/2006/relationships/hyperlink" Target="https://www.zotero.org/google-docs/?giJS9b" TargetMode="External"/><Relationship Id="rId126" Type="http://schemas.openxmlformats.org/officeDocument/2006/relationships/hyperlink" Target="https://www.zotero.org/google-docs/?giJS9b" TargetMode="External"/><Relationship Id="rId147" Type="http://schemas.openxmlformats.org/officeDocument/2006/relationships/hyperlink" Target="https://www.zotero.org/google-docs/?giJS9b" TargetMode="External"/><Relationship Id="rId168" Type="http://schemas.openxmlformats.org/officeDocument/2006/relationships/hyperlink" Target="https://www.zotero.org/google-docs/?giJS9b" TargetMode="External"/><Relationship Id="rId51" Type="http://schemas.openxmlformats.org/officeDocument/2006/relationships/hyperlink" Target="https://www.codecogs.com/eqnedit.php?latex=d_%7Bm%2Cl%7D%3D%20%20%5Csum_%7Bi%7D%5E%7Bk%2B1%7D%5Csqrt%7B%5Csum_%7Bz%7D%5E%7Bk%7D%5BX_%7B%5Csigma%5Em(i)%7D%5Em(z)-X_%7B%5Csigma%5El(i)%7D%5El(z)%5D%5E2%7D" TargetMode="External"/><Relationship Id="rId72" Type="http://schemas.openxmlformats.org/officeDocument/2006/relationships/image" Target="media/image19.png"/><Relationship Id="rId93" Type="http://schemas.openxmlformats.org/officeDocument/2006/relationships/hyperlink" Target="https://www.zotero.org/google-docs/?giJS9b" TargetMode="External"/><Relationship Id="rId189" Type="http://schemas.openxmlformats.org/officeDocument/2006/relationships/hyperlink" Target="https://www.zotero.org/google-docs/?giJS9b" TargetMode="External"/><Relationship Id="rId3" Type="http://schemas.openxmlformats.org/officeDocument/2006/relationships/settings" Target="settings.xml"/><Relationship Id="rId214" Type="http://schemas.openxmlformats.org/officeDocument/2006/relationships/hyperlink" Target="https://www.zotero.org/google-docs/?giJS9b" TargetMode="External"/><Relationship Id="rId235" Type="http://schemas.openxmlformats.org/officeDocument/2006/relationships/hyperlink" Target="https://www.zotero.org/google-docs/?giJS9b" TargetMode="External"/><Relationship Id="rId256" Type="http://schemas.openxmlformats.org/officeDocument/2006/relationships/fontTable" Target="fontTable.xml"/><Relationship Id="rId116" Type="http://schemas.openxmlformats.org/officeDocument/2006/relationships/hyperlink" Target="https://www.zotero.org/google-docs/?giJS9b" TargetMode="External"/><Relationship Id="rId137" Type="http://schemas.openxmlformats.org/officeDocument/2006/relationships/hyperlink" Target="https://www.zotero.org/google-docs/?giJS9b" TargetMode="External"/><Relationship Id="rId158" Type="http://schemas.openxmlformats.org/officeDocument/2006/relationships/hyperlink" Target="https://www.zotero.org/google-docs/?giJS9b" TargetMode="External"/><Relationship Id="rId20" Type="http://schemas.openxmlformats.org/officeDocument/2006/relationships/hyperlink" Target="https://www.zotero.org/google-docs/?ctajIK" TargetMode="External"/><Relationship Id="rId41" Type="http://schemas.openxmlformats.org/officeDocument/2006/relationships/hyperlink" Target="https://www.zotero.org/google-docs/?9TMvYS" TargetMode="External"/><Relationship Id="rId62" Type="http://schemas.openxmlformats.org/officeDocument/2006/relationships/hyperlink" Target="https://www.zotero.org/google-docs/?kLvzOL" TargetMode="External"/><Relationship Id="rId83" Type="http://schemas.openxmlformats.org/officeDocument/2006/relationships/image" Target="media/image21.png"/><Relationship Id="rId179" Type="http://schemas.openxmlformats.org/officeDocument/2006/relationships/hyperlink" Target="https://www.zotero.org/google-docs/?giJS9b" TargetMode="External"/><Relationship Id="rId190" Type="http://schemas.openxmlformats.org/officeDocument/2006/relationships/hyperlink" Target="https://www.zotero.org/google-docs/?giJS9b" TargetMode="External"/><Relationship Id="rId204" Type="http://schemas.openxmlformats.org/officeDocument/2006/relationships/hyperlink" Target="https://www.zotero.org/google-docs/?giJS9b" TargetMode="External"/><Relationship Id="rId225" Type="http://schemas.openxmlformats.org/officeDocument/2006/relationships/hyperlink" Target="https://www.zotero.org/google-docs/?giJS9b" TargetMode="External"/><Relationship Id="rId246" Type="http://schemas.openxmlformats.org/officeDocument/2006/relationships/hyperlink" Target="https://www.zotero.org/google-docs/?giJS9b" TargetMode="External"/><Relationship Id="rId106" Type="http://schemas.openxmlformats.org/officeDocument/2006/relationships/hyperlink" Target="https://www.zotero.org/google-docs/?giJS9b" TargetMode="External"/><Relationship Id="rId127" Type="http://schemas.openxmlformats.org/officeDocument/2006/relationships/hyperlink" Target="https://www.zotero.org/google-docs/?giJS9b" TargetMode="External"/><Relationship Id="rId10" Type="http://schemas.openxmlformats.org/officeDocument/2006/relationships/hyperlink" Target="https://www.zotero.org/google-docs/?IRDTsf" TargetMode="External"/><Relationship Id="rId31" Type="http://schemas.openxmlformats.org/officeDocument/2006/relationships/image" Target="media/image8.png"/><Relationship Id="rId52" Type="http://schemas.openxmlformats.org/officeDocument/2006/relationships/image" Target="media/image14.png"/><Relationship Id="rId73" Type="http://schemas.openxmlformats.org/officeDocument/2006/relationships/image" Target="media/image20.png"/><Relationship Id="rId94" Type="http://schemas.openxmlformats.org/officeDocument/2006/relationships/hyperlink" Target="https://www.zotero.org/google-docs/?giJS9b" TargetMode="External"/><Relationship Id="rId148" Type="http://schemas.openxmlformats.org/officeDocument/2006/relationships/hyperlink" Target="https://www.zotero.org/google-docs/?giJS9b" TargetMode="External"/><Relationship Id="rId169" Type="http://schemas.openxmlformats.org/officeDocument/2006/relationships/hyperlink" Target="https://www.zotero.org/google-docs/?giJS9b" TargetMode="External"/><Relationship Id="rId4" Type="http://schemas.openxmlformats.org/officeDocument/2006/relationships/webSettings" Target="webSettings.xml"/><Relationship Id="rId180" Type="http://schemas.openxmlformats.org/officeDocument/2006/relationships/hyperlink" Target="https://www.zotero.org/google-docs/?giJS9b" TargetMode="External"/><Relationship Id="rId215" Type="http://schemas.openxmlformats.org/officeDocument/2006/relationships/hyperlink" Target="https://www.zotero.org/google-docs/?giJS9b" TargetMode="External"/><Relationship Id="rId236" Type="http://schemas.openxmlformats.org/officeDocument/2006/relationships/hyperlink" Target="https://www.zotero.org/google-docs/?giJS9b" TargetMode="External"/><Relationship Id="rId257"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www.iea.org/data-and-statistics/data-tools/etp-clean-energy-technology-gui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8988</Words>
  <Characters>51238</Characters>
  <Application>Microsoft Office Word</Application>
  <DocSecurity>0</DocSecurity>
  <Lines>426</Lines>
  <Paragraphs>120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60106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ygaucher</dc:creator>
  <cp:lastModifiedBy>ygaucher@LSCE.IPSL.FR</cp:lastModifiedBy>
  <cp:revision>2</cp:revision>
  <dcterms:created xsi:type="dcterms:W3CDTF">2023-07-05T11:27:00Z</dcterms:created>
  <dcterms:modified xsi:type="dcterms:W3CDTF">2023-07-05T11:27:00Z</dcterms:modified>
</cp:coreProperties>
</file>