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499101" w14:textId="77777777" w:rsidR="000D4842" w:rsidRDefault="000D4842" w:rsidP="000D4842">
      <w:pPr>
        <w:pBdr>
          <w:top w:val="nil"/>
          <w:left w:val="nil"/>
          <w:bottom w:val="nil"/>
          <w:right w:val="nil"/>
          <w:between w:val="nil"/>
        </w:pBdr>
        <w:ind w:firstLine="0"/>
        <w:rPr>
          <w:b/>
          <w:color w:val="000000"/>
        </w:rPr>
      </w:pPr>
      <w:r>
        <w:rPr>
          <w:b/>
        </w:rPr>
        <w:t>Extended Data</w:t>
      </w:r>
    </w:p>
    <w:p w14:paraId="224CB72B" w14:textId="77777777" w:rsidR="000D4842" w:rsidRDefault="000D4842" w:rsidP="000D4842">
      <w:pPr>
        <w:pBdr>
          <w:top w:val="nil"/>
          <w:left w:val="nil"/>
          <w:bottom w:val="nil"/>
          <w:right w:val="nil"/>
          <w:between w:val="nil"/>
        </w:pBdr>
        <w:ind w:firstLine="0"/>
      </w:pPr>
    </w:p>
    <w:p w14:paraId="741BC45C" w14:textId="77777777" w:rsidR="000D4842" w:rsidRDefault="000D4842" w:rsidP="000D4842">
      <w:pPr>
        <w:keepNext/>
        <w:ind w:firstLine="0"/>
      </w:pPr>
      <w:bookmarkStart w:id="0" w:name="_ahvzcog3z5bw" w:colFirst="0" w:colLast="0"/>
      <w:bookmarkEnd w:id="0"/>
      <w:r>
        <w:rPr>
          <w:noProof/>
        </w:rPr>
        <w:drawing>
          <wp:inline distT="0" distB="0" distL="0" distR="0" wp14:anchorId="7AF5E077" wp14:editId="45B12DA4">
            <wp:extent cx="5760410" cy="1752600"/>
            <wp:effectExtent l="0" t="0" r="0" b="0"/>
            <wp:docPr id="9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4"/>
                    <a:srcRect t="798" b="798"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1752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848F228" w14:textId="77777777" w:rsidR="000D4842" w:rsidRDefault="000D4842" w:rsidP="000D4842">
      <w:pPr>
        <w:keepNext/>
      </w:pPr>
      <w:r>
        <w:t xml:space="preserve"> </w:t>
      </w:r>
    </w:p>
    <w:p w14:paraId="517EE8BC" w14:textId="77777777" w:rsidR="000D4842" w:rsidRDefault="000D4842" w:rsidP="000D4842">
      <w:pPr>
        <w:spacing w:after="200"/>
      </w:pPr>
      <w:r>
        <w:rPr>
          <w:b/>
          <w:sz w:val="18"/>
          <w:szCs w:val="18"/>
        </w:rPr>
        <w:t xml:space="preserve">Figure S1| Basalt applied on crop fields and forest areas. Left y-axis: </w:t>
      </w:r>
      <w:r>
        <w:rPr>
          <w:sz w:val="18"/>
          <w:szCs w:val="18"/>
        </w:rPr>
        <w:t xml:space="preserve">predicted annual application rate (Gt/year). </w:t>
      </w:r>
      <w:r>
        <w:rPr>
          <w:b/>
          <w:sz w:val="18"/>
          <w:szCs w:val="18"/>
        </w:rPr>
        <w:t>Right y-axis:</w:t>
      </w:r>
      <w:r>
        <w:rPr>
          <w:sz w:val="18"/>
          <w:szCs w:val="18"/>
        </w:rPr>
        <w:t xml:space="preserve"> cumulative application across the 21</w:t>
      </w:r>
      <w:r>
        <w:rPr>
          <w:sz w:val="18"/>
          <w:szCs w:val="18"/>
          <w:vertAlign w:val="superscript"/>
        </w:rPr>
        <w:t>st</w:t>
      </w:r>
      <w:r>
        <w:rPr>
          <w:sz w:val="18"/>
          <w:szCs w:val="18"/>
        </w:rPr>
        <w:t xml:space="preserve"> century (Gt). The coloured bars indicate the mean, the black horizontal dashes the median and the error bars the 25%-75% range. </w:t>
      </w:r>
    </w:p>
    <w:p w14:paraId="0CB345F9" w14:textId="77777777" w:rsidR="000D4842" w:rsidRDefault="000D4842" w:rsidP="000D4842">
      <w:pPr>
        <w:keepNext/>
        <w:pBdr>
          <w:top w:val="nil"/>
          <w:left w:val="nil"/>
          <w:bottom w:val="nil"/>
          <w:right w:val="nil"/>
          <w:between w:val="nil"/>
        </w:pBdr>
        <w:ind w:firstLine="0"/>
        <w:rPr>
          <w:color w:val="000000"/>
          <w:highlight w:val="cyan"/>
        </w:rPr>
      </w:pPr>
      <w:r>
        <w:rPr>
          <w:noProof/>
          <w:highlight w:val="cyan"/>
        </w:rPr>
        <w:drawing>
          <wp:inline distT="114300" distB="114300" distL="114300" distR="114300" wp14:anchorId="3930C286" wp14:editId="1EA34F45">
            <wp:extent cx="5760410" cy="2705100"/>
            <wp:effectExtent l="0" t="0" r="0" b="0"/>
            <wp:docPr id="11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5"/>
                    <a:srcRect t="13" b="13"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2705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490147B" w14:textId="77777777" w:rsidR="000D4842" w:rsidRDefault="000D4842" w:rsidP="000D4842">
      <w:pPr>
        <w:pBdr>
          <w:top w:val="nil"/>
          <w:left w:val="nil"/>
          <w:bottom w:val="nil"/>
          <w:right w:val="nil"/>
          <w:between w:val="nil"/>
        </w:pBdr>
        <w:spacing w:after="200"/>
        <w:ind w:firstLine="0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Figure S</w:t>
      </w:r>
      <w:r>
        <w:rPr>
          <w:b/>
          <w:sz w:val="18"/>
          <w:szCs w:val="18"/>
        </w:rPr>
        <w:t>2</w:t>
      </w:r>
      <w:r>
        <w:rPr>
          <w:b/>
          <w:color w:val="000000"/>
          <w:sz w:val="18"/>
          <w:szCs w:val="18"/>
        </w:rPr>
        <w:t>| Carbon dioxide emissions across the 21</w:t>
      </w:r>
      <w:r>
        <w:rPr>
          <w:b/>
          <w:color w:val="000000"/>
          <w:sz w:val="18"/>
          <w:szCs w:val="18"/>
          <w:vertAlign w:val="superscript"/>
        </w:rPr>
        <w:t>st</w:t>
      </w:r>
      <w:r>
        <w:rPr>
          <w:b/>
          <w:color w:val="000000"/>
          <w:sz w:val="18"/>
          <w:szCs w:val="18"/>
        </w:rPr>
        <w:t xml:space="preserve"> century for different climate targets, with a discount rate of 2%</w:t>
      </w:r>
      <w:r>
        <w:rPr>
          <w:b/>
          <w:sz w:val="18"/>
          <w:szCs w:val="18"/>
        </w:rPr>
        <w:t xml:space="preserve"> per </w:t>
      </w:r>
      <w:r>
        <w:rPr>
          <w:b/>
          <w:color w:val="000000"/>
          <w:sz w:val="18"/>
          <w:szCs w:val="18"/>
        </w:rPr>
        <w:t xml:space="preserve">year. </w:t>
      </w:r>
      <w:r>
        <w:rPr>
          <w:color w:val="000000"/>
          <w:sz w:val="18"/>
          <w:szCs w:val="18"/>
        </w:rPr>
        <w:t>The red lines represent the net CO</w:t>
      </w:r>
      <w:r>
        <w:rPr>
          <w:color w:val="000000"/>
          <w:sz w:val="18"/>
          <w:szCs w:val="18"/>
          <w:vertAlign w:val="subscript"/>
        </w:rPr>
        <w:t xml:space="preserve">2 </w:t>
      </w:r>
      <w:r>
        <w:rPr>
          <w:color w:val="000000"/>
          <w:sz w:val="18"/>
          <w:szCs w:val="18"/>
        </w:rPr>
        <w:t xml:space="preserve">emissions from the energy system. Four climate policy targets are compared (one per column): </w:t>
      </w:r>
      <w:r>
        <w:rPr>
          <w:b/>
          <w:color w:val="000000"/>
          <w:sz w:val="18"/>
          <w:szCs w:val="18"/>
        </w:rPr>
        <w:t>1.5°C with low OS</w:t>
      </w:r>
      <w:r>
        <w:rPr>
          <w:color w:val="000000"/>
          <w:sz w:val="18"/>
          <w:szCs w:val="18"/>
        </w:rPr>
        <w:t>: The temperature change is limited to 1.5°C after 2100, with a possible overshoot of up to 0.</w:t>
      </w:r>
      <w:r>
        <w:rPr>
          <w:sz w:val="18"/>
          <w:szCs w:val="18"/>
        </w:rPr>
        <w:t>2</w:t>
      </w:r>
      <w:r>
        <w:rPr>
          <w:color w:val="000000"/>
          <w:sz w:val="18"/>
          <w:szCs w:val="18"/>
        </w:rPr>
        <w:t xml:space="preserve">°C before 2100. </w:t>
      </w:r>
      <w:r>
        <w:rPr>
          <w:b/>
          <w:color w:val="000000"/>
          <w:sz w:val="18"/>
          <w:szCs w:val="18"/>
        </w:rPr>
        <w:t>1.5°C with high OS:</w:t>
      </w:r>
      <w:r>
        <w:rPr>
          <w:color w:val="000000"/>
          <w:sz w:val="18"/>
          <w:szCs w:val="18"/>
        </w:rPr>
        <w:t xml:space="preserve"> the temperature change is limited to 1.5°C after 2100. </w:t>
      </w:r>
      <w:r>
        <w:rPr>
          <w:b/>
          <w:color w:val="000000"/>
          <w:sz w:val="18"/>
          <w:szCs w:val="18"/>
        </w:rPr>
        <w:t>2°C with no OS</w:t>
      </w:r>
      <w:r>
        <w:rPr>
          <w:color w:val="000000"/>
          <w:sz w:val="18"/>
          <w:szCs w:val="18"/>
        </w:rPr>
        <w:t xml:space="preserve">: the temperature change is limited to 2°C. </w:t>
      </w:r>
      <w:r>
        <w:rPr>
          <w:b/>
          <w:color w:val="000000"/>
          <w:sz w:val="18"/>
          <w:szCs w:val="18"/>
        </w:rPr>
        <w:t>2°C with high OS:</w:t>
      </w:r>
      <w:r>
        <w:rPr>
          <w:color w:val="000000"/>
          <w:sz w:val="18"/>
          <w:szCs w:val="18"/>
        </w:rPr>
        <w:t xml:space="preserve"> the temperature change is limited to 2°C after 2100. Three </w:t>
      </w:r>
      <w:r>
        <w:rPr>
          <w:sz w:val="18"/>
          <w:szCs w:val="18"/>
        </w:rPr>
        <w:t>NET</w:t>
      </w:r>
      <w:r>
        <w:rPr>
          <w:color w:val="000000"/>
          <w:sz w:val="18"/>
          <w:szCs w:val="18"/>
        </w:rPr>
        <w:t xml:space="preserve"> portfolios are assessed: </w:t>
      </w:r>
      <w:r>
        <w:rPr>
          <w:b/>
          <w:color w:val="000000"/>
          <w:sz w:val="18"/>
          <w:szCs w:val="18"/>
        </w:rPr>
        <w:t>No EW</w:t>
      </w:r>
      <w:r>
        <w:rPr>
          <w:color w:val="000000"/>
          <w:sz w:val="18"/>
          <w:szCs w:val="18"/>
        </w:rPr>
        <w:t xml:space="preserve">: BECCS only. </w:t>
      </w:r>
      <w:r>
        <w:rPr>
          <w:b/>
          <w:color w:val="000000"/>
          <w:sz w:val="18"/>
          <w:szCs w:val="18"/>
        </w:rPr>
        <w:t xml:space="preserve">EW on CL: </w:t>
      </w:r>
      <w:r>
        <w:rPr>
          <w:color w:val="000000"/>
          <w:sz w:val="18"/>
          <w:szCs w:val="18"/>
        </w:rPr>
        <w:t xml:space="preserve">EW deployed on croplands only, and BECCS. </w:t>
      </w:r>
      <w:r>
        <w:rPr>
          <w:b/>
          <w:color w:val="000000"/>
          <w:sz w:val="18"/>
          <w:szCs w:val="18"/>
        </w:rPr>
        <w:t>EW on CL+</w:t>
      </w:r>
      <w:r>
        <w:rPr>
          <w:b/>
          <w:sz w:val="18"/>
          <w:szCs w:val="18"/>
        </w:rPr>
        <w:t>FA</w:t>
      </w:r>
      <w:r>
        <w:rPr>
          <w:b/>
          <w:color w:val="000000"/>
          <w:sz w:val="18"/>
          <w:szCs w:val="18"/>
        </w:rPr>
        <w:t xml:space="preserve">: </w:t>
      </w:r>
      <w:r>
        <w:rPr>
          <w:color w:val="000000"/>
          <w:sz w:val="18"/>
          <w:szCs w:val="18"/>
        </w:rPr>
        <w:t xml:space="preserve">EW deployed on croplands and </w:t>
      </w:r>
      <w:r>
        <w:rPr>
          <w:sz w:val="18"/>
          <w:szCs w:val="18"/>
        </w:rPr>
        <w:t xml:space="preserve">forest </w:t>
      </w:r>
      <w:r>
        <w:rPr>
          <w:color w:val="000000"/>
          <w:sz w:val="18"/>
          <w:szCs w:val="18"/>
        </w:rPr>
        <w:t>areas, and BECCS. The bars indicate the mean, the black dashes the median and the 25%-75% range.</w:t>
      </w:r>
    </w:p>
    <w:p w14:paraId="366EA746" w14:textId="77777777" w:rsidR="000D4842" w:rsidRDefault="000D4842" w:rsidP="000D4842">
      <w:pPr>
        <w:ind w:firstLine="0"/>
      </w:pPr>
      <w:r>
        <w:rPr>
          <w:noProof/>
        </w:rPr>
        <w:lastRenderedPageBreak/>
        <w:drawing>
          <wp:inline distT="114300" distB="114300" distL="114300" distR="114300" wp14:anchorId="7A24D391" wp14:editId="71D56925">
            <wp:extent cx="5760410" cy="3098800"/>
            <wp:effectExtent l="0" t="0" r="0" b="0"/>
            <wp:docPr id="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3098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13F42F" w14:textId="77777777" w:rsidR="000D4842" w:rsidRDefault="000D4842" w:rsidP="000D4842">
      <w:pPr>
        <w:spacing w:after="200"/>
        <w:rPr>
          <w:sz w:val="18"/>
          <w:szCs w:val="18"/>
        </w:rPr>
      </w:pPr>
      <w:r>
        <w:rPr>
          <w:b/>
          <w:sz w:val="18"/>
          <w:szCs w:val="18"/>
        </w:rPr>
        <w:t xml:space="preserve">Figure S3 | Discount rate of 2% per year. Top: </w:t>
      </w:r>
      <w:r>
        <w:rPr>
          <w:sz w:val="18"/>
          <w:szCs w:val="18"/>
        </w:rPr>
        <w:t>Mean surface temperature change compared to preindustrial period.</w:t>
      </w:r>
      <w:r>
        <w:rPr>
          <w:b/>
          <w:sz w:val="18"/>
          <w:szCs w:val="18"/>
        </w:rPr>
        <w:t xml:space="preserve"> Bottom: Shadow price of carbon across the 21</w:t>
      </w:r>
      <w:r>
        <w:rPr>
          <w:b/>
          <w:sz w:val="18"/>
          <w:szCs w:val="18"/>
          <w:vertAlign w:val="superscript"/>
        </w:rPr>
        <w:t>st</w:t>
      </w:r>
      <w:r>
        <w:rPr>
          <w:b/>
          <w:sz w:val="18"/>
          <w:szCs w:val="18"/>
        </w:rPr>
        <w:t xml:space="preserve"> century for different climate targets.</w:t>
      </w:r>
      <w:r>
        <w:rPr>
          <w:sz w:val="18"/>
          <w:szCs w:val="18"/>
        </w:rPr>
        <w:t xml:space="preserve"> The shaded area represents the 25%-75% range. The scale changes between the panels. </w:t>
      </w:r>
      <w:r>
        <w:rPr>
          <w:b/>
          <w:sz w:val="18"/>
          <w:szCs w:val="18"/>
        </w:rPr>
        <w:t>Policy costs</w:t>
      </w:r>
      <w:r>
        <w:rPr>
          <w:sz w:val="18"/>
          <w:szCs w:val="18"/>
        </w:rPr>
        <w:t xml:space="preserve"> are the net present values of future energy production costs and consumption losses as a percentage of GDP, compared to the no-policy scenario.</w:t>
      </w:r>
    </w:p>
    <w:p w14:paraId="6E8B7B0D" w14:textId="77777777" w:rsidR="000D4842" w:rsidRDefault="000D4842" w:rsidP="000D4842">
      <w:pPr>
        <w:ind w:firstLine="0"/>
        <w:rPr>
          <w:b/>
        </w:rPr>
      </w:pPr>
      <w:r>
        <w:rPr>
          <w:b/>
          <w:noProof/>
        </w:rPr>
        <w:drawing>
          <wp:inline distT="0" distB="0" distL="0" distR="0" wp14:anchorId="232F99DE" wp14:editId="742EA300">
            <wp:extent cx="6305868" cy="1901354"/>
            <wp:effectExtent l="0" t="0" r="0" b="0"/>
            <wp:docPr id="1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l="122" r="122"/>
                    <a:stretch>
                      <a:fillRect/>
                    </a:stretch>
                  </pic:blipFill>
                  <pic:spPr>
                    <a:xfrm>
                      <a:off x="0" y="0"/>
                      <a:ext cx="6305868" cy="19013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FC829A" w14:textId="77777777" w:rsidR="000D4842" w:rsidRDefault="000D4842" w:rsidP="000D4842">
      <w:pPr>
        <w:pBdr>
          <w:top w:val="nil"/>
          <w:left w:val="nil"/>
          <w:bottom w:val="nil"/>
          <w:right w:val="nil"/>
          <w:between w:val="nil"/>
        </w:pBdr>
        <w:spacing w:after="200"/>
        <w:ind w:firstLine="0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Figure S</w:t>
      </w:r>
      <w:r>
        <w:rPr>
          <w:b/>
          <w:sz w:val="18"/>
          <w:szCs w:val="18"/>
        </w:rPr>
        <w:t>4</w:t>
      </w:r>
      <w:r>
        <w:rPr>
          <w:b/>
          <w:color w:val="000000"/>
          <w:sz w:val="18"/>
          <w:szCs w:val="18"/>
        </w:rPr>
        <w:t xml:space="preserve">| Top: </w:t>
      </w:r>
      <w:r>
        <w:rPr>
          <w:color w:val="000000"/>
          <w:sz w:val="18"/>
          <w:szCs w:val="18"/>
        </w:rPr>
        <w:t>Relative energy demand in mitigation scenarios compared to the baseline</w:t>
      </w:r>
      <w:r>
        <w:rPr>
          <w:b/>
          <w:color w:val="000000"/>
          <w:sz w:val="18"/>
          <w:szCs w:val="18"/>
        </w:rPr>
        <w:t xml:space="preserve">. Bottom: </w:t>
      </w:r>
      <w:r>
        <w:rPr>
          <w:color w:val="000000"/>
          <w:sz w:val="18"/>
          <w:szCs w:val="18"/>
        </w:rPr>
        <w:t xml:space="preserve">Relative biomass price compared to the no-EW scenarios. </w:t>
      </w:r>
      <w:r>
        <w:rPr>
          <w:b/>
          <w:color w:val="000000"/>
          <w:sz w:val="18"/>
          <w:szCs w:val="18"/>
        </w:rPr>
        <w:t>Solid line:</w:t>
      </w:r>
      <w:r>
        <w:rPr>
          <w:color w:val="000000"/>
          <w:sz w:val="18"/>
          <w:szCs w:val="18"/>
        </w:rPr>
        <w:t xml:space="preserve"> EW on CL+</w:t>
      </w:r>
      <w:r>
        <w:rPr>
          <w:sz w:val="18"/>
          <w:szCs w:val="18"/>
        </w:rPr>
        <w:t>FA</w:t>
      </w:r>
      <w:r>
        <w:rPr>
          <w:b/>
          <w:color w:val="000000"/>
          <w:sz w:val="18"/>
          <w:szCs w:val="18"/>
        </w:rPr>
        <w:t xml:space="preserve">. Dash-dotted line: </w:t>
      </w:r>
      <w:r>
        <w:rPr>
          <w:color w:val="000000"/>
          <w:sz w:val="18"/>
          <w:szCs w:val="18"/>
        </w:rPr>
        <w:t xml:space="preserve">EW on CL only. </w:t>
      </w:r>
      <w:r>
        <w:rPr>
          <w:b/>
          <w:color w:val="000000"/>
          <w:sz w:val="18"/>
          <w:szCs w:val="18"/>
        </w:rPr>
        <w:t xml:space="preserve">Dotted line : </w:t>
      </w:r>
      <w:r>
        <w:rPr>
          <w:color w:val="000000"/>
          <w:sz w:val="18"/>
          <w:szCs w:val="18"/>
        </w:rPr>
        <w:t>No EW</w:t>
      </w:r>
      <w:r>
        <w:rPr>
          <w:b/>
          <w:color w:val="000000"/>
          <w:sz w:val="18"/>
          <w:szCs w:val="18"/>
        </w:rPr>
        <w:t>.</w:t>
      </w:r>
      <w:r>
        <w:rPr>
          <w:b/>
          <w:sz w:val="18"/>
          <w:szCs w:val="18"/>
        </w:rPr>
        <w:t xml:space="preserve"> </w:t>
      </w:r>
    </w:p>
    <w:p w14:paraId="2D2B48E7" w14:textId="77777777" w:rsidR="000D4842" w:rsidRDefault="000D4842" w:rsidP="000D4842">
      <w:pPr>
        <w:pBdr>
          <w:top w:val="nil"/>
          <w:left w:val="nil"/>
          <w:bottom w:val="nil"/>
          <w:right w:val="nil"/>
          <w:between w:val="nil"/>
        </w:pBdr>
        <w:spacing w:after="200"/>
        <w:ind w:firstLine="0"/>
        <w:rPr>
          <w:color w:val="000000"/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098A29A" w14:textId="77777777" w:rsidR="000D4842" w:rsidRDefault="000D4842" w:rsidP="000D4842">
      <w:pPr>
        <w:pBdr>
          <w:top w:val="nil"/>
          <w:left w:val="nil"/>
          <w:bottom w:val="nil"/>
          <w:right w:val="nil"/>
          <w:between w:val="nil"/>
        </w:pBdr>
        <w:spacing w:after="200"/>
        <w:ind w:firstLine="0"/>
        <w:rPr>
          <w:color w:val="000000"/>
          <w:sz w:val="18"/>
          <w:szCs w:val="18"/>
        </w:rPr>
      </w:pPr>
    </w:p>
    <w:p w14:paraId="2AA2E23C" w14:textId="77777777" w:rsidR="000D4842" w:rsidRDefault="000D4842" w:rsidP="000D4842"/>
    <w:p w14:paraId="45CDEE0A" w14:textId="77777777" w:rsidR="000D4842" w:rsidRDefault="000D4842" w:rsidP="000D4842">
      <w:pPr>
        <w:keepNext/>
        <w:pBdr>
          <w:top w:val="nil"/>
          <w:left w:val="nil"/>
          <w:bottom w:val="nil"/>
          <w:right w:val="nil"/>
          <w:between w:val="nil"/>
        </w:pBdr>
        <w:ind w:firstLine="0"/>
        <w:rPr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3C303089" wp14:editId="1FC2C33A">
            <wp:extent cx="6079754" cy="3039877"/>
            <wp:effectExtent l="0" t="0" r="0" b="0"/>
            <wp:docPr id="1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79754" cy="30398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31D219" w14:textId="77777777" w:rsidR="000D4842" w:rsidRDefault="000D4842" w:rsidP="000D4842">
      <w:pPr>
        <w:pBdr>
          <w:top w:val="nil"/>
          <w:left w:val="nil"/>
          <w:bottom w:val="nil"/>
          <w:right w:val="nil"/>
          <w:between w:val="nil"/>
        </w:pBdr>
        <w:spacing w:after="200"/>
        <w:ind w:firstLine="0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Figure S5| Global NPP increase (in %)</w:t>
      </w:r>
      <w:r>
        <w:rPr>
          <w:color w:val="000000"/>
          <w:sz w:val="18"/>
          <w:szCs w:val="18"/>
        </w:rPr>
        <w:t>, averaged over 40 years after soil basalt amendment,</w:t>
      </w:r>
      <w:r>
        <w:rPr>
          <w:b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depending on the rock concentration (y-axis) and surface of application (x-axis).</w:t>
      </w:r>
      <w:r>
        <w:rPr>
          <w:b/>
          <w:color w:val="000000"/>
          <w:sz w:val="18"/>
          <w:szCs w:val="18"/>
        </w:rPr>
        <w:t xml:space="preserve"> White lines</w:t>
      </w:r>
      <w:r>
        <w:rPr>
          <w:color w:val="000000"/>
          <w:sz w:val="18"/>
          <w:szCs w:val="18"/>
        </w:rPr>
        <w:t xml:space="preserve"> delineate iso-levels of NPP increase. </w:t>
      </w:r>
      <w:r>
        <w:rPr>
          <w:b/>
          <w:color w:val="000000"/>
          <w:sz w:val="18"/>
          <w:szCs w:val="18"/>
        </w:rPr>
        <w:t>Blue lines</w:t>
      </w:r>
      <w:r>
        <w:rPr>
          <w:color w:val="000000"/>
          <w:sz w:val="18"/>
          <w:szCs w:val="18"/>
        </w:rPr>
        <w:t xml:space="preserve"> are iso-levels of rock quantity, in Gt. </w:t>
      </w:r>
      <w:r>
        <w:rPr>
          <w:b/>
          <w:color w:val="000000"/>
          <w:sz w:val="18"/>
          <w:szCs w:val="18"/>
        </w:rPr>
        <w:t xml:space="preserve">Left: </w:t>
      </w:r>
      <w:r>
        <w:rPr>
          <w:color w:val="000000"/>
          <w:sz w:val="18"/>
          <w:szCs w:val="18"/>
        </w:rPr>
        <w:t>Interpolation of</w:t>
      </w:r>
      <w:r>
        <w:rPr>
          <w:b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 xml:space="preserve">ORCHIDEE-CNP results (black dots). </w:t>
      </w:r>
      <w:r>
        <w:rPr>
          <w:b/>
          <w:color w:val="000000"/>
          <w:sz w:val="18"/>
          <w:szCs w:val="18"/>
        </w:rPr>
        <w:t xml:space="preserve">Right: </w:t>
      </w:r>
      <w:r>
        <w:rPr>
          <w:color w:val="000000"/>
          <w:sz w:val="18"/>
          <w:szCs w:val="18"/>
        </w:rPr>
        <w:t>Emulator.</w:t>
      </w:r>
    </w:p>
    <w:p w14:paraId="7A55C219" w14:textId="77777777" w:rsidR="000D4842" w:rsidRDefault="000D4842" w:rsidP="000D4842"/>
    <w:p w14:paraId="4704420D" w14:textId="77777777" w:rsidR="000D4842" w:rsidRDefault="000D4842" w:rsidP="000D4842">
      <w:pPr>
        <w:ind w:firstLine="0"/>
      </w:pPr>
      <w:r>
        <w:rPr>
          <w:noProof/>
        </w:rPr>
        <w:drawing>
          <wp:inline distT="114300" distB="114300" distL="114300" distR="114300" wp14:anchorId="0DC8382D" wp14:editId="551FE15A">
            <wp:extent cx="5760410" cy="1485900"/>
            <wp:effectExtent l="0" t="0" r="0" b="0"/>
            <wp:docPr id="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148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966C810" w14:textId="77777777" w:rsidR="000D4842" w:rsidRDefault="000D4842" w:rsidP="000D4842">
      <w:pPr>
        <w:pBdr>
          <w:top w:val="nil"/>
          <w:left w:val="nil"/>
          <w:bottom w:val="nil"/>
          <w:right w:val="nil"/>
          <w:between w:val="nil"/>
        </w:pBdr>
        <w:spacing w:after="200"/>
        <w:ind w:firstLine="0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Figure S6 Phosphorus cycle emulation.</w:t>
      </w:r>
      <w:r>
        <w:rPr>
          <w:color w:val="000000"/>
          <w:sz w:val="18"/>
          <w:szCs w:val="18"/>
        </w:rPr>
        <w:t xml:space="preserve"> Rectangles: pools. Red arrows: flows. Brown arrows: effects on the carbon cycle. </w:t>
      </w:r>
    </w:p>
    <w:p w14:paraId="4715D166" w14:textId="77777777" w:rsidR="000D4842" w:rsidRDefault="000D4842" w:rsidP="000D4842">
      <w:r>
        <w:rPr>
          <w:noProof/>
        </w:rPr>
        <w:lastRenderedPageBreak/>
        <w:drawing>
          <wp:inline distT="114300" distB="114300" distL="114300" distR="114300" wp14:anchorId="43150CB7" wp14:editId="1995AC36">
            <wp:extent cx="5760410" cy="6286500"/>
            <wp:effectExtent l="0" t="0" r="0" b="0"/>
            <wp:docPr id="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t="16" b="16"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6286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B0F09C0" w14:textId="77777777" w:rsidR="000D4842" w:rsidRDefault="000D4842" w:rsidP="000D4842">
      <w:pPr>
        <w:pBdr>
          <w:top w:val="nil"/>
          <w:left w:val="nil"/>
          <w:bottom w:val="nil"/>
          <w:right w:val="nil"/>
          <w:between w:val="nil"/>
        </w:pBdr>
        <w:spacing w:after="200"/>
        <w:ind w:firstLine="0"/>
        <w:jc w:val="left"/>
        <w:rPr>
          <w:color w:val="000000"/>
          <w:sz w:val="18"/>
          <w:szCs w:val="18"/>
        </w:rPr>
      </w:pPr>
      <w:r>
        <w:rPr>
          <w:b/>
          <w:sz w:val="18"/>
          <w:szCs w:val="18"/>
        </w:rPr>
        <w:t>Figure S7 Evolution of the NPP change, for increasing forest areas of application and basalt application rates</w:t>
      </w:r>
      <w:r>
        <w:rPr>
          <w:sz w:val="18"/>
          <w:szCs w:val="18"/>
        </w:rPr>
        <w:t xml:space="preserve">. The most responsive areas were chosen. Basalt is applied at year zero. The y-axis is the increase of NPP compared to the baseline. </w:t>
      </w:r>
    </w:p>
    <w:p w14:paraId="4FB3CD25" w14:textId="77777777" w:rsidR="00755780" w:rsidRDefault="00755780"/>
    <w:sectPr w:rsidR="00755780">
      <w:headerReference w:type="default" r:id="rId11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FC6464" w14:textId="77777777" w:rsidR="00604CE7" w:rsidRDefault="000D484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842"/>
    <w:rsid w:val="000D4842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38C7D"/>
  <w15:chartTrackingRefBased/>
  <w15:docId w15:val="{67F74137-2630-4832-9643-8D21D5CA6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842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eader" Target="header1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382</Words>
  <Characters>2181</Characters>
  <Application>Microsoft Office Word</Application>
  <DocSecurity>0</DocSecurity>
  <Lines>18</Lines>
  <Paragraphs>5</Paragraphs>
  <ScaleCrop>false</ScaleCrop>
  <Company>Springer Nature</Company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2023-07-27T05:17:00Z</dcterms:created>
  <dcterms:modified xsi:type="dcterms:W3CDTF">2023-07-27T05:17:00Z</dcterms:modified>
</cp:coreProperties>
</file>