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34C000" w14:textId="39FC8706" w:rsidR="009E43CA" w:rsidRPr="006160DA" w:rsidRDefault="009E43CA" w:rsidP="006160DA">
      <w:pPr>
        <w:wordWrap/>
        <w:adjustRightInd w:val="0"/>
        <w:spacing w:after="0" w:line="480" w:lineRule="auto"/>
        <w:jc w:val="center"/>
        <w:rPr>
          <w:rFonts w:ascii="Times New Roman" w:hAnsi="Times New Roman" w:cs="Times New Roman"/>
          <w:b/>
          <w:bCs/>
          <w:kern w:val="0"/>
          <w:szCs w:val="20"/>
        </w:rPr>
      </w:pPr>
      <w:bookmarkStart w:id="0" w:name="_Hlk108002889"/>
      <w:r w:rsidRPr="006160DA">
        <w:rPr>
          <w:rFonts w:ascii="Times New Roman" w:hAnsi="Times New Roman" w:cs="Times New Roman"/>
          <w:b/>
          <w:bCs/>
          <w:kern w:val="0"/>
          <w:szCs w:val="20"/>
        </w:rPr>
        <w:t>Modeling population pharmacokinetics of morniflumate in healthy Korean men: Extending pharmacometrics analysis to niflumic acid, its major active metabolite</w:t>
      </w:r>
    </w:p>
    <w:bookmarkEnd w:id="0"/>
    <w:p w14:paraId="1464D654" w14:textId="77777777" w:rsidR="00C7074D" w:rsidRPr="006160DA" w:rsidRDefault="00C7074D" w:rsidP="006160DA">
      <w:pPr>
        <w:wordWrap/>
        <w:spacing w:line="480" w:lineRule="auto"/>
        <w:jc w:val="center"/>
        <w:rPr>
          <w:rFonts w:ascii="Times New Roman" w:eastAsia="TimesNewRoman" w:hAnsi="Times New Roman" w:cs="Times New Roman"/>
          <w:b/>
          <w:bCs/>
          <w:szCs w:val="20"/>
        </w:rPr>
      </w:pPr>
    </w:p>
    <w:p w14:paraId="7B7F084A" w14:textId="65FEE054" w:rsidR="00C7074D" w:rsidRPr="006160DA" w:rsidRDefault="00C7074D" w:rsidP="006160DA">
      <w:pPr>
        <w:wordWrap/>
        <w:spacing w:line="480" w:lineRule="auto"/>
        <w:jc w:val="center"/>
        <w:rPr>
          <w:rFonts w:ascii="Times New Roman" w:eastAsia="TimesNewRoman" w:hAnsi="Times New Roman" w:cs="Times New Roman"/>
          <w:b/>
          <w:bCs/>
          <w:szCs w:val="20"/>
        </w:rPr>
      </w:pPr>
      <w:r w:rsidRPr="006160DA">
        <w:rPr>
          <w:rFonts w:ascii="Times New Roman" w:eastAsia="TimesNewRoman" w:hAnsi="Times New Roman" w:cs="Times New Roman"/>
          <w:b/>
          <w:bCs/>
          <w:szCs w:val="20"/>
        </w:rPr>
        <w:t xml:space="preserve">Supplementary Information </w:t>
      </w:r>
      <w:r w:rsidR="00B246C5" w:rsidRPr="006160DA">
        <w:rPr>
          <w:rFonts w:ascii="Times New Roman" w:eastAsia="TimesNewRoman" w:hAnsi="Times New Roman" w:cs="Times New Roman"/>
          <w:b/>
          <w:bCs/>
          <w:szCs w:val="20"/>
        </w:rPr>
        <w:t xml:space="preserve">&amp; Tables &amp; </w:t>
      </w:r>
      <w:r w:rsidRPr="006160DA">
        <w:rPr>
          <w:rFonts w:ascii="Times New Roman" w:eastAsia="TimesNewRoman" w:hAnsi="Times New Roman" w:cs="Times New Roman"/>
          <w:b/>
          <w:bCs/>
          <w:szCs w:val="20"/>
        </w:rPr>
        <w:t>Figures</w:t>
      </w:r>
      <w:r w:rsidR="00065537" w:rsidRPr="006160DA">
        <w:rPr>
          <w:rFonts w:ascii="Times New Roman" w:eastAsia="TimesNewRoman" w:hAnsi="Times New Roman" w:cs="Times New Roman"/>
          <w:b/>
          <w:bCs/>
          <w:szCs w:val="20"/>
        </w:rPr>
        <w:t xml:space="preserve"> </w:t>
      </w:r>
      <w:r w:rsidR="00B246C5" w:rsidRPr="006160DA">
        <w:rPr>
          <w:rFonts w:ascii="Times New Roman" w:eastAsia="TimesNewRoman" w:hAnsi="Times New Roman" w:cs="Times New Roman"/>
          <w:b/>
          <w:bCs/>
          <w:szCs w:val="20"/>
        </w:rPr>
        <w:t xml:space="preserve">(with </w:t>
      </w:r>
      <w:r w:rsidR="00065537" w:rsidRPr="006160DA">
        <w:rPr>
          <w:rFonts w:ascii="Times New Roman" w:eastAsia="TimesNewRoman" w:hAnsi="Times New Roman" w:cs="Times New Roman"/>
          <w:b/>
          <w:bCs/>
          <w:szCs w:val="20"/>
        </w:rPr>
        <w:t>captions</w:t>
      </w:r>
      <w:r w:rsidRPr="006160DA">
        <w:rPr>
          <w:rFonts w:ascii="Times New Roman" w:eastAsia="TimesNewRoman" w:hAnsi="Times New Roman" w:cs="Times New Roman"/>
          <w:b/>
          <w:bCs/>
          <w:szCs w:val="20"/>
        </w:rPr>
        <w:t>)</w:t>
      </w:r>
    </w:p>
    <w:p w14:paraId="536DEC6D" w14:textId="77777777" w:rsidR="00C7074D" w:rsidRPr="006160DA" w:rsidRDefault="00C7074D" w:rsidP="006160DA">
      <w:pPr>
        <w:wordWrap/>
        <w:spacing w:line="480" w:lineRule="auto"/>
        <w:jc w:val="center"/>
        <w:rPr>
          <w:rFonts w:ascii="Times New Roman" w:eastAsia="TimesNewRoman" w:hAnsi="Times New Roman" w:cs="Times New Roman"/>
          <w:b/>
          <w:bCs/>
          <w:szCs w:val="20"/>
        </w:rPr>
      </w:pPr>
    </w:p>
    <w:p w14:paraId="1AC43CA2" w14:textId="77777777" w:rsidR="00E1781B" w:rsidRPr="006160DA" w:rsidRDefault="00E1781B" w:rsidP="006160DA">
      <w:pPr>
        <w:widowControl/>
        <w:wordWrap/>
        <w:spacing w:line="480" w:lineRule="auto"/>
        <w:jc w:val="center"/>
        <w:rPr>
          <w:rFonts w:ascii="Times New Roman" w:eastAsia="굴림" w:hAnsi="Times New Roman" w:cs="Times New Roman"/>
          <w:kern w:val="0"/>
          <w:szCs w:val="20"/>
          <w:vertAlign w:val="superscript"/>
        </w:rPr>
      </w:pPr>
      <w:bookmarkStart w:id="1" w:name="_Hlk497752382"/>
      <w:r w:rsidRPr="006160DA">
        <w:rPr>
          <w:rFonts w:ascii="Times New Roman" w:eastAsia="굴림" w:hAnsi="Times New Roman" w:cs="Times New Roman"/>
          <w:kern w:val="0"/>
          <w:szCs w:val="20"/>
        </w:rPr>
        <w:t xml:space="preserve">Seung-Hyun Jeong </w:t>
      </w:r>
      <w:r w:rsidRPr="006160DA">
        <w:rPr>
          <w:rFonts w:ascii="Times New Roman" w:eastAsia="굴림" w:hAnsi="Times New Roman" w:cs="Times New Roman"/>
          <w:kern w:val="0"/>
          <w:szCs w:val="20"/>
          <w:vertAlign w:val="superscript"/>
        </w:rPr>
        <w:t>a,1</w:t>
      </w:r>
      <w:r w:rsidRPr="006160DA">
        <w:rPr>
          <w:rFonts w:ascii="Times New Roman" w:eastAsia="굴림" w:hAnsi="Times New Roman" w:cs="Times New Roman"/>
          <w:kern w:val="0"/>
          <w:szCs w:val="20"/>
        </w:rPr>
        <w:t xml:space="preserve">, Ji-Hun Jang </w:t>
      </w:r>
      <w:r w:rsidRPr="006160DA">
        <w:rPr>
          <w:rFonts w:ascii="Times New Roman" w:eastAsia="굴림" w:hAnsi="Times New Roman" w:cs="Times New Roman"/>
          <w:kern w:val="0"/>
          <w:szCs w:val="20"/>
          <w:vertAlign w:val="superscript"/>
        </w:rPr>
        <w:t>b,1</w:t>
      </w:r>
      <w:r w:rsidRPr="006160DA">
        <w:rPr>
          <w:rFonts w:ascii="Times New Roman" w:eastAsia="굴림" w:hAnsi="Times New Roman" w:cs="Times New Roman"/>
          <w:kern w:val="0"/>
          <w:szCs w:val="20"/>
        </w:rPr>
        <w:t xml:space="preserve">, Yong-Bok Lee </w:t>
      </w:r>
      <w:proofErr w:type="gramStart"/>
      <w:r w:rsidRPr="006160DA">
        <w:rPr>
          <w:rFonts w:ascii="Times New Roman" w:eastAsia="굴림" w:hAnsi="Times New Roman" w:cs="Times New Roman"/>
          <w:kern w:val="0"/>
          <w:szCs w:val="20"/>
          <w:vertAlign w:val="superscript"/>
        </w:rPr>
        <w:t>b,*</w:t>
      </w:r>
      <w:proofErr w:type="gramEnd"/>
    </w:p>
    <w:p w14:paraId="7556CAF8" w14:textId="77777777" w:rsidR="00E1781B" w:rsidRPr="006160DA" w:rsidRDefault="00E1781B" w:rsidP="006160DA">
      <w:pPr>
        <w:widowControl/>
        <w:wordWrap/>
        <w:spacing w:line="480" w:lineRule="auto"/>
        <w:jc w:val="center"/>
        <w:rPr>
          <w:rFonts w:ascii="Times New Roman" w:eastAsia="굴림" w:hAnsi="Times New Roman" w:cs="Times New Roman"/>
          <w:kern w:val="0"/>
          <w:szCs w:val="20"/>
          <w:vertAlign w:val="superscript"/>
        </w:rPr>
      </w:pPr>
    </w:p>
    <w:bookmarkEnd w:id="1"/>
    <w:p w14:paraId="1DB58E2C" w14:textId="77777777" w:rsidR="00E1781B" w:rsidRPr="006160DA" w:rsidRDefault="00E1781B" w:rsidP="006160DA">
      <w:pPr>
        <w:wordWrap/>
        <w:adjustRightInd w:val="0"/>
        <w:spacing w:after="0" w:line="480" w:lineRule="auto"/>
        <w:jc w:val="left"/>
        <w:rPr>
          <w:rFonts w:ascii="Times New Roman" w:eastAsia="굴림" w:hAnsi="Times New Roman" w:cs="Times New Roman"/>
          <w:kern w:val="0"/>
          <w:szCs w:val="20"/>
        </w:rPr>
      </w:pPr>
      <w:r w:rsidRPr="006160DA">
        <w:rPr>
          <w:rFonts w:ascii="Times New Roman" w:eastAsia="굴림" w:hAnsi="Times New Roman" w:cs="Times New Roman"/>
          <w:kern w:val="0"/>
          <w:szCs w:val="20"/>
          <w:vertAlign w:val="superscript"/>
        </w:rPr>
        <w:t>a</w:t>
      </w:r>
      <w:r w:rsidRPr="006160DA">
        <w:rPr>
          <w:rFonts w:ascii="Times New Roman" w:eastAsia="굴림" w:hAnsi="Times New Roman" w:cs="Times New Roman"/>
          <w:kern w:val="0"/>
          <w:szCs w:val="20"/>
        </w:rPr>
        <w:t xml:space="preserve"> College of Pharmacy, Sunchon National University, 255 Jungang-ro, Suncheon-si, Jeollanam-do, 57922, Republic of Korea</w:t>
      </w:r>
    </w:p>
    <w:p w14:paraId="591BEE0C" w14:textId="77777777" w:rsidR="00E1781B" w:rsidRPr="006160DA" w:rsidRDefault="00E1781B" w:rsidP="006160DA">
      <w:pPr>
        <w:wordWrap/>
        <w:adjustRightInd w:val="0"/>
        <w:spacing w:after="0" w:line="480" w:lineRule="auto"/>
        <w:jc w:val="left"/>
        <w:rPr>
          <w:rFonts w:ascii="Times New Roman" w:eastAsia="굴림" w:hAnsi="Times New Roman" w:cs="Times New Roman"/>
          <w:kern w:val="0"/>
          <w:szCs w:val="20"/>
        </w:rPr>
      </w:pPr>
      <w:r w:rsidRPr="006160DA">
        <w:rPr>
          <w:rFonts w:ascii="Times New Roman" w:eastAsia="굴림" w:hAnsi="Times New Roman" w:cs="Times New Roman"/>
          <w:kern w:val="0"/>
          <w:szCs w:val="20"/>
          <w:vertAlign w:val="superscript"/>
        </w:rPr>
        <w:t>b</w:t>
      </w:r>
      <w:r w:rsidRPr="006160DA">
        <w:rPr>
          <w:rFonts w:ascii="Times New Roman" w:eastAsia="굴림" w:hAnsi="Times New Roman" w:cs="Times New Roman"/>
          <w:kern w:val="0"/>
          <w:szCs w:val="20"/>
        </w:rPr>
        <w:t xml:space="preserve"> College of Pharmacy, Chonnam National University, 77 Yongbong-ro, Buk-gu, Gwangju, 61186, Republic of Korea</w:t>
      </w:r>
    </w:p>
    <w:p w14:paraId="1F8827D1" w14:textId="77777777" w:rsidR="00E1781B" w:rsidRPr="006160DA" w:rsidRDefault="00E1781B" w:rsidP="006160DA">
      <w:pPr>
        <w:wordWrap/>
        <w:adjustRightInd w:val="0"/>
        <w:spacing w:after="0" w:line="480" w:lineRule="auto"/>
        <w:jc w:val="left"/>
        <w:rPr>
          <w:rFonts w:ascii="Times New Roman" w:eastAsia="TimesNewRoman" w:hAnsi="Times New Roman" w:cs="Times New Roman"/>
          <w:kern w:val="0"/>
          <w:szCs w:val="20"/>
        </w:rPr>
      </w:pPr>
    </w:p>
    <w:p w14:paraId="456C2E27" w14:textId="05DA82B3" w:rsidR="00E1781B" w:rsidRPr="006160DA" w:rsidRDefault="00E1781B" w:rsidP="006160DA">
      <w:pPr>
        <w:wordWrap/>
        <w:adjustRightInd w:val="0"/>
        <w:spacing w:after="0" w:line="480" w:lineRule="auto"/>
        <w:jc w:val="left"/>
        <w:rPr>
          <w:rFonts w:ascii="Times New Roman" w:eastAsia="TimesNewRoman" w:hAnsi="Times New Roman" w:cs="Times New Roman"/>
          <w:kern w:val="0"/>
          <w:szCs w:val="20"/>
        </w:rPr>
      </w:pPr>
      <w:r w:rsidRPr="006160DA">
        <w:rPr>
          <w:rFonts w:ascii="Times New Roman" w:eastAsia="굴림" w:hAnsi="Times New Roman" w:cs="Times New Roman"/>
          <w:kern w:val="0"/>
          <w:szCs w:val="20"/>
          <w:vertAlign w:val="superscript"/>
        </w:rPr>
        <w:t>1</w:t>
      </w:r>
      <w:r w:rsidRPr="006160DA">
        <w:rPr>
          <w:rFonts w:ascii="Times New Roman" w:eastAsia="굴림" w:hAnsi="Times New Roman" w:cs="Times New Roman"/>
          <w:kern w:val="0"/>
          <w:szCs w:val="20"/>
        </w:rPr>
        <w:t xml:space="preserve"> </w:t>
      </w:r>
      <w:r w:rsidRPr="006160DA">
        <w:rPr>
          <w:rFonts w:ascii="Times New Roman" w:eastAsia="TimesNewRoman" w:hAnsi="Times New Roman" w:cs="Times New Roman"/>
          <w:kern w:val="0"/>
          <w:szCs w:val="20"/>
        </w:rPr>
        <w:t>Both authors contributed equally to this manuscript.</w:t>
      </w:r>
    </w:p>
    <w:p w14:paraId="623374F8" w14:textId="77777777" w:rsidR="00E1781B" w:rsidRPr="006160DA" w:rsidRDefault="00E1781B" w:rsidP="006160DA">
      <w:pPr>
        <w:wordWrap/>
        <w:adjustRightInd w:val="0"/>
        <w:spacing w:after="0" w:line="480" w:lineRule="auto"/>
        <w:jc w:val="left"/>
        <w:rPr>
          <w:rFonts w:ascii="Times New Roman" w:eastAsia="TimesNewRoman" w:hAnsi="Times New Roman" w:cs="Times New Roman"/>
          <w:kern w:val="0"/>
          <w:szCs w:val="20"/>
        </w:rPr>
      </w:pPr>
    </w:p>
    <w:p w14:paraId="6B1B3006" w14:textId="77777777" w:rsidR="00E1781B" w:rsidRPr="006160DA" w:rsidRDefault="00E1781B" w:rsidP="006160DA">
      <w:pPr>
        <w:wordWrap/>
        <w:adjustRightInd w:val="0"/>
        <w:spacing w:after="0" w:line="480" w:lineRule="auto"/>
        <w:jc w:val="left"/>
        <w:rPr>
          <w:rFonts w:ascii="Times New Roman" w:eastAsia="TimesNewRoman" w:hAnsi="Times New Roman" w:cs="Times New Roman"/>
          <w:kern w:val="0"/>
          <w:szCs w:val="20"/>
        </w:rPr>
      </w:pPr>
      <w:r w:rsidRPr="006160DA">
        <w:rPr>
          <w:rFonts w:ascii="Times New Roman" w:eastAsia="TimesNewRoman" w:hAnsi="Times New Roman" w:cs="Times New Roman"/>
          <w:kern w:val="0"/>
          <w:szCs w:val="20"/>
        </w:rPr>
        <w:t>*Corresponding author:</w:t>
      </w:r>
    </w:p>
    <w:p w14:paraId="0D0E3F88" w14:textId="77777777" w:rsidR="00E1781B" w:rsidRPr="006160DA" w:rsidRDefault="00E1781B" w:rsidP="006160DA">
      <w:pPr>
        <w:wordWrap/>
        <w:adjustRightInd w:val="0"/>
        <w:spacing w:after="0" w:line="480" w:lineRule="auto"/>
        <w:ind w:firstLineChars="50" w:firstLine="100"/>
        <w:jc w:val="left"/>
        <w:rPr>
          <w:rFonts w:ascii="Times New Roman" w:eastAsia="TimesNewRoman" w:hAnsi="Times New Roman" w:cs="Times New Roman"/>
          <w:kern w:val="0"/>
          <w:szCs w:val="20"/>
        </w:rPr>
      </w:pPr>
      <w:r w:rsidRPr="006160DA">
        <w:rPr>
          <w:rFonts w:ascii="Times New Roman" w:eastAsia="TimesNewRoman" w:hAnsi="Times New Roman" w:cs="Times New Roman"/>
          <w:kern w:val="0"/>
          <w:szCs w:val="20"/>
        </w:rPr>
        <w:t xml:space="preserve">Prof. </w:t>
      </w:r>
      <w:r w:rsidRPr="006160DA">
        <w:rPr>
          <w:rFonts w:ascii="Times New Roman" w:eastAsia="굴림" w:hAnsi="Times New Roman" w:cs="Times New Roman"/>
          <w:kern w:val="0"/>
          <w:szCs w:val="20"/>
        </w:rPr>
        <w:t>Yong Bok Lee</w:t>
      </w:r>
    </w:p>
    <w:p w14:paraId="76A806DD" w14:textId="77777777" w:rsidR="00E1781B" w:rsidRPr="006160DA" w:rsidRDefault="00E1781B" w:rsidP="006160DA">
      <w:pPr>
        <w:wordWrap/>
        <w:adjustRightInd w:val="0"/>
        <w:spacing w:after="0" w:line="480" w:lineRule="auto"/>
        <w:ind w:leftChars="50" w:left="100"/>
        <w:jc w:val="left"/>
        <w:rPr>
          <w:rFonts w:ascii="Times New Roman" w:eastAsia="TimesNewRoman" w:hAnsi="Times New Roman" w:cs="Times New Roman"/>
          <w:kern w:val="0"/>
          <w:szCs w:val="20"/>
        </w:rPr>
      </w:pPr>
      <w:r w:rsidRPr="006160DA">
        <w:rPr>
          <w:rFonts w:ascii="Times New Roman" w:eastAsia="굴림" w:hAnsi="Times New Roman" w:cs="Times New Roman"/>
          <w:kern w:val="0"/>
          <w:szCs w:val="20"/>
        </w:rPr>
        <w:t>College of Pharmacy, Chonnam National University, 77 Yongbong-ro, Buk-gu, Gwangju, 61186, Republic of Korea</w:t>
      </w:r>
      <w:r w:rsidRPr="006160DA">
        <w:rPr>
          <w:rFonts w:ascii="Times New Roman" w:eastAsia="TimesNewRoman" w:hAnsi="Times New Roman" w:cs="Times New Roman"/>
          <w:kern w:val="0"/>
          <w:szCs w:val="20"/>
        </w:rPr>
        <w:t xml:space="preserve"> </w:t>
      </w:r>
    </w:p>
    <w:p w14:paraId="271C50E9" w14:textId="77777777" w:rsidR="00E1781B" w:rsidRPr="006160DA" w:rsidRDefault="00E1781B" w:rsidP="006160DA">
      <w:pPr>
        <w:wordWrap/>
        <w:adjustRightInd w:val="0"/>
        <w:spacing w:after="0" w:line="480" w:lineRule="auto"/>
        <w:ind w:firstLineChars="50" w:firstLine="100"/>
        <w:jc w:val="left"/>
        <w:rPr>
          <w:rFonts w:ascii="Times New Roman" w:eastAsia="TimesNewRoman" w:hAnsi="Times New Roman" w:cs="Times New Roman"/>
          <w:kern w:val="0"/>
          <w:szCs w:val="20"/>
        </w:rPr>
      </w:pPr>
      <w:r w:rsidRPr="006160DA">
        <w:rPr>
          <w:rFonts w:ascii="Times New Roman" w:eastAsia="TimesNewRoman" w:hAnsi="Times New Roman" w:cs="Times New Roman"/>
          <w:kern w:val="0"/>
          <w:szCs w:val="20"/>
        </w:rPr>
        <w:t>Tel.: 82-62-530-2931; Fax: 82-62-530-0106</w:t>
      </w:r>
    </w:p>
    <w:p w14:paraId="4906ED8E" w14:textId="0458C19B" w:rsidR="00C7074D" w:rsidRPr="006160DA" w:rsidRDefault="00E1781B" w:rsidP="006160DA">
      <w:pPr>
        <w:wordWrap/>
        <w:spacing w:line="480" w:lineRule="auto"/>
        <w:ind w:firstLineChars="50" w:firstLine="100"/>
        <w:rPr>
          <w:rFonts w:ascii="Times New Roman" w:eastAsia="TimesNewRoman" w:hAnsi="Times New Roman" w:cs="Times New Roman"/>
          <w:b/>
          <w:bCs/>
          <w:szCs w:val="20"/>
        </w:rPr>
        <w:sectPr w:rsidR="00C7074D" w:rsidRPr="006160DA" w:rsidSect="00D35429">
          <w:footerReference w:type="default" r:id="rId7"/>
          <w:pgSz w:w="11906" w:h="16838"/>
          <w:pgMar w:top="1701" w:right="1440" w:bottom="1440" w:left="1440" w:header="851" w:footer="992" w:gutter="0"/>
          <w:lnNumType w:countBy="1" w:restart="continuous"/>
          <w:cols w:space="425"/>
          <w:docGrid w:linePitch="360"/>
        </w:sectPr>
      </w:pPr>
      <w:r w:rsidRPr="006160DA">
        <w:rPr>
          <w:rFonts w:ascii="Times New Roman" w:eastAsia="TimesNewRoman" w:hAnsi="Times New Roman" w:cs="Times New Roman"/>
          <w:kern w:val="0"/>
          <w:szCs w:val="20"/>
        </w:rPr>
        <w:t xml:space="preserve">E-mail: </w:t>
      </w:r>
      <w:hyperlink r:id="rId8" w:history="1">
        <w:r w:rsidRPr="006160DA">
          <w:rPr>
            <w:rStyle w:val="a4"/>
            <w:rFonts w:ascii="Times New Roman" w:eastAsia="TimesNewRoman" w:hAnsi="Times New Roman" w:cs="Times New Roman"/>
            <w:color w:val="auto"/>
            <w:kern w:val="0"/>
            <w:szCs w:val="20"/>
            <w:u w:val="none"/>
          </w:rPr>
          <w:t>leeyb@chonnam.ac.kr</w:t>
        </w:r>
      </w:hyperlink>
    </w:p>
    <w:p w14:paraId="3A90255C" w14:textId="777E569A" w:rsidR="00B246C5" w:rsidRPr="006160DA" w:rsidRDefault="00B246C5" w:rsidP="006160DA">
      <w:pPr>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lastRenderedPageBreak/>
        <w:t>Supplementary Information</w:t>
      </w:r>
      <w:r w:rsidR="004E14CE" w:rsidRPr="006160DA">
        <w:rPr>
          <w:rFonts w:ascii="Times New Roman" w:eastAsia="TimesNewRoman" w:hAnsi="Times New Roman" w:cs="Times New Roman"/>
          <w:b/>
          <w:bCs/>
          <w:szCs w:val="20"/>
        </w:rPr>
        <w:t xml:space="preserve"> 1</w:t>
      </w:r>
    </w:p>
    <w:p w14:paraId="0846305A" w14:textId="44FC8418" w:rsidR="005C26AA" w:rsidRPr="006160DA" w:rsidRDefault="005C26AA" w:rsidP="006160DA">
      <w:pPr>
        <w:spacing w:line="480" w:lineRule="auto"/>
        <w:rPr>
          <w:rFonts w:ascii="Times New Roman" w:eastAsia="TimesNewRoman" w:hAnsi="Times New Roman" w:cs="Times New Roman"/>
          <w:b/>
          <w:bCs/>
          <w:szCs w:val="20"/>
        </w:rPr>
      </w:pPr>
    </w:p>
    <w:p w14:paraId="33ED76E3" w14:textId="77777777" w:rsidR="004E14CE" w:rsidRPr="006160DA" w:rsidRDefault="004E14CE" w:rsidP="006160DA">
      <w:pPr>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t>Non-compartment analysis</w:t>
      </w:r>
    </w:p>
    <w:p w14:paraId="36F7CCEE" w14:textId="5BB00420" w:rsidR="00FD4CF1" w:rsidRPr="006160DA" w:rsidRDefault="004E14CE" w:rsidP="006160DA">
      <w:pPr>
        <w:spacing w:line="480" w:lineRule="auto"/>
        <w:ind w:firstLineChars="50" w:firstLine="100"/>
        <w:rPr>
          <w:rFonts w:ascii="Times New Roman" w:eastAsia="TimesNewRoman" w:hAnsi="Times New Roman" w:cs="Times New Roman"/>
          <w:b/>
          <w:bCs/>
          <w:szCs w:val="20"/>
        </w:rPr>
      </w:pPr>
      <w:r w:rsidRPr="006160DA">
        <w:rPr>
          <w:rFonts w:ascii="Times New Roman" w:eastAsia="TimesNewRoman" w:hAnsi="Times New Roman" w:cs="Times New Roman"/>
          <w:szCs w:val="20"/>
        </w:rPr>
        <w:t>Calculations of the basic pharmacokinetic parameters of finasteride were performed by non-compartment analysis (NCA)</w:t>
      </w:r>
      <w:r w:rsidR="009E43CA" w:rsidRPr="006160DA">
        <w:rPr>
          <w:rFonts w:ascii="Times New Roman" w:eastAsia="TimesNewRoman" w:hAnsi="Times New Roman" w:cs="Times New Roman"/>
          <w:szCs w:val="20"/>
        </w:rPr>
        <w:t xml:space="preserve"> using the </w:t>
      </w:r>
      <w:r w:rsidRPr="006160DA">
        <w:rPr>
          <w:rFonts w:ascii="Times New Roman" w:eastAsia="TimesNewRoman" w:hAnsi="Times New Roman" w:cs="Times New Roman"/>
          <w:szCs w:val="20"/>
        </w:rPr>
        <w:t>Phoenix WinNonlin software (version 8.3, Pharsight, Certara Inc.). The area under the curve from 0 h to infinite (AUC</w:t>
      </w:r>
      <w:r w:rsidRPr="006160DA">
        <w:rPr>
          <w:rFonts w:ascii="Times New Roman" w:eastAsia="TimesNewRoman" w:hAnsi="Times New Roman" w:cs="Times New Roman"/>
          <w:szCs w:val="20"/>
          <w:vertAlign w:val="subscript"/>
        </w:rPr>
        <w:t>0-∞</w:t>
      </w:r>
      <w:r w:rsidRPr="006160DA">
        <w:rPr>
          <w:rFonts w:ascii="Times New Roman" w:eastAsia="TimesNewRoman" w:hAnsi="Times New Roman" w:cs="Times New Roman"/>
          <w:szCs w:val="20"/>
        </w:rPr>
        <w:t>) was calculated as the sum of AUC</w:t>
      </w:r>
      <w:r w:rsidRPr="006160DA">
        <w:rPr>
          <w:rFonts w:ascii="Times New Roman" w:eastAsia="TimesNewRoman" w:hAnsi="Times New Roman" w:cs="Times New Roman"/>
          <w:szCs w:val="20"/>
          <w:vertAlign w:val="subscript"/>
        </w:rPr>
        <w:t>0–t</w:t>
      </w:r>
      <w:r w:rsidRPr="006160DA">
        <w:rPr>
          <w:rFonts w:ascii="Times New Roman" w:eastAsia="TimesNewRoman" w:hAnsi="Times New Roman" w:cs="Times New Roman"/>
          <w:szCs w:val="20"/>
        </w:rPr>
        <w:t xml:space="preserve"> and C</w:t>
      </w:r>
      <w:r w:rsidRPr="006160DA">
        <w:rPr>
          <w:rFonts w:ascii="Times New Roman" w:eastAsia="TimesNewRoman" w:hAnsi="Times New Roman" w:cs="Times New Roman"/>
          <w:szCs w:val="20"/>
          <w:vertAlign w:val="subscript"/>
        </w:rPr>
        <w:t>last</w:t>
      </w:r>
      <w:r w:rsidRPr="006160DA">
        <w:rPr>
          <w:rFonts w:ascii="Times New Roman" w:eastAsia="TimesNewRoman" w:hAnsi="Times New Roman" w:cs="Times New Roman"/>
          <w:szCs w:val="20"/>
        </w:rPr>
        <w:t>/k, where C</w:t>
      </w:r>
      <w:r w:rsidRPr="006160DA">
        <w:rPr>
          <w:rFonts w:ascii="Times New Roman" w:eastAsia="TimesNewRoman" w:hAnsi="Times New Roman" w:cs="Times New Roman"/>
          <w:szCs w:val="20"/>
          <w:vertAlign w:val="subscript"/>
        </w:rPr>
        <w:t>last</w:t>
      </w:r>
      <w:r w:rsidRPr="006160DA">
        <w:rPr>
          <w:rFonts w:ascii="Times New Roman" w:eastAsia="TimesNewRoman" w:hAnsi="Times New Roman" w:cs="Times New Roman"/>
          <w:szCs w:val="20"/>
        </w:rPr>
        <w:t xml:space="preserve"> is the </w:t>
      </w:r>
      <w:r w:rsidR="005A25E2" w:rsidRPr="006160DA">
        <w:rPr>
          <w:rFonts w:ascii="Times New Roman" w:eastAsia="TimesNewRoman" w:hAnsi="Times New Roman" w:cs="Times New Roman"/>
          <w:szCs w:val="20"/>
        </w:rPr>
        <w:t xml:space="preserve">last measurable </w:t>
      </w:r>
      <w:r w:rsidRPr="006160DA">
        <w:rPr>
          <w:rFonts w:ascii="Times New Roman" w:eastAsia="TimesNewRoman" w:hAnsi="Times New Roman" w:cs="Times New Roman"/>
          <w:szCs w:val="20"/>
        </w:rPr>
        <w:t>concentration, t is the time in C</w:t>
      </w:r>
      <w:r w:rsidRPr="006160DA">
        <w:rPr>
          <w:rFonts w:ascii="Times New Roman" w:eastAsia="TimesNewRoman" w:hAnsi="Times New Roman" w:cs="Times New Roman"/>
          <w:szCs w:val="20"/>
          <w:vertAlign w:val="subscript"/>
        </w:rPr>
        <w:t>last</w:t>
      </w:r>
      <w:r w:rsidRPr="006160DA">
        <w:rPr>
          <w:rFonts w:ascii="Times New Roman" w:eastAsia="TimesNewRoman" w:hAnsi="Times New Roman" w:cs="Times New Roman"/>
          <w:szCs w:val="20"/>
        </w:rPr>
        <w:t>, and k is the elimination rate constant at</w:t>
      </w:r>
      <w:r w:rsidR="009E43CA" w:rsidRPr="006160DA">
        <w:rPr>
          <w:rFonts w:ascii="Times New Roman" w:eastAsia="TimesNewRoman" w:hAnsi="Times New Roman" w:cs="Times New Roman"/>
          <w:szCs w:val="20"/>
        </w:rPr>
        <w:t xml:space="preserve"> the</w:t>
      </w:r>
      <w:r w:rsidRPr="006160DA">
        <w:rPr>
          <w:rFonts w:ascii="Times New Roman" w:eastAsia="TimesNewRoman" w:hAnsi="Times New Roman" w:cs="Times New Roman"/>
          <w:szCs w:val="20"/>
        </w:rPr>
        <w:t xml:space="preserve"> terminal phase. AUC</w:t>
      </w:r>
      <w:r w:rsidRPr="006160DA">
        <w:rPr>
          <w:rFonts w:ascii="Times New Roman" w:eastAsia="TimesNewRoman" w:hAnsi="Times New Roman" w:cs="Times New Roman"/>
          <w:szCs w:val="20"/>
          <w:vertAlign w:val="subscript"/>
        </w:rPr>
        <w:t>0–t</w:t>
      </w:r>
      <w:r w:rsidRPr="006160DA">
        <w:rPr>
          <w:rFonts w:ascii="Times New Roman" w:eastAsia="TimesNewRoman" w:hAnsi="Times New Roman" w:cs="Times New Roman"/>
          <w:szCs w:val="20"/>
        </w:rPr>
        <w:t xml:space="preserve"> was calculated using a linear trapezoidal rule from 0 to t h after oral administration of morniflumate. The area under the first-order moment curve (AUMC) was calculated as the area of the graph under the product of time and plasma concentration over time. The mean residence time (MRT) was obtained as the ratio of AUMC and AUC. The half-life (T</w:t>
      </w:r>
      <w:r w:rsidRPr="006160DA">
        <w:rPr>
          <w:rFonts w:ascii="Times New Roman" w:eastAsia="TimesNewRoman" w:hAnsi="Times New Roman" w:cs="Times New Roman"/>
          <w:szCs w:val="20"/>
          <w:vertAlign w:val="subscript"/>
        </w:rPr>
        <w:t>1/2</w:t>
      </w:r>
      <w:r w:rsidRPr="006160DA">
        <w:rPr>
          <w:rFonts w:ascii="Times New Roman" w:eastAsia="TimesNewRoman" w:hAnsi="Times New Roman" w:cs="Times New Roman"/>
          <w:szCs w:val="20"/>
        </w:rPr>
        <w:t>) was calculated as 0.693/k, and the volume of the distribution (V/F) was calculated as dose/k · AUC</w:t>
      </w:r>
      <w:r w:rsidRPr="006160DA">
        <w:rPr>
          <w:rFonts w:ascii="Times New Roman" w:eastAsia="TimesNewRoman" w:hAnsi="Times New Roman" w:cs="Times New Roman"/>
          <w:szCs w:val="20"/>
          <w:vertAlign w:val="subscript"/>
        </w:rPr>
        <w:t>0–∞</w:t>
      </w:r>
      <w:r w:rsidRPr="006160DA">
        <w:rPr>
          <w:rFonts w:ascii="Times New Roman" w:eastAsia="TimesNewRoman" w:hAnsi="Times New Roman" w:cs="Times New Roman"/>
          <w:szCs w:val="20"/>
        </w:rPr>
        <w:t>. The clearance (CL/F) was calculated by dividing the dose of morniflumate by AUC</w:t>
      </w:r>
      <w:r w:rsidRPr="006160DA">
        <w:rPr>
          <w:rFonts w:ascii="Times New Roman" w:eastAsia="TimesNewRoman" w:hAnsi="Times New Roman" w:cs="Times New Roman"/>
          <w:szCs w:val="20"/>
          <w:vertAlign w:val="subscript"/>
        </w:rPr>
        <w:t>0–∞</w:t>
      </w:r>
      <w:r w:rsidRPr="006160DA">
        <w:rPr>
          <w:rFonts w:ascii="Times New Roman" w:eastAsia="TimesNewRoman" w:hAnsi="Times New Roman" w:cs="Times New Roman"/>
          <w:szCs w:val="20"/>
        </w:rPr>
        <w:t>, where F is the bioavailability of oral administration. The peak plasma drug concentration (C</w:t>
      </w:r>
      <w:r w:rsidRPr="006160DA">
        <w:rPr>
          <w:rFonts w:ascii="Times New Roman" w:eastAsia="TimesNewRoman" w:hAnsi="Times New Roman" w:cs="Times New Roman"/>
          <w:szCs w:val="20"/>
          <w:vertAlign w:val="subscript"/>
        </w:rPr>
        <w:t>max</w:t>
      </w:r>
      <w:r w:rsidRPr="006160DA">
        <w:rPr>
          <w:rFonts w:ascii="Times New Roman" w:eastAsia="TimesNewRoman" w:hAnsi="Times New Roman" w:cs="Times New Roman"/>
          <w:szCs w:val="20"/>
        </w:rPr>
        <w:t>) and time to reach C</w:t>
      </w:r>
      <w:r w:rsidRPr="006160DA">
        <w:rPr>
          <w:rFonts w:ascii="Times New Roman" w:eastAsia="TimesNewRoman" w:hAnsi="Times New Roman" w:cs="Times New Roman"/>
          <w:szCs w:val="20"/>
          <w:vertAlign w:val="subscript"/>
        </w:rPr>
        <w:t>max</w:t>
      </w:r>
      <w:r w:rsidRPr="006160DA">
        <w:rPr>
          <w:rFonts w:ascii="Times New Roman" w:eastAsia="TimesNewRoman" w:hAnsi="Times New Roman" w:cs="Times New Roman"/>
          <w:szCs w:val="20"/>
        </w:rPr>
        <w:t xml:space="preserve"> (T</w:t>
      </w:r>
      <w:r w:rsidRPr="006160DA">
        <w:rPr>
          <w:rFonts w:ascii="Times New Roman" w:eastAsia="TimesNewRoman" w:hAnsi="Times New Roman" w:cs="Times New Roman"/>
          <w:szCs w:val="20"/>
          <w:vertAlign w:val="subscript"/>
        </w:rPr>
        <w:t>max</w:t>
      </w:r>
      <w:r w:rsidRPr="006160DA">
        <w:rPr>
          <w:rFonts w:ascii="Times New Roman" w:eastAsia="TimesNewRoman" w:hAnsi="Times New Roman" w:cs="Times New Roman"/>
          <w:szCs w:val="20"/>
        </w:rPr>
        <w:t>) were determined from the plasma morniflumate concentration-time curves of each individual.</w:t>
      </w:r>
    </w:p>
    <w:p w14:paraId="5A25AC24" w14:textId="77777777" w:rsidR="004E14CE" w:rsidRPr="006160DA" w:rsidRDefault="004E14CE" w:rsidP="006160DA">
      <w:pPr>
        <w:spacing w:line="480" w:lineRule="auto"/>
        <w:rPr>
          <w:rFonts w:ascii="Times New Roman" w:eastAsia="TimesNewRoman" w:hAnsi="Times New Roman" w:cs="Times New Roman"/>
          <w:b/>
          <w:bCs/>
          <w:szCs w:val="20"/>
        </w:rPr>
        <w:sectPr w:rsidR="004E14CE" w:rsidRPr="006160DA" w:rsidSect="00523263">
          <w:pgSz w:w="11906" w:h="16838"/>
          <w:pgMar w:top="1701" w:right="1440" w:bottom="1440" w:left="1440" w:header="851" w:footer="992" w:gutter="0"/>
          <w:lnNumType w:countBy="1" w:restart="continuous"/>
          <w:cols w:space="425"/>
          <w:docGrid w:linePitch="360"/>
        </w:sectPr>
      </w:pPr>
    </w:p>
    <w:p w14:paraId="13BA97D6" w14:textId="5F07950F" w:rsidR="004E14CE" w:rsidRPr="006160DA" w:rsidRDefault="004E14CE" w:rsidP="006160DA">
      <w:pPr>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lastRenderedPageBreak/>
        <w:t>Supplementary Information 2</w:t>
      </w:r>
    </w:p>
    <w:p w14:paraId="785FA84F" w14:textId="77777777" w:rsidR="004E14CE" w:rsidRPr="006160DA" w:rsidRDefault="004E14CE" w:rsidP="006160DA">
      <w:pPr>
        <w:spacing w:line="480" w:lineRule="auto"/>
        <w:rPr>
          <w:rFonts w:ascii="Times New Roman" w:eastAsia="TimesNewRoman" w:hAnsi="Times New Roman" w:cs="Times New Roman"/>
          <w:b/>
          <w:bCs/>
          <w:szCs w:val="20"/>
        </w:rPr>
      </w:pPr>
    </w:p>
    <w:p w14:paraId="6259F55A" w14:textId="77777777" w:rsidR="004E14CE" w:rsidRPr="006160DA" w:rsidRDefault="004E14CE" w:rsidP="006160DA">
      <w:pPr>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t>Determination of clinical biochemistry parameters</w:t>
      </w:r>
    </w:p>
    <w:p w14:paraId="62D10759" w14:textId="3C4F372F" w:rsidR="00EB6B39" w:rsidRPr="006160DA" w:rsidRDefault="004E14CE" w:rsidP="006160DA">
      <w:pPr>
        <w:spacing w:line="480" w:lineRule="auto"/>
        <w:ind w:firstLineChars="50" w:firstLine="100"/>
        <w:rPr>
          <w:rFonts w:ascii="Times New Roman" w:eastAsia="TimesNewRoman" w:hAnsi="Times New Roman" w:cs="Times New Roman"/>
          <w:szCs w:val="20"/>
        </w:rPr>
      </w:pPr>
      <w:r w:rsidRPr="006160DA">
        <w:rPr>
          <w:rFonts w:ascii="Times New Roman" w:eastAsia="TimesNewRoman" w:hAnsi="Times New Roman" w:cs="Times New Roman"/>
          <w:szCs w:val="20"/>
        </w:rPr>
        <w:t xml:space="preserve">Blank plasma samples obtained immediately before morniflumate administration (0 h) were used for </w:t>
      </w:r>
      <w:r w:rsidR="009E43CA" w:rsidRPr="006160DA">
        <w:rPr>
          <w:rFonts w:ascii="Times New Roman" w:eastAsia="TimesNewRoman" w:hAnsi="Times New Roman" w:cs="Times New Roman"/>
          <w:szCs w:val="20"/>
        </w:rPr>
        <w:t xml:space="preserve">the </w:t>
      </w:r>
      <w:r w:rsidRPr="006160DA">
        <w:rPr>
          <w:rFonts w:ascii="Times New Roman" w:eastAsia="TimesNewRoman" w:hAnsi="Times New Roman" w:cs="Times New Roman"/>
          <w:szCs w:val="20"/>
        </w:rPr>
        <w:t xml:space="preserve">analysis of clinical biochemical parameters. The types of biochemical parameters included total proteins, albumin, globulin, alkaline phosphatase (ALP), aspartate transaminase (AST), alanine transaminase (ALT), cholesterol, total bilirubin, blood urea nitrogen, creatinine, creatinine clearance (CrCL), and glomerular filtration rate (GFR). Determination of clinical biochemical parameter values was performed by serological analysis through a dry automated analyzer. The </w:t>
      </w:r>
      <w:r w:rsidR="009E43CA" w:rsidRPr="006160DA">
        <w:rPr>
          <w:rFonts w:ascii="Times New Roman" w:eastAsia="TimesNewRoman" w:hAnsi="Times New Roman" w:cs="Times New Roman"/>
          <w:szCs w:val="20"/>
        </w:rPr>
        <w:t>analyses were conducted with a</w:t>
      </w:r>
      <w:r w:rsidRPr="006160DA">
        <w:rPr>
          <w:rFonts w:ascii="Times New Roman" w:eastAsia="TimesNewRoman" w:hAnsi="Times New Roman" w:cs="Times New Roman"/>
          <w:szCs w:val="20"/>
        </w:rPr>
        <w:t xml:space="preserve"> VITROS </w:t>
      </w:r>
      <w:proofErr w:type="spellStart"/>
      <w:r w:rsidR="009E43CA" w:rsidRPr="006160DA">
        <w:rPr>
          <w:rFonts w:ascii="Times New Roman" w:eastAsia="TimesNewRoman" w:hAnsi="Times New Roman" w:cs="Times New Roman"/>
          <w:szCs w:val="20"/>
        </w:rPr>
        <w:t>MicroSlide</w:t>
      </w:r>
      <w:proofErr w:type="spellEnd"/>
      <w:r w:rsidR="009E43CA" w:rsidRPr="006160DA">
        <w:rPr>
          <w:rFonts w:ascii="Times New Roman" w:eastAsia="TimesNewRoman" w:hAnsi="Times New Roman" w:cs="Times New Roman"/>
          <w:szCs w:val="20"/>
        </w:rPr>
        <w:t xml:space="preserve"> system </w:t>
      </w:r>
      <w:r w:rsidRPr="006160DA">
        <w:rPr>
          <w:rFonts w:ascii="Times New Roman" w:eastAsia="TimesNewRoman" w:hAnsi="Times New Roman" w:cs="Times New Roman"/>
          <w:szCs w:val="20"/>
        </w:rPr>
        <w:t>(Ortho Clinical Diagnostics, NJ, USA) operated by reflectance spectrophotometry. CrCL was calculated based on the Cockcroft-Gault equation</w:t>
      </w:r>
      <w:r w:rsidR="009E43CA" w:rsidRPr="006160DA">
        <w:rPr>
          <w:rFonts w:ascii="Times New Roman" w:eastAsia="TimesNewRoman" w:hAnsi="Times New Roman" w:cs="Times New Roman"/>
          <w:szCs w:val="20"/>
        </w:rPr>
        <w:t xml:space="preserve"> as follows</w:t>
      </w:r>
      <w:r w:rsidRPr="006160DA">
        <w:rPr>
          <w:rFonts w:ascii="Times New Roman" w:eastAsia="TimesNewRoman" w:hAnsi="Times New Roman" w:cs="Times New Roman"/>
          <w:szCs w:val="20"/>
        </w:rPr>
        <w:t>: [(140 - age) × body weight (kg)/serum creatinine (mg/dL) × 72]</w:t>
      </w:r>
      <w:r w:rsidR="003C1032" w:rsidRPr="006160DA">
        <w:rPr>
          <w:rFonts w:ascii="Times New Roman" w:eastAsia="TimesNewRoman" w:hAnsi="Times New Roman" w:cs="Times New Roman"/>
          <w:szCs w:val="20"/>
        </w:rPr>
        <w:t xml:space="preserve"> </w:t>
      </w:r>
      <w:r w:rsidR="003C1032" w:rsidRPr="006160DA">
        <w:rPr>
          <w:rFonts w:ascii="Times New Roman" w:eastAsia="TimesNewRoman" w:hAnsi="Times New Roman" w:cs="Times New Roman"/>
          <w:szCs w:val="20"/>
        </w:rPr>
        <w:fldChar w:fldCharType="begin"/>
      </w:r>
      <w:r w:rsidR="006160DA">
        <w:rPr>
          <w:rFonts w:ascii="Times New Roman" w:eastAsia="TimesNewRoman" w:hAnsi="Times New Roman" w:cs="Times New Roman"/>
          <w:szCs w:val="20"/>
        </w:rPr>
        <w:instrText xml:space="preserve"> ADDIN EN.CITE &lt;EndNote&gt;&lt;Cite&gt;&lt;Author&gt;Hermsen&lt;/Author&gt;&lt;Year&gt;2009&lt;/Year&gt;&lt;RecNum&gt;22&lt;/RecNum&gt;&lt;DisplayText&gt;(Hermsen et al., 2009)&lt;/DisplayText&gt;&lt;record&gt;&lt;rec-number&gt;22&lt;/rec-number&gt;&lt;foreign-keys&gt;&lt;key app="EN" db-id="0depra9pfpafdvefwtnp902bww09a2p9prvv" timestamp="1684904290"&gt;22&lt;/key&gt;&lt;/foreign-keys&gt;&lt;ref-type name="Journal Article"&gt;17&lt;/ref-type&gt;&lt;contributors&gt;&lt;authors&gt;&lt;author&gt;Hermsen, Elizabeth D&lt;/author&gt;&lt;author&gt;Maiefski, Ms Melissa&lt;/author&gt;&lt;author&gt;Florescu, Marius C&lt;/author&gt;&lt;author&gt;Qiu, Fang&lt;/author&gt;&lt;author&gt;Rupp, Mark E&lt;/author&gt;&lt;/authors&gt;&lt;/contributors&gt;&lt;titles&gt;&lt;title&gt;Comparison of the modification of diet in renal disease and Cockcroft‐Gault equations for dosing antimicrobials&lt;/title&gt;&lt;secondary-title&gt;Pharmacotherapy&lt;/secondary-title&gt;&lt;/titles&gt;&lt;periodical&gt;&lt;full-title&gt;Pharmacotherapy&lt;/full-title&gt;&lt;/periodical&gt;&lt;pages&gt;649-655&lt;/pages&gt;&lt;volume&gt;29&lt;/volume&gt;&lt;number&gt;6&lt;/number&gt;&lt;dates&gt;&lt;year&gt;2009&lt;/year&gt;&lt;/dates&gt;&lt;isbn&gt;0277-0008&lt;/isbn&gt;&lt;urls&gt;&lt;/urls&gt;&lt;electronic-resource-num&gt;https://doi.org/10.1592/phco.29.6.649&lt;/electronic-resource-num&gt;&lt;/record&gt;&lt;/Cite&gt;&lt;/EndNote&gt;</w:instrText>
      </w:r>
      <w:r w:rsidR="003C1032" w:rsidRPr="006160DA">
        <w:rPr>
          <w:rFonts w:ascii="Times New Roman" w:eastAsia="TimesNewRoman" w:hAnsi="Times New Roman" w:cs="Times New Roman"/>
          <w:szCs w:val="20"/>
        </w:rPr>
        <w:fldChar w:fldCharType="separate"/>
      </w:r>
      <w:r w:rsidR="006160DA">
        <w:rPr>
          <w:rFonts w:ascii="Times New Roman" w:eastAsia="TimesNewRoman" w:hAnsi="Times New Roman" w:cs="Times New Roman"/>
          <w:noProof/>
          <w:szCs w:val="20"/>
        </w:rPr>
        <w:t>(Hermsen et al., 2009)</w:t>
      </w:r>
      <w:r w:rsidR="003C1032" w:rsidRPr="006160DA">
        <w:rPr>
          <w:rFonts w:ascii="Times New Roman" w:eastAsia="TimesNewRoman" w:hAnsi="Times New Roman" w:cs="Times New Roman"/>
          <w:szCs w:val="20"/>
        </w:rPr>
        <w:fldChar w:fldCharType="end"/>
      </w:r>
      <w:r w:rsidRPr="006160DA">
        <w:rPr>
          <w:rFonts w:ascii="Times New Roman" w:eastAsia="TimesNewRoman" w:hAnsi="Times New Roman" w:cs="Times New Roman"/>
          <w:szCs w:val="20"/>
        </w:rPr>
        <w:t>.</w:t>
      </w:r>
      <w:r w:rsidR="00226400"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GFR was calculated using the Modification-of-Diet-in-Renal-Disease formula: 186.3 × [serum creatinine (mg/dL)</w:t>
      </w:r>
      <w:r w:rsidRPr="006160DA">
        <w:rPr>
          <w:rFonts w:ascii="Times New Roman" w:eastAsia="TimesNewRoman" w:hAnsi="Times New Roman" w:cs="Times New Roman"/>
          <w:szCs w:val="20"/>
          <w:vertAlign w:val="superscript"/>
        </w:rPr>
        <w:t>-1.154</w:t>
      </w:r>
      <w:r w:rsidRPr="006160DA">
        <w:rPr>
          <w:rFonts w:ascii="Times New Roman" w:eastAsia="TimesNewRoman" w:hAnsi="Times New Roman" w:cs="Times New Roman"/>
          <w:szCs w:val="20"/>
        </w:rPr>
        <w:t xml:space="preserve"> × age (year)</w:t>
      </w:r>
      <w:r w:rsidRPr="006160DA">
        <w:rPr>
          <w:rFonts w:ascii="Times New Roman" w:eastAsia="TimesNewRoman" w:hAnsi="Times New Roman" w:cs="Times New Roman"/>
          <w:szCs w:val="20"/>
          <w:vertAlign w:val="superscript"/>
        </w:rPr>
        <w:t>-0.203</w:t>
      </w:r>
      <w:r w:rsidRPr="006160DA">
        <w:rPr>
          <w:rFonts w:ascii="Times New Roman" w:eastAsia="TimesNewRoman" w:hAnsi="Times New Roman" w:cs="Times New Roman"/>
          <w:szCs w:val="20"/>
        </w:rPr>
        <w:t>]</w:t>
      </w:r>
      <w:r w:rsidR="003C1032" w:rsidRPr="006160DA">
        <w:rPr>
          <w:rFonts w:ascii="Times New Roman" w:eastAsia="TimesNewRoman" w:hAnsi="Times New Roman" w:cs="Times New Roman"/>
          <w:szCs w:val="20"/>
        </w:rPr>
        <w:t xml:space="preserve"> </w:t>
      </w:r>
      <w:r w:rsidR="003C1032" w:rsidRPr="006160DA">
        <w:rPr>
          <w:rFonts w:ascii="Times New Roman" w:eastAsia="TimesNewRoman" w:hAnsi="Times New Roman" w:cs="Times New Roman"/>
          <w:szCs w:val="20"/>
        </w:rPr>
        <w:fldChar w:fldCharType="begin"/>
      </w:r>
      <w:r w:rsidR="006160DA">
        <w:rPr>
          <w:rFonts w:ascii="Times New Roman" w:eastAsia="TimesNewRoman" w:hAnsi="Times New Roman" w:cs="Times New Roman"/>
          <w:szCs w:val="20"/>
        </w:rPr>
        <w:instrText xml:space="preserve"> ADDIN EN.CITE &lt;EndNote&gt;&lt;Cite&gt;&lt;Author&gt;Al-Naamani&lt;/Author&gt;&lt;Year&gt;2008&lt;/Year&gt;&lt;RecNum&gt;23&lt;/RecNum&gt;&lt;DisplayText&gt;(Al-Naamani et al., 2008)&lt;/DisplayText&gt;&lt;record&gt;&lt;rec-number&gt;23&lt;/rec-number&gt;&lt;foreign-keys&gt;&lt;key app="EN" db-id="0depra9pfpafdvefwtnp902bww09a2p9prvv" timestamp="1684904430"&gt;23&lt;/key&gt;&lt;/foreign-keys&gt;&lt;ref-type name="Journal Article"&gt;17&lt;/ref-type&gt;&lt;contributors&gt;&lt;authors&gt;&lt;author&gt;Al-Naamani, N&lt;/author&gt;&lt;author&gt;Maarouf, OH&lt;/author&gt;&lt;author&gt;Wilt, JS&lt;/author&gt;&lt;author&gt;D’Ovidio, F&lt;/author&gt;&lt;author&gt;Sonett, JR&lt;/author&gt;&lt;author&gt;Arcasoy, SM&lt;/author&gt;&lt;author&gt;Nickolas, TL&lt;/author&gt;&lt;author&gt;Lederer, DJ&lt;/author&gt;&lt;author&gt;Kawut, SM&lt;/author&gt;&lt;/authors&gt;&lt;/contributors&gt;&lt;titles&gt;&lt;title&gt;25: the Modification of Diet in Renal Disease (MDRD) formula predicts kidney failure after lung transplantation&lt;/title&gt;&lt;secondary-title&gt;J. Heart Lung Transplant.&lt;/secondary-title&gt;&lt;/titles&gt;&lt;periodical&gt;&lt;full-title&gt;J. Heart Lung Transplant.&lt;/full-title&gt;&lt;/periodical&gt;&lt;pages&gt;S69&lt;/pages&gt;&lt;volume&gt;27&lt;/volume&gt;&lt;number&gt;2&lt;/number&gt;&lt;dates&gt;&lt;year&gt;2008&lt;/year&gt;&lt;/dates&gt;&lt;isbn&gt;1053-2498&lt;/isbn&gt;&lt;urls&gt;&lt;/urls&gt;&lt;electronic-resource-num&gt;https://doi.org/10.1016/j.healun.2007.11.029&lt;/electronic-resource-num&gt;&lt;/record&gt;&lt;/Cite&gt;&lt;/EndNote&gt;</w:instrText>
      </w:r>
      <w:r w:rsidR="003C1032" w:rsidRPr="006160DA">
        <w:rPr>
          <w:rFonts w:ascii="Times New Roman" w:eastAsia="TimesNewRoman" w:hAnsi="Times New Roman" w:cs="Times New Roman"/>
          <w:szCs w:val="20"/>
        </w:rPr>
        <w:fldChar w:fldCharType="separate"/>
      </w:r>
      <w:r w:rsidR="006160DA">
        <w:rPr>
          <w:rFonts w:ascii="Times New Roman" w:eastAsia="TimesNewRoman" w:hAnsi="Times New Roman" w:cs="Times New Roman"/>
          <w:noProof/>
          <w:szCs w:val="20"/>
        </w:rPr>
        <w:t>(Al-Naamani et al., 2008)</w:t>
      </w:r>
      <w:r w:rsidR="003C1032" w:rsidRPr="006160DA">
        <w:rPr>
          <w:rFonts w:ascii="Times New Roman" w:eastAsia="TimesNewRoman" w:hAnsi="Times New Roman" w:cs="Times New Roman"/>
          <w:szCs w:val="20"/>
        </w:rPr>
        <w:fldChar w:fldCharType="end"/>
      </w:r>
      <w:r w:rsidRPr="006160DA">
        <w:rPr>
          <w:rFonts w:ascii="Times New Roman" w:eastAsia="TimesNewRoman" w:hAnsi="Times New Roman" w:cs="Times New Roman"/>
          <w:szCs w:val="20"/>
        </w:rPr>
        <w:t xml:space="preserve">. Body mass index (BMI) and body surface area (BSA) were calculated based on the weight and height of individuals. BMI was calculated based on the </w:t>
      </w:r>
      <w:proofErr w:type="spellStart"/>
      <w:r w:rsidRPr="006160DA">
        <w:rPr>
          <w:rFonts w:ascii="Times New Roman" w:eastAsia="TimesNewRoman" w:hAnsi="Times New Roman" w:cs="Times New Roman"/>
          <w:szCs w:val="20"/>
        </w:rPr>
        <w:t>Kaup</w:t>
      </w:r>
      <w:proofErr w:type="spellEnd"/>
      <w:r w:rsidRPr="006160DA">
        <w:rPr>
          <w:rFonts w:ascii="Times New Roman" w:eastAsia="TimesNewRoman" w:hAnsi="Times New Roman" w:cs="Times New Roman"/>
          <w:szCs w:val="20"/>
        </w:rPr>
        <w:t xml:space="preserve"> index: [body weight (kg)/height</w:t>
      </w:r>
      <w:r w:rsidRPr="006160DA">
        <w:rPr>
          <w:rFonts w:ascii="Times New Roman" w:eastAsia="TimesNewRoman" w:hAnsi="Times New Roman" w:cs="Times New Roman"/>
          <w:szCs w:val="20"/>
          <w:vertAlign w:val="superscript"/>
        </w:rPr>
        <w:t xml:space="preserve">2 </w:t>
      </w:r>
      <w:r w:rsidRPr="006160DA">
        <w:rPr>
          <w:rFonts w:ascii="Times New Roman" w:eastAsia="TimesNewRoman" w:hAnsi="Times New Roman" w:cs="Times New Roman"/>
          <w:szCs w:val="20"/>
        </w:rPr>
        <w:t>(m</w:t>
      </w:r>
      <w:r w:rsidRPr="006160DA">
        <w:rPr>
          <w:rFonts w:ascii="Times New Roman" w:eastAsia="TimesNewRoman" w:hAnsi="Times New Roman" w:cs="Times New Roman"/>
          <w:szCs w:val="20"/>
          <w:vertAlign w:val="superscript"/>
        </w:rPr>
        <w:t>2</w:t>
      </w:r>
      <w:r w:rsidRPr="006160DA">
        <w:rPr>
          <w:rFonts w:ascii="Times New Roman" w:eastAsia="TimesNewRoman" w:hAnsi="Times New Roman" w:cs="Times New Roman"/>
          <w:szCs w:val="20"/>
        </w:rPr>
        <w:t>)]</w:t>
      </w:r>
      <w:r w:rsidR="003C1032" w:rsidRPr="006160DA">
        <w:rPr>
          <w:rFonts w:ascii="Times New Roman" w:eastAsia="TimesNewRoman" w:hAnsi="Times New Roman" w:cs="Times New Roman"/>
          <w:szCs w:val="20"/>
        </w:rPr>
        <w:t xml:space="preserve"> </w:t>
      </w:r>
      <w:r w:rsidR="003C1032" w:rsidRPr="006160DA">
        <w:rPr>
          <w:rFonts w:ascii="Times New Roman" w:eastAsia="TimesNewRoman" w:hAnsi="Times New Roman" w:cs="Times New Roman"/>
          <w:szCs w:val="20"/>
        </w:rPr>
        <w:fldChar w:fldCharType="begin"/>
      </w:r>
      <w:r w:rsidR="006160DA">
        <w:rPr>
          <w:rFonts w:ascii="Times New Roman" w:eastAsia="TimesNewRoman" w:hAnsi="Times New Roman" w:cs="Times New Roman"/>
          <w:szCs w:val="20"/>
        </w:rPr>
        <w:instrText xml:space="preserve"> ADDIN EN.CITE &lt;EndNote&gt;&lt;Cite&gt;&lt;Author&gt;Hotta&lt;/Author&gt;&lt;Year&gt;2005&lt;/Year&gt;&lt;RecNum&gt;24&lt;/RecNum&gt;&lt;DisplayText&gt;(Hotta et al., 2005)&lt;/DisplayText&gt;&lt;record&gt;&lt;rec-number&gt;24&lt;/rec-number&gt;&lt;foreign-keys&gt;&lt;key app="EN" db-id="0depra9pfpafdvefwtnp902bww09a2p9prvv" timestamp="1684904534"&gt;24&lt;/key&gt;&lt;/foreign-keys&gt;&lt;ref-type name="Journal Article"&gt;17&lt;/ref-type&gt;&lt;contributors&gt;&lt;authors&gt;&lt;author&gt;Hotta, Masanaka&lt;/author&gt;&lt;author&gt;Li, Yan&lt;/author&gt;&lt;author&gt;Anme, Tokie&lt;/author&gt;&lt;author&gt;Ushijima, Hiroshi&lt;/author&gt;&lt;/authors&gt;&lt;/contributors&gt;&lt;titles&gt;&lt;title&gt;Risk factors for low Kaup index among children in rural ethnic minority areas of Yunnan, China&lt;/title&gt;&lt;secondary-title&gt;Pediatr. Int.&lt;/secondary-title&gt;&lt;/titles&gt;&lt;periodical&gt;&lt;full-title&gt;Pediatr. Int.&lt;/full-title&gt;&lt;/periodical&gt;&lt;pages&gt;147-153&lt;/pages&gt;&lt;volume&gt;47&lt;/volume&gt;&lt;number&gt;2&lt;/number&gt;&lt;dates&gt;&lt;year&gt;2005&lt;/year&gt;&lt;/dates&gt;&lt;isbn&gt;1328-8067&lt;/isbn&gt;&lt;urls&gt;&lt;/urls&gt;&lt;electronic-resource-num&gt;https://doi.org/10.1111/j.1442-200x.2005.02045.x&lt;/electronic-resource-num&gt;&lt;/record&gt;&lt;/Cite&gt;&lt;/EndNote&gt;</w:instrText>
      </w:r>
      <w:r w:rsidR="003C1032" w:rsidRPr="006160DA">
        <w:rPr>
          <w:rFonts w:ascii="Times New Roman" w:eastAsia="TimesNewRoman" w:hAnsi="Times New Roman" w:cs="Times New Roman"/>
          <w:szCs w:val="20"/>
        </w:rPr>
        <w:fldChar w:fldCharType="separate"/>
      </w:r>
      <w:r w:rsidR="006160DA">
        <w:rPr>
          <w:rFonts w:ascii="Times New Roman" w:eastAsia="TimesNewRoman" w:hAnsi="Times New Roman" w:cs="Times New Roman"/>
          <w:noProof/>
          <w:szCs w:val="20"/>
        </w:rPr>
        <w:t>(Hotta et al., 2005)</w:t>
      </w:r>
      <w:r w:rsidR="003C1032" w:rsidRPr="006160DA">
        <w:rPr>
          <w:rFonts w:ascii="Times New Roman" w:eastAsia="TimesNewRoman" w:hAnsi="Times New Roman" w:cs="Times New Roman"/>
          <w:szCs w:val="20"/>
        </w:rPr>
        <w:fldChar w:fldCharType="end"/>
      </w:r>
      <w:r w:rsidRPr="006160DA">
        <w:rPr>
          <w:rFonts w:ascii="Times New Roman" w:eastAsia="TimesNewRoman" w:hAnsi="Times New Roman" w:cs="Times New Roman"/>
          <w:szCs w:val="20"/>
        </w:rPr>
        <w:t xml:space="preserve">. BSA was calculated based on the </w:t>
      </w:r>
      <w:proofErr w:type="spellStart"/>
      <w:r w:rsidRPr="006160DA">
        <w:rPr>
          <w:rFonts w:ascii="Times New Roman" w:eastAsia="TimesNewRoman" w:hAnsi="Times New Roman" w:cs="Times New Roman"/>
          <w:szCs w:val="20"/>
        </w:rPr>
        <w:t>Mosteller</w:t>
      </w:r>
      <w:proofErr w:type="spellEnd"/>
      <w:r w:rsidRPr="006160DA">
        <w:rPr>
          <w:rFonts w:ascii="Times New Roman" w:eastAsia="TimesNewRoman" w:hAnsi="Times New Roman" w:cs="Times New Roman"/>
          <w:szCs w:val="20"/>
        </w:rPr>
        <w:t xml:space="preserve"> formula: </w:t>
      </w:r>
      <m:oMath>
        <m:rad>
          <m:radPr>
            <m:degHide m:val="1"/>
            <m:ctrlPr>
              <w:rPr>
                <w:rFonts w:ascii="Cambria Math" w:eastAsia="TimesNewRoman" w:hAnsi="Cambria Math" w:cs="Times New Roman"/>
                <w:i/>
                <w:iCs/>
                <w:szCs w:val="20"/>
              </w:rPr>
            </m:ctrlPr>
          </m:radPr>
          <m:deg/>
          <m:e>
            <m:r>
              <m:rPr>
                <m:sty m:val="p"/>
              </m:rPr>
              <w:rPr>
                <w:rFonts w:ascii="Cambria Math" w:eastAsia="TimesNewRoman" w:hAnsi="Cambria Math" w:cs="Times New Roman"/>
                <w:szCs w:val="20"/>
              </w:rPr>
              <m:t>(height (cm) × weight (kg)/3600)</m:t>
            </m:r>
          </m:e>
        </m:rad>
      </m:oMath>
      <w:r w:rsidR="00650FB8" w:rsidRPr="006160DA">
        <w:rPr>
          <w:rFonts w:ascii="Times New Roman" w:eastAsia="TimesNewRoman" w:hAnsi="Times New Roman" w:cs="Times New Roman"/>
          <w:iCs/>
          <w:szCs w:val="20"/>
        </w:rPr>
        <w:t xml:space="preserve"> </w:t>
      </w:r>
      <w:r w:rsidR="00650FB8" w:rsidRPr="006160DA">
        <w:rPr>
          <w:rFonts w:ascii="Times New Roman" w:eastAsia="TimesNewRoman" w:hAnsi="Times New Roman" w:cs="Times New Roman"/>
          <w:iCs/>
          <w:szCs w:val="20"/>
        </w:rPr>
        <w:fldChar w:fldCharType="begin"/>
      </w:r>
      <w:r w:rsidR="006160DA">
        <w:rPr>
          <w:rFonts w:ascii="Times New Roman" w:eastAsia="TimesNewRoman" w:hAnsi="Times New Roman" w:cs="Times New Roman"/>
          <w:iCs/>
          <w:szCs w:val="20"/>
        </w:rPr>
        <w:instrText xml:space="preserve"> ADDIN EN.CITE &lt;EndNote&gt;&lt;Cite&gt;&lt;Author&gt;El Edelbi&lt;/Author&gt;&lt;Year&gt;2012&lt;/Year&gt;&lt;RecNum&gt;25&lt;/RecNum&gt;&lt;DisplayText&gt;(El Edelbi et al., 2012)&lt;/DisplayText&gt;&lt;record&gt;&lt;rec-number&gt;25&lt;/rec-number&gt;&lt;foreign-keys&gt;&lt;key app="EN" db-id="0depra9pfpafdvefwtnp902bww09a2p9prvv" timestamp="1684904595"&gt;25&lt;/key&gt;&lt;/foreign-keys&gt;&lt;ref-type name="Journal Article"&gt;17&lt;/ref-type&gt;&lt;contributors&gt;&lt;authors&gt;&lt;author&gt;El Edelbi, Ranaa&lt;/author&gt;&lt;author&gt;Lindemalm, Synnöve&lt;/author&gt;&lt;author&gt;Eksborg, Staffan&lt;/author&gt;&lt;/authors&gt;&lt;/contributors&gt;&lt;titles&gt;&lt;title&gt;Estimation of body surface area in various childhood ages–validation of the Mosteller formula&lt;/title&gt;&lt;secondary-title&gt;Acta Paediatr.&lt;/secondary-title&gt;&lt;/titles&gt;&lt;periodical&gt;&lt;full-title&gt;Acta Paediatr.&lt;/full-title&gt;&lt;/periodical&gt;&lt;pages&gt;540-544&lt;/pages&gt;&lt;volume&gt;101&lt;/volume&gt;&lt;number&gt;5&lt;/number&gt;&lt;dates&gt;&lt;year&gt;2012&lt;/year&gt;&lt;/dates&gt;&lt;isbn&gt;0803-5253&lt;/isbn&gt;&lt;urls&gt;&lt;/urls&gt;&lt;electronic-resource-num&gt;https://doi.org/10.1111/j.1651-2227.2011.02580.x&lt;/electronic-resource-num&gt;&lt;/record&gt;&lt;/Cite&gt;&lt;/EndNote&gt;</w:instrText>
      </w:r>
      <w:r w:rsidR="00650FB8" w:rsidRPr="006160DA">
        <w:rPr>
          <w:rFonts w:ascii="Times New Roman" w:eastAsia="TimesNewRoman" w:hAnsi="Times New Roman" w:cs="Times New Roman"/>
          <w:iCs/>
          <w:szCs w:val="20"/>
        </w:rPr>
        <w:fldChar w:fldCharType="separate"/>
      </w:r>
      <w:r w:rsidR="006160DA">
        <w:rPr>
          <w:rFonts w:ascii="Times New Roman" w:eastAsia="TimesNewRoman" w:hAnsi="Times New Roman" w:cs="Times New Roman"/>
          <w:iCs/>
          <w:noProof/>
          <w:szCs w:val="20"/>
        </w:rPr>
        <w:t>(El Edelbi et al., 2012)</w:t>
      </w:r>
      <w:r w:rsidR="00650FB8" w:rsidRPr="006160DA">
        <w:rPr>
          <w:rFonts w:ascii="Times New Roman" w:eastAsia="TimesNewRoman" w:hAnsi="Times New Roman" w:cs="Times New Roman"/>
          <w:iCs/>
          <w:szCs w:val="20"/>
        </w:rPr>
        <w:fldChar w:fldCharType="end"/>
      </w:r>
      <w:r w:rsidRPr="006160DA">
        <w:rPr>
          <w:rFonts w:ascii="Times New Roman" w:eastAsia="TimesNewRoman" w:hAnsi="Times New Roman" w:cs="Times New Roman"/>
          <w:szCs w:val="20"/>
        </w:rPr>
        <w:t>.</w:t>
      </w:r>
    </w:p>
    <w:p w14:paraId="4E8FB6D3" w14:textId="77777777" w:rsidR="004E14CE" w:rsidRPr="006160DA" w:rsidRDefault="004E14CE" w:rsidP="006160DA">
      <w:pPr>
        <w:spacing w:line="480" w:lineRule="auto"/>
        <w:rPr>
          <w:rFonts w:ascii="Times New Roman" w:eastAsia="TimesNewRoman" w:hAnsi="Times New Roman" w:cs="Times New Roman"/>
          <w:b/>
          <w:bCs/>
          <w:szCs w:val="20"/>
        </w:rPr>
        <w:sectPr w:rsidR="004E14CE" w:rsidRPr="006160DA" w:rsidSect="00523263">
          <w:pgSz w:w="11906" w:h="16838"/>
          <w:pgMar w:top="1701" w:right="1440" w:bottom="1440" w:left="1440" w:header="851" w:footer="992" w:gutter="0"/>
          <w:lnNumType w:countBy="1" w:restart="continuous"/>
          <w:cols w:space="425"/>
          <w:docGrid w:linePitch="360"/>
        </w:sectPr>
      </w:pPr>
    </w:p>
    <w:p w14:paraId="350840EB" w14:textId="1084B771" w:rsidR="004E14CE" w:rsidRPr="006160DA" w:rsidRDefault="004E14CE" w:rsidP="006160DA">
      <w:pPr>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lastRenderedPageBreak/>
        <w:t>Supplementary Information 3</w:t>
      </w:r>
    </w:p>
    <w:p w14:paraId="18AF4F7D" w14:textId="77777777" w:rsidR="004E14CE" w:rsidRPr="006160DA" w:rsidRDefault="004E14CE" w:rsidP="006160DA">
      <w:pPr>
        <w:spacing w:line="480" w:lineRule="auto"/>
        <w:rPr>
          <w:rFonts w:ascii="Times New Roman" w:eastAsia="TimesNewRoman" w:hAnsi="Times New Roman" w:cs="Times New Roman"/>
          <w:b/>
          <w:bCs/>
          <w:szCs w:val="20"/>
        </w:rPr>
      </w:pPr>
    </w:p>
    <w:p w14:paraId="39B9A3F9" w14:textId="77777777" w:rsidR="004E14CE" w:rsidRPr="006160DA" w:rsidRDefault="004E14CE" w:rsidP="006160DA">
      <w:pPr>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t>Model qualification tools</w:t>
      </w:r>
    </w:p>
    <w:p w14:paraId="76E167C5" w14:textId="5BE5647A" w:rsidR="00AE60A4" w:rsidRPr="006160DA" w:rsidRDefault="004E14CE" w:rsidP="006160DA">
      <w:pPr>
        <w:spacing w:line="480" w:lineRule="auto"/>
        <w:ind w:firstLineChars="50" w:firstLine="100"/>
        <w:rPr>
          <w:rFonts w:ascii="Times New Roman" w:eastAsia="TimesNewRoman" w:hAnsi="Times New Roman" w:cs="Times New Roman"/>
          <w:szCs w:val="20"/>
        </w:rPr>
        <w:sectPr w:rsidR="00AE60A4" w:rsidRPr="006160DA" w:rsidSect="00523263">
          <w:pgSz w:w="11906" w:h="16838"/>
          <w:pgMar w:top="1701" w:right="1440" w:bottom="1440" w:left="1440" w:header="851" w:footer="992" w:gutter="0"/>
          <w:lnNumType w:countBy="1" w:restart="continuous"/>
          <w:cols w:space="425"/>
          <w:docGrid w:linePitch="360"/>
        </w:sectPr>
      </w:pPr>
      <w:r w:rsidRPr="006160DA">
        <w:rPr>
          <w:rFonts w:ascii="Times New Roman" w:eastAsia="TimesNewRoman" w:hAnsi="Times New Roman" w:cs="Times New Roman"/>
          <w:szCs w:val="20"/>
        </w:rPr>
        <w:t xml:space="preserve">The </w:t>
      </w:r>
      <w:r w:rsidR="008D2AAF" w:rsidRPr="006160DA">
        <w:rPr>
          <w:rFonts w:ascii="Times New Roman" w:eastAsia="TimesNewRoman" w:hAnsi="Times New Roman" w:cs="Times New Roman"/>
          <w:szCs w:val="20"/>
        </w:rPr>
        <w:t>g</w:t>
      </w:r>
      <w:r w:rsidRPr="006160DA">
        <w:rPr>
          <w:rFonts w:ascii="Times New Roman" w:eastAsia="TimesNewRoman" w:hAnsi="Times New Roman" w:cs="Times New Roman"/>
          <w:szCs w:val="20"/>
        </w:rPr>
        <w:t>oodness</w:t>
      </w:r>
      <w:r w:rsidR="008D2AAF"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of</w:t>
      </w:r>
      <w:r w:rsidR="008D2AAF"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fit (GOF) was confirmed using diagnostic scatter plots as follows: (A) Population-predicted concentrations (PRED) versus observed concentrations (DV</w:t>
      </w:r>
      <w:r w:rsidR="009E43CA"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(B) Individual-predicted concentrations (IPRED) versus DV</w:t>
      </w:r>
      <w:r w:rsidR="009E43CA"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(C) PRED versus conditional weighted residuals (CWRES</w:t>
      </w:r>
      <w:r w:rsidR="009E43CA"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(D) Time after dose (IVAR) versus CWRES</w:t>
      </w:r>
      <w:r w:rsidR="009E43CA"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(E) Quantile–quantile (QQ) plot of the components of CWRES</w:t>
      </w:r>
      <w:r w:rsidR="009E43CA"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 xml:space="preserve">and (F) QQ plot of the components of weighted residuals (WRES). </w:t>
      </w:r>
      <w:r w:rsidR="009E43CA" w:rsidRPr="006160DA">
        <w:rPr>
          <w:rFonts w:ascii="Times New Roman" w:eastAsia="TimesNewRoman" w:hAnsi="Times New Roman" w:cs="Times New Roman"/>
          <w:szCs w:val="20"/>
        </w:rPr>
        <w:t>A visual</w:t>
      </w:r>
      <w:r w:rsidRPr="006160DA">
        <w:rPr>
          <w:rFonts w:ascii="Times New Roman" w:eastAsia="TimesNewRoman" w:hAnsi="Times New Roman" w:cs="Times New Roman"/>
          <w:szCs w:val="20"/>
        </w:rPr>
        <w:t xml:space="preserve"> predictive check (VPC) of the final established model was performed using the VPC option of Phoenix NLME (version 8.3). The number of simulations for the VPC was 1000. The IVAR</w:t>
      </w:r>
      <w:r w:rsidR="00470464"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DV concentration data were graphically superimposed on the median values and the 5</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xml:space="preserve"> and 95</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xml:space="preserve"> percentiles of the IVAR-simulated concentration profiles. If the DV concentration data were approximately distributed within the 95</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xml:space="preserve"> and 5</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xml:space="preserve"> prediction interval, the model was expected to be precise. By using non-parametric bootstrap analysis, the stability of the final model was confirmed. </w:t>
      </w:r>
      <w:r w:rsidR="009E43CA" w:rsidRPr="006160DA">
        <w:rPr>
          <w:rFonts w:ascii="Times New Roman" w:eastAsia="TimesNewRoman" w:hAnsi="Times New Roman" w:cs="Times New Roman"/>
          <w:szCs w:val="20"/>
        </w:rPr>
        <w:t>F</w:t>
      </w:r>
      <w:r w:rsidRPr="006160DA">
        <w:rPr>
          <w:rFonts w:ascii="Times New Roman" w:eastAsia="TimesNewRoman" w:hAnsi="Times New Roman" w:cs="Times New Roman"/>
          <w:szCs w:val="20"/>
        </w:rPr>
        <w:t xml:space="preserve">or this, the bootstrap option of Phoenix NLME was used. A total of 1000 replicates were generated </w:t>
      </w:r>
      <w:r w:rsidR="009E43CA" w:rsidRPr="006160DA">
        <w:rPr>
          <w:rFonts w:ascii="Times New Roman" w:eastAsia="TimesNewRoman" w:hAnsi="Times New Roman" w:cs="Times New Roman"/>
          <w:szCs w:val="20"/>
        </w:rPr>
        <w:t>via</w:t>
      </w:r>
      <w:r w:rsidRPr="006160DA">
        <w:rPr>
          <w:rFonts w:ascii="Times New Roman" w:eastAsia="TimesNewRoman" w:hAnsi="Times New Roman" w:cs="Times New Roman"/>
          <w:szCs w:val="20"/>
        </w:rPr>
        <w:t xml:space="preserve"> repeated random sampling with replacement from the original dataset. The estimated parameter values</w:t>
      </w:r>
      <w:r w:rsidR="009E43CA" w:rsidRPr="006160DA">
        <w:rPr>
          <w:rFonts w:ascii="Times New Roman" w:eastAsia="TimesNewRoman" w:hAnsi="Times New Roman" w:cs="Times New Roman"/>
          <w:szCs w:val="20"/>
        </w:rPr>
        <w:t xml:space="preserve"> including</w:t>
      </w:r>
      <w:r w:rsidRPr="006160DA">
        <w:rPr>
          <w:rFonts w:ascii="Times New Roman" w:eastAsia="TimesNewRoman" w:hAnsi="Times New Roman" w:cs="Times New Roman"/>
          <w:szCs w:val="20"/>
        </w:rPr>
        <w:t xml:space="preserve"> the standard errors (including confidence interval) and medians from the bootstrap procedure were compared with those estimated from the original dataset. </w:t>
      </w:r>
      <w:r w:rsidR="009E43CA" w:rsidRPr="006160DA">
        <w:rPr>
          <w:rFonts w:ascii="Times New Roman" w:eastAsia="TimesNewRoman" w:hAnsi="Times New Roman" w:cs="Times New Roman"/>
          <w:szCs w:val="20"/>
        </w:rPr>
        <w:t xml:space="preserve">The normalized </w:t>
      </w:r>
      <w:r w:rsidRPr="006160DA">
        <w:rPr>
          <w:rFonts w:ascii="Times New Roman" w:eastAsia="TimesNewRoman" w:hAnsi="Times New Roman" w:cs="Times New Roman"/>
          <w:szCs w:val="20"/>
        </w:rPr>
        <w:t xml:space="preserve">prediction distribution error (NPDE) was used to evaluate the predictive performance of the model </w:t>
      </w:r>
      <w:r w:rsidR="009E43CA" w:rsidRPr="006160DA">
        <w:rPr>
          <w:rFonts w:ascii="Times New Roman" w:eastAsia="TimesNewRoman" w:hAnsi="Times New Roman" w:cs="Times New Roman"/>
          <w:szCs w:val="20"/>
        </w:rPr>
        <w:t>via Monte Carlo</w:t>
      </w:r>
      <w:r w:rsidRPr="006160DA">
        <w:rPr>
          <w:rFonts w:ascii="Times New Roman" w:eastAsia="TimesNewRoman" w:hAnsi="Times New Roman" w:cs="Times New Roman"/>
          <w:szCs w:val="20"/>
        </w:rPr>
        <w:t xml:space="preserve"> simulation </w:t>
      </w:r>
      <w:r w:rsidR="009E43CA" w:rsidRPr="006160DA">
        <w:rPr>
          <w:rFonts w:ascii="Times New Roman" w:eastAsia="TimesNewRoman" w:hAnsi="Times New Roman" w:cs="Times New Roman"/>
          <w:szCs w:val="20"/>
        </w:rPr>
        <w:t>using</w:t>
      </w:r>
      <w:r w:rsidRPr="006160DA">
        <w:rPr>
          <w:rFonts w:ascii="Times New Roman" w:eastAsia="TimesNewRoman" w:hAnsi="Times New Roman" w:cs="Times New Roman"/>
          <w:szCs w:val="20"/>
        </w:rPr>
        <w:t xml:space="preserve"> R. </w:t>
      </w:r>
      <w:r w:rsidR="009E43CA" w:rsidRPr="006160DA">
        <w:rPr>
          <w:rFonts w:ascii="Times New Roman" w:eastAsia="TimesNewRoman" w:hAnsi="Times New Roman" w:cs="Times New Roman"/>
          <w:szCs w:val="20"/>
        </w:rPr>
        <w:t xml:space="preserve">The </w:t>
      </w:r>
      <w:r w:rsidRPr="006160DA">
        <w:rPr>
          <w:rFonts w:ascii="Times New Roman" w:eastAsia="TimesNewRoman" w:hAnsi="Times New Roman" w:cs="Times New Roman"/>
          <w:szCs w:val="20"/>
        </w:rPr>
        <w:t xml:space="preserve">NPDE results were graphically </w:t>
      </w:r>
      <w:r w:rsidR="009E43CA" w:rsidRPr="006160DA">
        <w:rPr>
          <w:rFonts w:ascii="Times New Roman" w:eastAsia="TimesNewRoman" w:hAnsi="Times New Roman" w:cs="Times New Roman"/>
          <w:szCs w:val="20"/>
        </w:rPr>
        <w:t xml:space="preserve">summarized </w:t>
      </w:r>
      <w:r w:rsidRPr="006160DA">
        <w:rPr>
          <w:rFonts w:ascii="Times New Roman" w:eastAsia="TimesNewRoman" w:hAnsi="Times New Roman" w:cs="Times New Roman"/>
          <w:szCs w:val="20"/>
        </w:rPr>
        <w:t xml:space="preserve">using (A) </w:t>
      </w:r>
      <w:r w:rsidR="009E43CA" w:rsidRPr="006160DA">
        <w:rPr>
          <w:rFonts w:ascii="Times New Roman" w:eastAsia="TimesNewRoman" w:hAnsi="Times New Roman" w:cs="Times New Roman"/>
          <w:szCs w:val="20"/>
        </w:rPr>
        <w:t>a quantile</w:t>
      </w:r>
      <w:r w:rsidR="00470464"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 xml:space="preserve">quantile plot of the NPDE, (B) </w:t>
      </w:r>
      <w:r w:rsidR="009E43CA" w:rsidRPr="006160DA">
        <w:rPr>
          <w:rFonts w:ascii="Times New Roman" w:eastAsia="TimesNewRoman" w:hAnsi="Times New Roman" w:cs="Times New Roman"/>
          <w:szCs w:val="20"/>
        </w:rPr>
        <w:t xml:space="preserve">a </w:t>
      </w:r>
      <w:r w:rsidRPr="006160DA">
        <w:rPr>
          <w:rFonts w:ascii="Times New Roman" w:eastAsia="TimesNewRoman" w:hAnsi="Times New Roman" w:cs="Times New Roman"/>
          <w:szCs w:val="20"/>
        </w:rPr>
        <w:t xml:space="preserve">histogram of the NPDE, (C) </w:t>
      </w:r>
      <w:r w:rsidR="009E43CA" w:rsidRPr="006160DA">
        <w:rPr>
          <w:rFonts w:ascii="Times New Roman" w:eastAsia="TimesNewRoman" w:hAnsi="Times New Roman" w:cs="Times New Roman"/>
          <w:szCs w:val="20"/>
        </w:rPr>
        <w:t xml:space="preserve">a scatterplot </w:t>
      </w:r>
      <w:r w:rsidRPr="006160DA">
        <w:rPr>
          <w:rFonts w:ascii="Times New Roman" w:eastAsia="TimesNewRoman" w:hAnsi="Times New Roman" w:cs="Times New Roman"/>
          <w:szCs w:val="20"/>
        </w:rPr>
        <w:t xml:space="preserve">of NPDE versus IVAR, and (D) </w:t>
      </w:r>
      <w:r w:rsidR="009E43CA" w:rsidRPr="006160DA">
        <w:rPr>
          <w:rFonts w:ascii="Times New Roman" w:eastAsia="TimesNewRoman" w:hAnsi="Times New Roman" w:cs="Times New Roman"/>
          <w:szCs w:val="20"/>
        </w:rPr>
        <w:t xml:space="preserve">a scatterplot </w:t>
      </w:r>
      <w:r w:rsidRPr="006160DA">
        <w:rPr>
          <w:rFonts w:ascii="Times New Roman" w:eastAsia="TimesNewRoman" w:hAnsi="Times New Roman" w:cs="Times New Roman"/>
          <w:szCs w:val="20"/>
        </w:rPr>
        <w:t>of NPDE versus PRED. If the</w:t>
      </w:r>
      <w:r w:rsidR="009E43CA" w:rsidRPr="006160DA">
        <w:rPr>
          <w:rFonts w:ascii="Times New Roman" w:eastAsia="TimesNewRoman" w:hAnsi="Times New Roman" w:cs="Times New Roman"/>
          <w:szCs w:val="20"/>
        </w:rPr>
        <w:t xml:space="preserve"> desired</w:t>
      </w:r>
      <w:r w:rsidRPr="006160DA">
        <w:rPr>
          <w:rFonts w:ascii="Times New Roman" w:eastAsia="TimesNewRoman" w:hAnsi="Times New Roman" w:cs="Times New Roman"/>
          <w:szCs w:val="20"/>
        </w:rPr>
        <w:t xml:space="preserve"> predictive performance </w:t>
      </w:r>
      <w:r w:rsidR="009E43CA" w:rsidRPr="006160DA">
        <w:rPr>
          <w:rFonts w:ascii="Times New Roman" w:eastAsia="TimesNewRoman" w:hAnsi="Times New Roman" w:cs="Times New Roman"/>
          <w:szCs w:val="20"/>
        </w:rPr>
        <w:t>is achieved</w:t>
      </w:r>
      <w:r w:rsidRPr="006160DA">
        <w:rPr>
          <w:rFonts w:ascii="Times New Roman" w:eastAsia="TimesNewRoman" w:hAnsi="Times New Roman" w:cs="Times New Roman"/>
          <w:szCs w:val="20"/>
        </w:rPr>
        <w:t>, the NPDE will follow a normal distribution (Shapiro</w:t>
      </w:r>
      <w:r w:rsidR="008D2AAF"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Wilk test) with a mean value of zero (</w:t>
      </w:r>
      <w:r w:rsidR="009E43CA" w:rsidRPr="006160DA">
        <w:rPr>
          <w:rFonts w:ascii="Times New Roman" w:eastAsia="TimesNewRoman" w:hAnsi="Times New Roman" w:cs="Times New Roman"/>
          <w:i/>
          <w:iCs/>
          <w:szCs w:val="20"/>
        </w:rPr>
        <w:t>t-test</w:t>
      </w:r>
      <w:r w:rsidRPr="006160DA">
        <w:rPr>
          <w:rFonts w:ascii="Times New Roman" w:eastAsia="TimesNewRoman" w:hAnsi="Times New Roman" w:cs="Times New Roman"/>
          <w:szCs w:val="20"/>
        </w:rPr>
        <w:t>) and a variance of one (Fisher’s test).</w:t>
      </w:r>
    </w:p>
    <w:p w14:paraId="2400A579" w14:textId="28C5030C" w:rsidR="00AE60A4" w:rsidRPr="006160DA" w:rsidRDefault="00AE60A4"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lastRenderedPageBreak/>
        <w:t>Table S1</w:t>
      </w:r>
      <w:r w:rsidRPr="006160DA">
        <w:rPr>
          <w:rFonts w:ascii="Times New Roman" w:eastAsia="TimesNewRoman" w:hAnsi="Times New Roman" w:cs="Times New Roman"/>
          <w:szCs w:val="20"/>
        </w:rPr>
        <w:t xml:space="preserve">. </w:t>
      </w:r>
      <w:r w:rsidR="004E14CE" w:rsidRPr="006160DA">
        <w:rPr>
          <w:rFonts w:ascii="Times New Roman" w:eastAsia="TimesNewRoman" w:hAnsi="Times New Roman" w:cs="Times New Roman"/>
          <w:szCs w:val="20"/>
        </w:rPr>
        <w:t xml:space="preserve">Demographic information of </w:t>
      </w:r>
      <w:r w:rsidR="009E43CA" w:rsidRPr="006160DA">
        <w:rPr>
          <w:rFonts w:ascii="Times New Roman" w:eastAsia="TimesNewRoman" w:hAnsi="Times New Roman" w:cs="Times New Roman"/>
          <w:szCs w:val="20"/>
        </w:rPr>
        <w:t>healthy Korean males (</w:t>
      </w:r>
      <w:r w:rsidR="009E43CA" w:rsidRPr="006160DA">
        <w:rPr>
          <w:rFonts w:ascii="Times New Roman" w:eastAsia="TimesNewRoman" w:hAnsi="Times New Roman" w:cs="Times New Roman"/>
          <w:i/>
          <w:iCs/>
          <w:szCs w:val="20"/>
        </w:rPr>
        <w:t>n</w:t>
      </w:r>
      <w:r w:rsidR="009E43CA" w:rsidRPr="006160DA">
        <w:rPr>
          <w:rFonts w:ascii="Times New Roman" w:eastAsia="TimesNewRoman" w:hAnsi="Times New Roman" w:cs="Times New Roman"/>
          <w:szCs w:val="20"/>
        </w:rPr>
        <w:t xml:space="preserve"> = 36) up</w:t>
      </w:r>
      <w:r w:rsidR="004E14CE" w:rsidRPr="006160DA">
        <w:rPr>
          <w:rFonts w:ascii="Times New Roman" w:eastAsia="TimesNewRoman" w:hAnsi="Times New Roman" w:cs="Times New Roman"/>
          <w:szCs w:val="20"/>
        </w:rPr>
        <w:t xml:space="preserve">on single oral administration of morniflumate </w:t>
      </w:r>
      <w:r w:rsidR="009E43CA" w:rsidRPr="006160DA">
        <w:rPr>
          <w:rFonts w:ascii="Times New Roman" w:eastAsia="TimesNewRoman" w:hAnsi="Times New Roman" w:cs="Times New Roman"/>
          <w:szCs w:val="20"/>
        </w:rPr>
        <w:t>(</w:t>
      </w:r>
      <w:r w:rsidR="004E14CE" w:rsidRPr="006160DA">
        <w:rPr>
          <w:rFonts w:ascii="Times New Roman" w:eastAsia="TimesNewRoman" w:hAnsi="Times New Roman" w:cs="Times New Roman"/>
          <w:szCs w:val="20"/>
        </w:rPr>
        <w:t>700 mg</w:t>
      </w:r>
      <w:r w:rsidR="009E43CA" w:rsidRPr="006160DA">
        <w:rPr>
          <w:rFonts w:ascii="Times New Roman" w:eastAsia="TimesNewRoman" w:hAnsi="Times New Roman" w:cs="Times New Roman"/>
          <w:szCs w:val="20"/>
        </w:rPr>
        <w:t>)</w:t>
      </w:r>
      <w:r w:rsidR="004E14CE" w:rsidRPr="006160DA">
        <w:rPr>
          <w:rFonts w:ascii="Times New Roman" w:eastAsia="TimesNewRoman" w:hAnsi="Times New Roman" w:cs="Times New Roman"/>
          <w:szCs w:val="20"/>
        </w:rPr>
        <w:t>.</w:t>
      </w:r>
    </w:p>
    <w:tbl>
      <w:tblPr>
        <w:tblW w:w="5000" w:type="pct"/>
        <w:tblCellMar>
          <w:left w:w="0" w:type="dxa"/>
          <w:right w:w="0" w:type="dxa"/>
        </w:tblCellMar>
        <w:tblLook w:val="0420" w:firstRow="1" w:lastRow="0" w:firstColumn="0" w:lastColumn="0" w:noHBand="0" w:noVBand="1"/>
      </w:tblPr>
      <w:tblGrid>
        <w:gridCol w:w="2607"/>
        <w:gridCol w:w="1381"/>
        <w:gridCol w:w="9689"/>
      </w:tblGrid>
      <w:tr w:rsidR="00BA3755" w:rsidRPr="006160DA" w14:paraId="6914626E" w14:textId="77777777" w:rsidTr="004E14CE">
        <w:trPr>
          <w:trHeight w:val="584"/>
        </w:trPr>
        <w:tc>
          <w:tcPr>
            <w:tcW w:w="953" w:type="pc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hideMark/>
          </w:tcPr>
          <w:p w14:paraId="4A4DB2FE"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Demographic</w:t>
            </w:r>
          </w:p>
        </w:tc>
        <w:tc>
          <w:tcPr>
            <w:tcW w:w="505" w:type="pc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hideMark/>
          </w:tcPr>
          <w:p w14:paraId="21D8868D"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Unit</w:t>
            </w:r>
          </w:p>
        </w:tc>
        <w:tc>
          <w:tcPr>
            <w:tcW w:w="3542" w:type="pc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hideMark/>
          </w:tcPr>
          <w:p w14:paraId="0AAEA59E"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Value (mean ± standard deviation)</w:t>
            </w:r>
          </w:p>
        </w:tc>
      </w:tr>
      <w:tr w:rsidR="00BA3755" w:rsidRPr="006160DA" w14:paraId="7BB6331E" w14:textId="77777777" w:rsidTr="004E14CE">
        <w:trPr>
          <w:trHeight w:val="584"/>
        </w:trPr>
        <w:tc>
          <w:tcPr>
            <w:tcW w:w="953" w:type="pct"/>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4E111377"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Age</w:t>
            </w:r>
          </w:p>
        </w:tc>
        <w:tc>
          <w:tcPr>
            <w:tcW w:w="505" w:type="pct"/>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00249F97"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Year</w:t>
            </w:r>
          </w:p>
        </w:tc>
        <w:tc>
          <w:tcPr>
            <w:tcW w:w="3542" w:type="pct"/>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180B11CA"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23.50 ± 3.38</w:t>
            </w:r>
          </w:p>
        </w:tc>
      </w:tr>
      <w:tr w:rsidR="00BA3755" w:rsidRPr="006160DA" w14:paraId="3BF450F9"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17D41213"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Weight</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DC6187A"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kg</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73A5D549"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67.92 ± 8.76</w:t>
            </w:r>
          </w:p>
        </w:tc>
      </w:tr>
      <w:tr w:rsidR="00BA3755" w:rsidRPr="006160DA" w14:paraId="0C505C40"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26D33940"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Height</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10480918"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cm</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691A414"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174.47 ± 5.94</w:t>
            </w:r>
          </w:p>
        </w:tc>
      </w:tr>
      <w:tr w:rsidR="00BA3755" w:rsidRPr="006160DA" w14:paraId="6F660BB8"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01EFB395"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Total proteins</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63C914AC"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g/dL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42AF782"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7.83 ± 0.35</w:t>
            </w:r>
          </w:p>
        </w:tc>
      </w:tr>
      <w:tr w:rsidR="00BA3755" w:rsidRPr="006160DA" w14:paraId="454D7853"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8DC7559"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Albumin</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7C8EB98F"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g/dL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0A71A82D"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5.07 ± 0.20</w:t>
            </w:r>
          </w:p>
        </w:tc>
      </w:tr>
      <w:tr w:rsidR="00BA3755" w:rsidRPr="006160DA" w14:paraId="47E7D594"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480DE7E9"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Globulin</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5886B4BA"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g/dL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42D030AB"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2.76 ± 0.30</w:t>
            </w:r>
          </w:p>
        </w:tc>
      </w:tr>
      <w:tr w:rsidR="00BA3755" w:rsidRPr="006160DA" w14:paraId="62A7762A"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23F97738"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ALP</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45F5AC3"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IU/L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4929C641"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211.83 ± 44.37</w:t>
            </w:r>
          </w:p>
        </w:tc>
      </w:tr>
      <w:tr w:rsidR="00BA3755" w:rsidRPr="006160DA" w14:paraId="121E4F21"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4D6D1F32"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AST </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6E529741"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IU/L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71818D80"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20.72 ± 3.72</w:t>
            </w:r>
          </w:p>
        </w:tc>
      </w:tr>
      <w:tr w:rsidR="00BA3755" w:rsidRPr="006160DA" w14:paraId="5C98C3D2"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2FCE608F"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lastRenderedPageBreak/>
              <w:t xml:space="preserve">ALT </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1B5B10F0"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IU/L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0FA58981"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21.53 ± 7.91</w:t>
            </w:r>
          </w:p>
        </w:tc>
      </w:tr>
      <w:tr w:rsidR="00BA3755" w:rsidRPr="006160DA" w14:paraId="684CDB9A"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6B9D44B3"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Cholesterol</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0B617912"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mg/dL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56E6CB3"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178.11 ± 26.90</w:t>
            </w:r>
          </w:p>
        </w:tc>
      </w:tr>
      <w:tr w:rsidR="00BA3755" w:rsidRPr="006160DA" w14:paraId="7E5AD5A0"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67919535"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Total bilirubin</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57161288"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mg/dL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04D1C40D"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0.87 ± 0.34</w:t>
            </w:r>
          </w:p>
        </w:tc>
      </w:tr>
      <w:tr w:rsidR="00BA3755" w:rsidRPr="006160DA" w14:paraId="5820EF96"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7DC25016"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Blood urea nitrogen</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22874AAA"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mg/dL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B481A2C"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13.97 ± 3.51</w:t>
            </w:r>
          </w:p>
        </w:tc>
      </w:tr>
      <w:tr w:rsidR="00BA3755" w:rsidRPr="006160DA" w14:paraId="0B5C5EE4"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02943306"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Creatinine</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0A762561"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mg/dL</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7184B68E"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0.88 ± 0.09</w:t>
            </w:r>
          </w:p>
        </w:tc>
      </w:tr>
      <w:tr w:rsidR="00BA3755" w:rsidRPr="006160DA" w14:paraId="716B9F9C"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71B0F803"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CrCL</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2D278B38"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mL/min</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6114AE32"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125.62 ± 17.01</w:t>
            </w:r>
          </w:p>
        </w:tc>
      </w:tr>
      <w:tr w:rsidR="00BA3755" w:rsidRPr="006160DA" w14:paraId="5BD1C21E"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48D70FA5"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BMI</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7D7FFD09"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kg/m</w:t>
            </w:r>
            <w:r w:rsidRPr="006160DA">
              <w:rPr>
                <w:rFonts w:ascii="Times New Roman" w:eastAsia="TimesNewRoman" w:hAnsi="Times New Roman" w:cs="Times New Roman"/>
                <w:szCs w:val="20"/>
                <w:vertAlign w:val="superscript"/>
              </w:rPr>
              <w:t>2</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21B4924"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22.26 ± 2.23</w:t>
            </w:r>
          </w:p>
        </w:tc>
      </w:tr>
      <w:tr w:rsidR="00BA3755" w:rsidRPr="006160DA" w14:paraId="58349DB2" w14:textId="77777777" w:rsidTr="004E14CE">
        <w:trPr>
          <w:trHeight w:val="584"/>
        </w:trPr>
        <w:tc>
          <w:tcPr>
            <w:tcW w:w="953"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1910E326"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BSA</w:t>
            </w:r>
          </w:p>
        </w:tc>
        <w:tc>
          <w:tcPr>
            <w:tcW w:w="505"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7E6F203"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w:t>
            </w:r>
            <w:r w:rsidRPr="006160DA">
              <w:rPr>
                <w:rFonts w:ascii="Times New Roman" w:eastAsia="TimesNewRoman" w:hAnsi="Times New Roman" w:cs="Times New Roman"/>
                <w:szCs w:val="20"/>
                <w:vertAlign w:val="superscript"/>
              </w:rPr>
              <w:t>2</w:t>
            </w:r>
          </w:p>
        </w:tc>
        <w:tc>
          <w:tcPr>
            <w:tcW w:w="3542" w:type="pct"/>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31DF2253"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1.81 ± 0.14</w:t>
            </w:r>
          </w:p>
        </w:tc>
      </w:tr>
      <w:tr w:rsidR="00BA3755" w:rsidRPr="006160DA" w14:paraId="734597F0" w14:textId="77777777" w:rsidTr="004E14CE">
        <w:trPr>
          <w:trHeight w:val="584"/>
        </w:trPr>
        <w:tc>
          <w:tcPr>
            <w:tcW w:w="953" w:type="pct"/>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hideMark/>
          </w:tcPr>
          <w:p w14:paraId="7592A3CE"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GFR</w:t>
            </w:r>
          </w:p>
        </w:tc>
        <w:tc>
          <w:tcPr>
            <w:tcW w:w="505" w:type="pct"/>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hideMark/>
          </w:tcPr>
          <w:p w14:paraId="15A3167E"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mL/min</w:t>
            </w:r>
          </w:p>
        </w:tc>
        <w:tc>
          <w:tcPr>
            <w:tcW w:w="3542" w:type="pct"/>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hideMark/>
          </w:tcPr>
          <w:p w14:paraId="2CA28E9B"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115.44 ± 13.35</w:t>
            </w:r>
          </w:p>
        </w:tc>
      </w:tr>
    </w:tbl>
    <w:p w14:paraId="237A24B8" w14:textId="6B2370DB" w:rsidR="00C208BB" w:rsidRPr="006160DA" w:rsidRDefault="004E14CE" w:rsidP="006160DA">
      <w:pPr>
        <w:spacing w:line="480" w:lineRule="auto"/>
        <w:rPr>
          <w:rFonts w:ascii="Times New Roman" w:eastAsia="TimesNewRoman" w:hAnsi="Times New Roman" w:cs="Times New Roman"/>
          <w:szCs w:val="20"/>
        </w:rPr>
        <w:sectPr w:rsidR="00C208BB" w:rsidRPr="006160DA" w:rsidSect="00AE60A4">
          <w:pgSz w:w="16838" w:h="11906" w:orient="landscape"/>
          <w:pgMar w:top="1440" w:right="1701" w:bottom="1440" w:left="1440" w:header="851" w:footer="992" w:gutter="0"/>
          <w:lnNumType w:countBy="1" w:restart="continuous"/>
          <w:cols w:space="425"/>
          <w:docGrid w:linePitch="360"/>
        </w:sectPr>
      </w:pPr>
      <w:r w:rsidRPr="006160DA">
        <w:rPr>
          <w:rFonts w:ascii="Times New Roman" w:eastAsia="TimesNewRoman" w:hAnsi="Times New Roman" w:cs="Times New Roman"/>
          <w:szCs w:val="20"/>
        </w:rPr>
        <w:t>ALP, alkaline phosphatase; AST, aspartate transaminase; ALT, alanine transaminase; CrCL, creatinine clearance; BMI, body mass index; BSA, body surface area; GFR, glomerular filtration rate.</w:t>
      </w:r>
      <w:r w:rsidR="009A2E06" w:rsidRPr="006160DA">
        <w:rPr>
          <w:rFonts w:ascii="Times New Roman" w:eastAsia="TimesNewRoman" w:hAnsi="Times New Roman" w:cs="Times New Roman"/>
          <w:szCs w:val="20"/>
        </w:rPr>
        <w:t xml:space="preserve"> </w:t>
      </w:r>
    </w:p>
    <w:p w14:paraId="21A7FF98" w14:textId="4E1988E6" w:rsidR="004E14CE" w:rsidRPr="006160DA" w:rsidRDefault="00C208BB"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lastRenderedPageBreak/>
        <w:t>Table S2</w:t>
      </w:r>
      <w:r w:rsidRPr="006160DA">
        <w:rPr>
          <w:rFonts w:ascii="Times New Roman" w:eastAsia="TimesNewRoman" w:hAnsi="Times New Roman" w:cs="Times New Roman"/>
          <w:szCs w:val="20"/>
        </w:rPr>
        <w:t xml:space="preserve">. </w:t>
      </w:r>
      <w:r w:rsidR="004E14CE" w:rsidRPr="006160DA">
        <w:rPr>
          <w:rFonts w:ascii="Times New Roman" w:eastAsia="TimesNewRoman" w:hAnsi="Times New Roman" w:cs="Times New Roman"/>
          <w:szCs w:val="20"/>
        </w:rPr>
        <w:t>Morniflumate pharmacokinetic (PK) parameter values obtained through non-compartmental analysis of morniflumate PK results in healthy Korean males (</w:t>
      </w:r>
      <w:r w:rsidR="004E14CE" w:rsidRPr="006160DA">
        <w:rPr>
          <w:rFonts w:ascii="Times New Roman" w:eastAsia="TimesNewRoman" w:hAnsi="Times New Roman" w:cs="Times New Roman"/>
          <w:i/>
          <w:iCs/>
          <w:szCs w:val="20"/>
        </w:rPr>
        <w:t>n</w:t>
      </w:r>
      <w:r w:rsidR="004E14CE" w:rsidRPr="006160DA">
        <w:rPr>
          <w:rFonts w:ascii="Times New Roman" w:eastAsia="TimesNewRoman" w:hAnsi="Times New Roman" w:cs="Times New Roman"/>
          <w:szCs w:val="20"/>
        </w:rPr>
        <w:t xml:space="preserve"> = 36) obtained in this bioequivalence study following a single oral administration of 700 mg of morniflumate.</w:t>
      </w:r>
    </w:p>
    <w:tbl>
      <w:tblPr>
        <w:tblW w:w="5000" w:type="pct"/>
        <w:tblCellMar>
          <w:left w:w="0" w:type="dxa"/>
          <w:right w:w="0" w:type="dxa"/>
        </w:tblCellMar>
        <w:tblLook w:val="0420" w:firstRow="1" w:lastRow="0" w:firstColumn="0" w:lastColumn="0" w:noHBand="0" w:noVBand="1"/>
      </w:tblPr>
      <w:tblGrid>
        <w:gridCol w:w="6838"/>
        <w:gridCol w:w="6839"/>
      </w:tblGrid>
      <w:tr w:rsidR="00BA3755" w:rsidRPr="006160DA" w14:paraId="37A5D57E" w14:textId="77777777" w:rsidTr="004E14CE">
        <w:trPr>
          <w:trHeight w:val="584"/>
        </w:trPr>
        <w:tc>
          <w:tcPr>
            <w:tcW w:w="2500" w:type="pct"/>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hideMark/>
          </w:tcPr>
          <w:p w14:paraId="45053D50"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Parameters</w:t>
            </w:r>
          </w:p>
        </w:tc>
        <w:tc>
          <w:tcPr>
            <w:tcW w:w="2500" w:type="pct"/>
            <w:tcBorders>
              <w:top w:val="single" w:sz="8" w:space="0" w:color="000000"/>
              <w:left w:val="single" w:sz="8" w:space="0" w:color="FFFFFF"/>
              <w:bottom w:val="single" w:sz="8" w:space="0" w:color="000000"/>
              <w:right w:val="single" w:sz="8" w:space="0" w:color="FFFFFF"/>
            </w:tcBorders>
            <w:shd w:val="clear" w:color="auto" w:fill="auto"/>
            <w:tcMar>
              <w:top w:w="12" w:type="dxa"/>
              <w:left w:w="12" w:type="dxa"/>
              <w:bottom w:w="0" w:type="dxa"/>
              <w:right w:w="12" w:type="dxa"/>
            </w:tcMar>
            <w:hideMark/>
          </w:tcPr>
          <w:p w14:paraId="750E10C2"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Values (mean ± standard deviation)</w:t>
            </w:r>
          </w:p>
        </w:tc>
      </w:tr>
      <w:tr w:rsidR="00BA3755" w:rsidRPr="006160DA" w14:paraId="2CBBDF5B" w14:textId="77777777" w:rsidTr="004E14CE">
        <w:trPr>
          <w:trHeight w:val="584"/>
        </w:trPr>
        <w:tc>
          <w:tcPr>
            <w:tcW w:w="2500" w:type="pct"/>
            <w:tcBorders>
              <w:top w:val="single" w:sz="8" w:space="0" w:color="000000"/>
              <w:left w:val="single" w:sz="8" w:space="0" w:color="FFFFFF"/>
              <w:bottom w:val="nil"/>
              <w:right w:val="single" w:sz="8" w:space="0" w:color="FFFFFF"/>
            </w:tcBorders>
            <w:shd w:val="clear" w:color="auto" w:fill="auto"/>
            <w:tcMar>
              <w:top w:w="72" w:type="dxa"/>
              <w:left w:w="144" w:type="dxa"/>
              <w:bottom w:w="72" w:type="dxa"/>
              <w:right w:w="144" w:type="dxa"/>
            </w:tcMar>
            <w:hideMark/>
          </w:tcPr>
          <w:p w14:paraId="6FFC15B7"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w:t>
            </w:r>
            <w:r w:rsidRPr="006160DA">
              <w:rPr>
                <w:rFonts w:ascii="Times New Roman" w:eastAsia="TimesNewRoman" w:hAnsi="Times New Roman" w:cs="Times New Roman"/>
                <w:szCs w:val="20"/>
                <w:vertAlign w:val="subscript"/>
              </w:rPr>
              <w:t>1/2</w:t>
            </w:r>
            <w:r w:rsidRPr="006160DA">
              <w:rPr>
                <w:rFonts w:ascii="Times New Roman" w:eastAsia="TimesNewRoman" w:hAnsi="Times New Roman" w:cs="Times New Roman"/>
                <w:szCs w:val="20"/>
              </w:rPr>
              <w:t xml:space="preserve"> (h)</w:t>
            </w:r>
          </w:p>
        </w:tc>
        <w:tc>
          <w:tcPr>
            <w:tcW w:w="2500" w:type="pct"/>
            <w:tcBorders>
              <w:top w:val="single" w:sz="8" w:space="0" w:color="000000"/>
              <w:left w:val="single" w:sz="8" w:space="0" w:color="FFFFFF"/>
              <w:bottom w:val="nil"/>
              <w:right w:val="single" w:sz="8" w:space="0" w:color="FFFFFF"/>
            </w:tcBorders>
            <w:shd w:val="clear" w:color="auto" w:fill="auto"/>
            <w:tcMar>
              <w:top w:w="12" w:type="dxa"/>
              <w:left w:w="12" w:type="dxa"/>
              <w:bottom w:w="0" w:type="dxa"/>
              <w:right w:w="12" w:type="dxa"/>
            </w:tcMar>
            <w:hideMark/>
          </w:tcPr>
          <w:p w14:paraId="34DA109B"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4.04 ± 2.44</w:t>
            </w:r>
          </w:p>
        </w:tc>
      </w:tr>
      <w:tr w:rsidR="00BA3755" w:rsidRPr="006160DA" w14:paraId="0054535F" w14:textId="77777777" w:rsidTr="004E14CE">
        <w:trPr>
          <w:trHeight w:val="584"/>
        </w:trPr>
        <w:tc>
          <w:tcPr>
            <w:tcW w:w="2500" w:type="pct"/>
            <w:tcBorders>
              <w:top w:val="nil"/>
              <w:left w:val="single" w:sz="8" w:space="0" w:color="FFFFFF"/>
              <w:bottom w:val="nil"/>
              <w:right w:val="single" w:sz="8" w:space="0" w:color="FFFFFF"/>
            </w:tcBorders>
            <w:shd w:val="clear" w:color="auto" w:fill="auto"/>
            <w:tcMar>
              <w:top w:w="72" w:type="dxa"/>
              <w:left w:w="144" w:type="dxa"/>
              <w:bottom w:w="72" w:type="dxa"/>
              <w:right w:w="144" w:type="dxa"/>
            </w:tcMar>
            <w:hideMark/>
          </w:tcPr>
          <w:p w14:paraId="3E745FC1"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w:t>
            </w:r>
            <w:r w:rsidRPr="006160DA">
              <w:rPr>
                <w:rFonts w:ascii="Times New Roman" w:eastAsia="TimesNewRoman" w:hAnsi="Times New Roman" w:cs="Times New Roman"/>
                <w:szCs w:val="20"/>
                <w:vertAlign w:val="subscript"/>
              </w:rPr>
              <w:t>max</w:t>
            </w:r>
            <w:r w:rsidRPr="006160DA">
              <w:rPr>
                <w:rFonts w:ascii="Times New Roman" w:eastAsia="TimesNewRoman" w:hAnsi="Times New Roman" w:cs="Times New Roman"/>
                <w:szCs w:val="20"/>
              </w:rPr>
              <w:t xml:space="preserve"> (h)</w:t>
            </w:r>
          </w:p>
        </w:tc>
        <w:tc>
          <w:tcPr>
            <w:tcW w:w="2500" w:type="pct"/>
            <w:tcBorders>
              <w:top w:val="nil"/>
              <w:left w:val="single" w:sz="8" w:space="0" w:color="FFFFFF"/>
              <w:bottom w:val="nil"/>
              <w:right w:val="single" w:sz="8" w:space="0" w:color="FFFFFF"/>
            </w:tcBorders>
            <w:shd w:val="clear" w:color="auto" w:fill="auto"/>
            <w:tcMar>
              <w:top w:w="12" w:type="dxa"/>
              <w:left w:w="12" w:type="dxa"/>
              <w:bottom w:w="0" w:type="dxa"/>
              <w:right w:w="12" w:type="dxa"/>
            </w:tcMar>
            <w:hideMark/>
          </w:tcPr>
          <w:p w14:paraId="118A43B6"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1.33 ± 0.62</w:t>
            </w:r>
          </w:p>
        </w:tc>
      </w:tr>
      <w:tr w:rsidR="00BA3755" w:rsidRPr="006160DA" w14:paraId="3E193475" w14:textId="77777777" w:rsidTr="004E14CE">
        <w:trPr>
          <w:trHeight w:val="584"/>
        </w:trPr>
        <w:tc>
          <w:tcPr>
            <w:tcW w:w="2500" w:type="pct"/>
            <w:tcBorders>
              <w:top w:val="nil"/>
              <w:left w:val="single" w:sz="8" w:space="0" w:color="FFFFFF"/>
              <w:bottom w:val="nil"/>
              <w:right w:val="single" w:sz="8" w:space="0" w:color="FFFFFF"/>
            </w:tcBorders>
            <w:shd w:val="clear" w:color="auto" w:fill="auto"/>
            <w:tcMar>
              <w:top w:w="72" w:type="dxa"/>
              <w:left w:w="144" w:type="dxa"/>
              <w:bottom w:w="72" w:type="dxa"/>
              <w:right w:w="144" w:type="dxa"/>
            </w:tcMar>
            <w:hideMark/>
          </w:tcPr>
          <w:p w14:paraId="3E0F041B"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C</w:t>
            </w:r>
            <w:r w:rsidRPr="006160DA">
              <w:rPr>
                <w:rFonts w:ascii="Times New Roman" w:eastAsia="TimesNewRoman" w:hAnsi="Times New Roman" w:cs="Times New Roman"/>
                <w:szCs w:val="20"/>
                <w:vertAlign w:val="subscript"/>
              </w:rPr>
              <w:t>max</w:t>
            </w:r>
            <w:r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lang w:val="el-GR"/>
              </w:rPr>
              <w:t>μ</w:t>
            </w:r>
            <w:r w:rsidRPr="006160DA">
              <w:rPr>
                <w:rFonts w:ascii="Times New Roman" w:eastAsia="TimesNewRoman" w:hAnsi="Times New Roman" w:cs="Times New Roman"/>
                <w:szCs w:val="20"/>
              </w:rPr>
              <w:t>g/mL)</w:t>
            </w:r>
          </w:p>
        </w:tc>
        <w:tc>
          <w:tcPr>
            <w:tcW w:w="2500" w:type="pct"/>
            <w:tcBorders>
              <w:top w:val="nil"/>
              <w:left w:val="single" w:sz="8" w:space="0" w:color="FFFFFF"/>
              <w:bottom w:val="nil"/>
              <w:right w:val="single" w:sz="8" w:space="0" w:color="FFFFFF"/>
            </w:tcBorders>
            <w:shd w:val="clear" w:color="auto" w:fill="auto"/>
            <w:tcMar>
              <w:top w:w="12" w:type="dxa"/>
              <w:left w:w="12" w:type="dxa"/>
              <w:bottom w:w="0" w:type="dxa"/>
              <w:right w:w="12" w:type="dxa"/>
            </w:tcMar>
            <w:hideMark/>
          </w:tcPr>
          <w:p w14:paraId="611D5A2C"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1.07 ± 0.45</w:t>
            </w:r>
          </w:p>
        </w:tc>
      </w:tr>
      <w:tr w:rsidR="00BA3755" w:rsidRPr="006160DA" w14:paraId="77BE53BB" w14:textId="77777777" w:rsidTr="004E14CE">
        <w:trPr>
          <w:trHeight w:val="584"/>
        </w:trPr>
        <w:tc>
          <w:tcPr>
            <w:tcW w:w="2500" w:type="pct"/>
            <w:tcBorders>
              <w:top w:val="nil"/>
              <w:left w:val="single" w:sz="8" w:space="0" w:color="FFFFFF"/>
              <w:bottom w:val="nil"/>
              <w:right w:val="single" w:sz="8" w:space="0" w:color="FFFFFF"/>
            </w:tcBorders>
            <w:shd w:val="clear" w:color="auto" w:fill="auto"/>
            <w:tcMar>
              <w:top w:w="72" w:type="dxa"/>
              <w:left w:w="144" w:type="dxa"/>
              <w:bottom w:w="72" w:type="dxa"/>
              <w:right w:w="144" w:type="dxa"/>
            </w:tcMar>
            <w:hideMark/>
          </w:tcPr>
          <w:p w14:paraId="67FE4A9D"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AUC</w:t>
            </w:r>
            <w:r w:rsidRPr="006160DA">
              <w:rPr>
                <w:rFonts w:ascii="Times New Roman" w:eastAsia="TimesNewRoman" w:hAnsi="Times New Roman" w:cs="Times New Roman"/>
                <w:szCs w:val="20"/>
                <w:vertAlign w:val="subscript"/>
              </w:rPr>
              <w:t>0-t</w:t>
            </w:r>
            <w:r w:rsidRPr="006160DA">
              <w:rPr>
                <w:rFonts w:ascii="Times New Roman" w:eastAsia="TimesNewRoman" w:hAnsi="Times New Roman" w:cs="Times New Roman"/>
                <w:szCs w:val="20"/>
              </w:rPr>
              <w:t xml:space="preserve"> (h·</w:t>
            </w:r>
            <w:r w:rsidRPr="006160DA">
              <w:rPr>
                <w:rFonts w:ascii="Times New Roman" w:eastAsia="TimesNewRoman" w:hAnsi="Times New Roman" w:cs="Times New Roman"/>
                <w:szCs w:val="20"/>
                <w:lang w:val="el-GR"/>
              </w:rPr>
              <w:t>μ</w:t>
            </w:r>
            <w:r w:rsidRPr="006160DA">
              <w:rPr>
                <w:rFonts w:ascii="Times New Roman" w:eastAsia="TimesNewRoman" w:hAnsi="Times New Roman" w:cs="Times New Roman"/>
                <w:szCs w:val="20"/>
              </w:rPr>
              <w:t>g/mL)</w:t>
            </w:r>
          </w:p>
        </w:tc>
        <w:tc>
          <w:tcPr>
            <w:tcW w:w="2500" w:type="pct"/>
            <w:tcBorders>
              <w:top w:val="nil"/>
              <w:left w:val="single" w:sz="8" w:space="0" w:color="FFFFFF"/>
              <w:bottom w:val="nil"/>
              <w:right w:val="single" w:sz="8" w:space="0" w:color="FFFFFF"/>
            </w:tcBorders>
            <w:shd w:val="clear" w:color="auto" w:fill="auto"/>
            <w:tcMar>
              <w:top w:w="12" w:type="dxa"/>
              <w:left w:w="12" w:type="dxa"/>
              <w:bottom w:w="0" w:type="dxa"/>
              <w:right w:w="12" w:type="dxa"/>
            </w:tcMar>
            <w:hideMark/>
          </w:tcPr>
          <w:p w14:paraId="21814845"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2.84 ± 1.34</w:t>
            </w:r>
          </w:p>
        </w:tc>
      </w:tr>
      <w:tr w:rsidR="00BA3755" w:rsidRPr="006160DA" w14:paraId="26037A03" w14:textId="77777777" w:rsidTr="004E14CE">
        <w:trPr>
          <w:trHeight w:val="584"/>
        </w:trPr>
        <w:tc>
          <w:tcPr>
            <w:tcW w:w="2500" w:type="pct"/>
            <w:tcBorders>
              <w:top w:val="nil"/>
              <w:left w:val="single" w:sz="8" w:space="0" w:color="FFFFFF"/>
              <w:bottom w:val="nil"/>
              <w:right w:val="single" w:sz="8" w:space="0" w:color="FFFFFF"/>
            </w:tcBorders>
            <w:shd w:val="clear" w:color="auto" w:fill="auto"/>
            <w:tcMar>
              <w:top w:w="72" w:type="dxa"/>
              <w:left w:w="144" w:type="dxa"/>
              <w:bottom w:w="72" w:type="dxa"/>
              <w:right w:w="144" w:type="dxa"/>
            </w:tcMar>
            <w:hideMark/>
          </w:tcPr>
          <w:p w14:paraId="5B9F36E0"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AUC</w:t>
            </w:r>
            <w:r w:rsidRPr="006160DA">
              <w:rPr>
                <w:rFonts w:ascii="Times New Roman" w:eastAsia="TimesNewRoman" w:hAnsi="Times New Roman" w:cs="Times New Roman"/>
                <w:szCs w:val="20"/>
                <w:vertAlign w:val="subscript"/>
              </w:rPr>
              <w:t>0-∞</w:t>
            </w:r>
            <w:r w:rsidRPr="006160DA">
              <w:rPr>
                <w:rFonts w:ascii="Times New Roman" w:eastAsia="TimesNewRoman" w:hAnsi="Times New Roman" w:cs="Times New Roman"/>
                <w:szCs w:val="20"/>
              </w:rPr>
              <w:t xml:space="preserve"> (h·</w:t>
            </w:r>
            <w:r w:rsidRPr="006160DA">
              <w:rPr>
                <w:rFonts w:ascii="Times New Roman" w:eastAsia="TimesNewRoman" w:hAnsi="Times New Roman" w:cs="Times New Roman"/>
                <w:szCs w:val="20"/>
                <w:lang w:val="el-GR"/>
              </w:rPr>
              <w:t>μ</w:t>
            </w:r>
            <w:r w:rsidRPr="006160DA">
              <w:rPr>
                <w:rFonts w:ascii="Times New Roman" w:eastAsia="TimesNewRoman" w:hAnsi="Times New Roman" w:cs="Times New Roman"/>
                <w:szCs w:val="20"/>
              </w:rPr>
              <w:t>g/mL)</w:t>
            </w:r>
          </w:p>
        </w:tc>
        <w:tc>
          <w:tcPr>
            <w:tcW w:w="2500" w:type="pct"/>
            <w:tcBorders>
              <w:top w:val="nil"/>
              <w:left w:val="single" w:sz="8" w:space="0" w:color="FFFFFF"/>
              <w:bottom w:val="nil"/>
              <w:right w:val="single" w:sz="8" w:space="0" w:color="FFFFFF"/>
            </w:tcBorders>
            <w:shd w:val="clear" w:color="auto" w:fill="auto"/>
            <w:tcMar>
              <w:top w:w="12" w:type="dxa"/>
              <w:left w:w="12" w:type="dxa"/>
              <w:bottom w:w="0" w:type="dxa"/>
              <w:right w:w="12" w:type="dxa"/>
            </w:tcMar>
            <w:hideMark/>
          </w:tcPr>
          <w:p w14:paraId="060918A7"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3.25 ± 1.46</w:t>
            </w:r>
          </w:p>
        </w:tc>
      </w:tr>
      <w:tr w:rsidR="00BA3755" w:rsidRPr="006160DA" w14:paraId="703743C3" w14:textId="77777777" w:rsidTr="004E14CE">
        <w:trPr>
          <w:trHeight w:val="584"/>
        </w:trPr>
        <w:tc>
          <w:tcPr>
            <w:tcW w:w="2500" w:type="pct"/>
            <w:tcBorders>
              <w:top w:val="nil"/>
              <w:left w:val="single" w:sz="8" w:space="0" w:color="FFFFFF"/>
              <w:bottom w:val="nil"/>
              <w:right w:val="single" w:sz="8" w:space="0" w:color="FFFFFF"/>
            </w:tcBorders>
            <w:shd w:val="clear" w:color="auto" w:fill="auto"/>
            <w:tcMar>
              <w:top w:w="72" w:type="dxa"/>
              <w:left w:w="144" w:type="dxa"/>
              <w:bottom w:w="72" w:type="dxa"/>
              <w:right w:w="144" w:type="dxa"/>
            </w:tcMar>
            <w:hideMark/>
          </w:tcPr>
          <w:p w14:paraId="6E6C9988"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V/F (L)</w:t>
            </w:r>
          </w:p>
        </w:tc>
        <w:tc>
          <w:tcPr>
            <w:tcW w:w="2500" w:type="pct"/>
            <w:tcBorders>
              <w:top w:val="nil"/>
              <w:left w:val="single" w:sz="8" w:space="0" w:color="FFFFFF"/>
              <w:bottom w:val="nil"/>
              <w:right w:val="single" w:sz="8" w:space="0" w:color="FFFFFF"/>
            </w:tcBorders>
            <w:shd w:val="clear" w:color="auto" w:fill="auto"/>
            <w:tcMar>
              <w:top w:w="12" w:type="dxa"/>
              <w:left w:w="12" w:type="dxa"/>
              <w:bottom w:w="0" w:type="dxa"/>
              <w:right w:w="12" w:type="dxa"/>
            </w:tcMar>
            <w:hideMark/>
          </w:tcPr>
          <w:p w14:paraId="574AEB71"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1412.77 ± 840.48</w:t>
            </w:r>
          </w:p>
        </w:tc>
      </w:tr>
      <w:tr w:rsidR="00BA3755" w:rsidRPr="006160DA" w14:paraId="7A416E38" w14:textId="77777777" w:rsidTr="004E14CE">
        <w:trPr>
          <w:trHeight w:val="584"/>
        </w:trPr>
        <w:tc>
          <w:tcPr>
            <w:tcW w:w="2500" w:type="pct"/>
            <w:tcBorders>
              <w:top w:val="nil"/>
              <w:left w:val="single" w:sz="8" w:space="0" w:color="FFFFFF"/>
              <w:bottom w:val="nil"/>
              <w:right w:val="single" w:sz="8" w:space="0" w:color="FFFFFF"/>
            </w:tcBorders>
            <w:shd w:val="clear" w:color="auto" w:fill="auto"/>
            <w:tcMar>
              <w:top w:w="72" w:type="dxa"/>
              <w:left w:w="144" w:type="dxa"/>
              <w:bottom w:w="72" w:type="dxa"/>
              <w:right w:w="144" w:type="dxa"/>
            </w:tcMar>
            <w:hideMark/>
          </w:tcPr>
          <w:p w14:paraId="132F7765"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CL/F (L/h)</w:t>
            </w:r>
          </w:p>
        </w:tc>
        <w:tc>
          <w:tcPr>
            <w:tcW w:w="2500" w:type="pct"/>
            <w:tcBorders>
              <w:top w:val="nil"/>
              <w:left w:val="single" w:sz="8" w:space="0" w:color="FFFFFF"/>
              <w:bottom w:val="nil"/>
              <w:right w:val="single" w:sz="8" w:space="0" w:color="FFFFFF"/>
            </w:tcBorders>
            <w:shd w:val="clear" w:color="auto" w:fill="auto"/>
            <w:tcMar>
              <w:top w:w="12" w:type="dxa"/>
              <w:left w:w="12" w:type="dxa"/>
              <w:bottom w:w="0" w:type="dxa"/>
              <w:right w:w="12" w:type="dxa"/>
            </w:tcMar>
            <w:hideMark/>
          </w:tcPr>
          <w:p w14:paraId="1F04125E"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289.64 ± 229.03</w:t>
            </w:r>
          </w:p>
        </w:tc>
      </w:tr>
      <w:tr w:rsidR="00BA3755" w:rsidRPr="006160DA" w14:paraId="427EF594" w14:textId="77777777" w:rsidTr="004E14CE">
        <w:trPr>
          <w:trHeight w:val="584"/>
        </w:trPr>
        <w:tc>
          <w:tcPr>
            <w:tcW w:w="2500" w:type="pct"/>
            <w:tcBorders>
              <w:top w:val="nil"/>
              <w:left w:val="single" w:sz="8" w:space="0" w:color="FFFFFF"/>
              <w:bottom w:val="single" w:sz="8" w:space="0" w:color="000000"/>
              <w:right w:val="single" w:sz="8" w:space="0" w:color="FFFFFF"/>
            </w:tcBorders>
            <w:shd w:val="clear" w:color="auto" w:fill="auto"/>
            <w:tcMar>
              <w:top w:w="72" w:type="dxa"/>
              <w:left w:w="144" w:type="dxa"/>
              <w:bottom w:w="72" w:type="dxa"/>
              <w:right w:w="144" w:type="dxa"/>
            </w:tcMar>
            <w:hideMark/>
          </w:tcPr>
          <w:p w14:paraId="3B2E64E3"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MRT (h)</w:t>
            </w:r>
          </w:p>
        </w:tc>
        <w:tc>
          <w:tcPr>
            <w:tcW w:w="2500" w:type="pct"/>
            <w:tcBorders>
              <w:top w:val="nil"/>
              <w:left w:val="single" w:sz="8" w:space="0" w:color="FFFFFF"/>
              <w:bottom w:val="single" w:sz="8" w:space="0" w:color="000000"/>
              <w:right w:val="single" w:sz="8" w:space="0" w:color="FFFFFF"/>
            </w:tcBorders>
            <w:shd w:val="clear" w:color="auto" w:fill="auto"/>
            <w:tcMar>
              <w:top w:w="12" w:type="dxa"/>
              <w:left w:w="12" w:type="dxa"/>
              <w:bottom w:w="0" w:type="dxa"/>
              <w:right w:w="12" w:type="dxa"/>
            </w:tcMar>
            <w:hideMark/>
          </w:tcPr>
          <w:p w14:paraId="7DE12CC1" w14:textId="77777777" w:rsidR="004E14CE" w:rsidRPr="006160DA" w:rsidRDefault="004E14C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4.91 ± 2.35</w:t>
            </w:r>
          </w:p>
        </w:tc>
      </w:tr>
    </w:tbl>
    <w:p w14:paraId="0E466EC2" w14:textId="3C743A5F" w:rsidR="009A2E06" w:rsidRPr="006160DA" w:rsidRDefault="004E14CE" w:rsidP="006160DA">
      <w:pPr>
        <w:spacing w:line="480" w:lineRule="auto"/>
        <w:rPr>
          <w:rFonts w:ascii="Times New Roman" w:eastAsia="TimesNewRoman" w:hAnsi="Times New Roman" w:cs="Times New Roman"/>
          <w:szCs w:val="20"/>
        </w:rPr>
        <w:sectPr w:rsidR="009A2E06" w:rsidRPr="006160DA" w:rsidSect="008B0A42">
          <w:pgSz w:w="16838" w:h="11906" w:orient="landscape"/>
          <w:pgMar w:top="1440" w:right="1701" w:bottom="1440" w:left="1440" w:header="851" w:footer="992" w:gutter="0"/>
          <w:lnNumType w:countBy="1" w:restart="continuous"/>
          <w:cols w:space="425"/>
          <w:docGrid w:linePitch="360"/>
        </w:sectPr>
      </w:pPr>
      <w:r w:rsidRPr="006160DA">
        <w:rPr>
          <w:rFonts w:ascii="Times New Roman" w:eastAsia="TimesNewRoman" w:hAnsi="Times New Roman" w:cs="Times New Roman"/>
          <w:szCs w:val="20"/>
        </w:rPr>
        <w:t>T</w:t>
      </w:r>
      <w:r w:rsidRPr="006160DA">
        <w:rPr>
          <w:rFonts w:ascii="Times New Roman" w:eastAsia="TimesNewRoman" w:hAnsi="Times New Roman" w:cs="Times New Roman"/>
          <w:szCs w:val="20"/>
          <w:vertAlign w:val="subscript"/>
        </w:rPr>
        <w:t>1/2</w:t>
      </w:r>
      <w:r w:rsidRPr="006160DA">
        <w:rPr>
          <w:rFonts w:ascii="Times New Roman" w:eastAsia="TimesNewRoman" w:hAnsi="Times New Roman" w:cs="Times New Roman"/>
          <w:szCs w:val="20"/>
        </w:rPr>
        <w:t>, half-life in plasma; T</w:t>
      </w:r>
      <w:r w:rsidRPr="006160DA">
        <w:rPr>
          <w:rFonts w:ascii="Times New Roman" w:eastAsia="TimesNewRoman" w:hAnsi="Times New Roman" w:cs="Times New Roman"/>
          <w:szCs w:val="20"/>
          <w:vertAlign w:val="subscript"/>
        </w:rPr>
        <w:t>max</w:t>
      </w:r>
      <w:r w:rsidRPr="006160DA">
        <w:rPr>
          <w:rFonts w:ascii="Times New Roman" w:eastAsia="TimesNewRoman" w:hAnsi="Times New Roman" w:cs="Times New Roman"/>
          <w:szCs w:val="20"/>
        </w:rPr>
        <w:t>, time to reach maximum plasma concentration; C</w:t>
      </w:r>
      <w:r w:rsidRPr="006160DA">
        <w:rPr>
          <w:rFonts w:ascii="Times New Roman" w:eastAsia="TimesNewRoman" w:hAnsi="Times New Roman" w:cs="Times New Roman"/>
          <w:szCs w:val="20"/>
          <w:vertAlign w:val="subscript"/>
        </w:rPr>
        <w:t>max</w:t>
      </w:r>
      <w:r w:rsidRPr="006160DA">
        <w:rPr>
          <w:rFonts w:ascii="Times New Roman" w:eastAsia="TimesNewRoman" w:hAnsi="Times New Roman" w:cs="Times New Roman"/>
          <w:szCs w:val="20"/>
        </w:rPr>
        <w:t xml:space="preserve">, maximum plasma concentration; AUC, area under the curve; V/F, volume of distribution; </w:t>
      </w:r>
      <w:r w:rsidRPr="006160DA">
        <w:rPr>
          <w:rFonts w:ascii="Times New Roman" w:eastAsia="TimesNewRoman" w:hAnsi="Times New Roman" w:cs="Times New Roman"/>
          <w:szCs w:val="20"/>
        </w:rPr>
        <w:lastRenderedPageBreak/>
        <w:t>CL/F, total clearance; MRT, mean residence time</w:t>
      </w:r>
      <w:r w:rsidR="00B74BF5" w:rsidRPr="006160DA">
        <w:rPr>
          <w:rFonts w:ascii="Times New Roman" w:eastAsia="TimesNewRoman" w:hAnsi="Times New Roman" w:cs="Times New Roman"/>
          <w:szCs w:val="20"/>
        </w:rPr>
        <w:t>.</w:t>
      </w:r>
    </w:p>
    <w:p w14:paraId="67AB9AD6" w14:textId="77777777" w:rsidR="00DD2882" w:rsidRPr="006160DA" w:rsidRDefault="004B18D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lastRenderedPageBreak/>
        <w:t>Table S3</w:t>
      </w:r>
      <w:r w:rsidRPr="006160DA">
        <w:rPr>
          <w:rFonts w:ascii="Times New Roman" w:eastAsia="TimesNewRoman" w:hAnsi="Times New Roman" w:cs="Times New Roman"/>
          <w:szCs w:val="20"/>
        </w:rPr>
        <w:t xml:space="preserve">. </w:t>
      </w:r>
      <w:r w:rsidR="00DD2882" w:rsidRPr="006160DA">
        <w:rPr>
          <w:rFonts w:ascii="Times New Roman" w:eastAsia="TimesNewRoman" w:hAnsi="Times New Roman" w:cs="Times New Roman"/>
          <w:szCs w:val="20"/>
        </w:rPr>
        <w:t>Building steps for a basic pharmacokinetic structural model of morniflumate</w:t>
      </w:r>
      <w:r w:rsidRPr="006160DA">
        <w:rPr>
          <w:rFonts w:ascii="Times New Roman" w:eastAsia="TimesNewRoman" w:hAnsi="Times New Roman" w:cs="Times New Roman"/>
          <w:szCs w:val="20"/>
        </w:rPr>
        <w:t>.</w:t>
      </w:r>
    </w:p>
    <w:tbl>
      <w:tblPr>
        <w:tblW w:w="5000" w:type="pct"/>
        <w:tblCellMar>
          <w:left w:w="0" w:type="dxa"/>
          <w:right w:w="0" w:type="dxa"/>
        </w:tblCellMar>
        <w:tblLook w:val="0600" w:firstRow="0" w:lastRow="0" w:firstColumn="0" w:lastColumn="0" w:noHBand="1" w:noVBand="1"/>
      </w:tblPr>
      <w:tblGrid>
        <w:gridCol w:w="1757"/>
        <w:gridCol w:w="2824"/>
        <w:gridCol w:w="1383"/>
        <w:gridCol w:w="1383"/>
        <w:gridCol w:w="1356"/>
        <w:gridCol w:w="1641"/>
        <w:gridCol w:w="1498"/>
        <w:gridCol w:w="1855"/>
      </w:tblGrid>
      <w:tr w:rsidR="00BA3755" w:rsidRPr="006160DA" w14:paraId="26785953" w14:textId="77777777" w:rsidTr="007F7AC1">
        <w:trPr>
          <w:trHeight w:val="397"/>
        </w:trPr>
        <w:tc>
          <w:tcPr>
            <w:tcW w:w="641"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3D60005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Model</w:t>
            </w:r>
          </w:p>
        </w:tc>
        <w:tc>
          <w:tcPr>
            <w:tcW w:w="1031"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26FA32CC"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b/>
                <w:bCs/>
                <w:szCs w:val="20"/>
              </w:rPr>
              <w:t>Description</w:t>
            </w:r>
          </w:p>
        </w:tc>
        <w:tc>
          <w:tcPr>
            <w:tcW w:w="50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677B752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 xml:space="preserve">nParameter </w:t>
            </w:r>
            <w:r w:rsidRPr="006160DA">
              <w:rPr>
                <w:rFonts w:ascii="Times New Roman" w:eastAsia="TimesNewRoman" w:hAnsi="Times New Roman" w:cs="Times New Roman"/>
                <w:b/>
                <w:bCs/>
                <w:szCs w:val="20"/>
                <w:vertAlign w:val="superscript"/>
              </w:rPr>
              <w:t>a</w:t>
            </w:r>
          </w:p>
        </w:tc>
        <w:tc>
          <w:tcPr>
            <w:tcW w:w="50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06495599" w14:textId="60C98D26" w:rsidR="00DD2882" w:rsidRPr="006160DA" w:rsidRDefault="00DD2882" w:rsidP="006160DA">
            <w:pPr>
              <w:spacing w:line="480" w:lineRule="auto"/>
              <w:rPr>
                <w:rFonts w:ascii="Times New Roman" w:eastAsia="TimesNewRoman" w:hAnsi="Times New Roman" w:cs="Times New Roman"/>
                <w:szCs w:val="20"/>
              </w:rPr>
            </w:pPr>
            <m:oMath>
              <m:r>
                <m:rPr>
                  <m:sty m:val="bi"/>
                </m:rPr>
                <w:rPr>
                  <w:rFonts w:ascii="Cambria Math" w:eastAsia="TimesNewRoman" w:hAnsi="Cambria Math" w:cs="Times New Roman"/>
                  <w:szCs w:val="20"/>
                </w:rPr>
                <m:t>-</m:t>
              </m:r>
            </m:oMath>
            <w:r w:rsidRPr="006160DA">
              <w:rPr>
                <w:rFonts w:ascii="Times New Roman" w:eastAsia="TimesNewRoman" w:hAnsi="Times New Roman" w:cs="Times New Roman"/>
                <w:b/>
                <w:bCs/>
                <w:szCs w:val="20"/>
              </w:rPr>
              <w:t>2LL</w:t>
            </w:r>
          </w:p>
        </w:tc>
        <w:tc>
          <w:tcPr>
            <w:tcW w:w="49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4665838E"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AIC</w:t>
            </w:r>
          </w:p>
        </w:tc>
        <w:tc>
          <w:tcPr>
            <w:tcW w:w="599"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3F74C889" w14:textId="702272F9" w:rsidR="00DD2882" w:rsidRPr="006160DA" w:rsidRDefault="00DD2882" w:rsidP="006160DA">
            <w:pPr>
              <w:spacing w:line="480" w:lineRule="auto"/>
              <w:rPr>
                <w:rFonts w:ascii="Times New Roman" w:eastAsia="TimesNewRoman" w:hAnsi="Times New Roman" w:cs="Times New Roman"/>
                <w:szCs w:val="20"/>
              </w:rPr>
            </w:pPr>
            <w:r w:rsidRPr="006160DA">
              <w:rPr>
                <w:rFonts w:ascii="맑은 고딕" w:eastAsia="맑은 고딕" w:hAnsi="맑은 고딕" w:cs="맑은 고딕" w:hint="eastAsia"/>
                <w:b/>
                <w:bCs/>
                <w:szCs w:val="20"/>
              </w:rPr>
              <w:t>△</w:t>
            </w:r>
            <m:oMath>
              <m:r>
                <m:rPr>
                  <m:sty m:val="bi"/>
                </m:rPr>
                <w:rPr>
                  <w:rFonts w:ascii="Cambria Math" w:eastAsia="TimesNewRoman" w:hAnsi="Cambria Math" w:cs="Times New Roman"/>
                  <w:szCs w:val="20"/>
                </w:rPr>
                <m:t>-</m:t>
              </m:r>
            </m:oMath>
            <w:r w:rsidRPr="006160DA">
              <w:rPr>
                <w:rFonts w:ascii="Times New Roman" w:eastAsia="TimesNewRoman" w:hAnsi="Times New Roman" w:cs="Times New Roman"/>
                <w:b/>
                <w:bCs/>
                <w:szCs w:val="20"/>
              </w:rPr>
              <w:t>2LL</w:t>
            </w:r>
          </w:p>
        </w:tc>
        <w:tc>
          <w:tcPr>
            <w:tcW w:w="547"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7E3E037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맑은 고딕" w:eastAsia="맑은 고딕" w:hAnsi="맑은 고딕" w:cs="맑은 고딕" w:hint="eastAsia"/>
                <w:b/>
                <w:bCs/>
                <w:szCs w:val="20"/>
              </w:rPr>
              <w:t>△</w:t>
            </w:r>
            <w:r w:rsidRPr="006160DA">
              <w:rPr>
                <w:rFonts w:ascii="Times New Roman" w:eastAsia="TimesNewRoman" w:hAnsi="Times New Roman" w:cs="Times New Roman"/>
                <w:b/>
                <w:bCs/>
                <w:szCs w:val="20"/>
              </w:rPr>
              <w:t>AIC</w:t>
            </w:r>
          </w:p>
        </w:tc>
        <w:tc>
          <w:tcPr>
            <w:tcW w:w="677"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2C17C1F3"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Compared with</w:t>
            </w:r>
          </w:p>
        </w:tc>
      </w:tr>
      <w:tr w:rsidR="00BA3755" w:rsidRPr="006160DA" w14:paraId="3F1FFC2C" w14:textId="77777777" w:rsidTr="007F7AC1">
        <w:trPr>
          <w:trHeight w:val="397"/>
        </w:trPr>
        <w:tc>
          <w:tcPr>
            <w:tcW w:w="4323" w:type="pct"/>
            <w:gridSpan w:val="7"/>
            <w:tcBorders>
              <w:top w:val="single" w:sz="8" w:space="0" w:color="000000"/>
              <w:left w:val="nil"/>
              <w:bottom w:val="nil"/>
              <w:right w:val="nil"/>
            </w:tcBorders>
            <w:shd w:val="clear" w:color="auto" w:fill="auto"/>
            <w:tcMar>
              <w:top w:w="10" w:type="dxa"/>
              <w:left w:w="10" w:type="dxa"/>
              <w:bottom w:w="0" w:type="dxa"/>
              <w:right w:w="10" w:type="dxa"/>
            </w:tcMar>
            <w:hideMark/>
          </w:tcPr>
          <w:p w14:paraId="72079B04"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b/>
                <w:bCs/>
                <w:szCs w:val="20"/>
              </w:rPr>
              <w:t>Compartment disposition model</w:t>
            </w:r>
          </w:p>
        </w:tc>
        <w:tc>
          <w:tcPr>
            <w:tcW w:w="677" w:type="pct"/>
            <w:tcBorders>
              <w:top w:val="single" w:sz="8" w:space="0" w:color="000000"/>
              <w:left w:val="nil"/>
              <w:bottom w:val="nil"/>
              <w:right w:val="nil"/>
            </w:tcBorders>
            <w:shd w:val="clear" w:color="auto" w:fill="auto"/>
            <w:tcMar>
              <w:top w:w="10" w:type="dxa"/>
              <w:left w:w="10" w:type="dxa"/>
              <w:bottom w:w="0" w:type="dxa"/>
              <w:right w:w="10" w:type="dxa"/>
            </w:tcMar>
            <w:hideMark/>
          </w:tcPr>
          <w:p w14:paraId="28D2EECD" w14:textId="77777777" w:rsidR="00DD2882" w:rsidRPr="006160DA" w:rsidRDefault="00DD2882" w:rsidP="006160DA">
            <w:pPr>
              <w:spacing w:line="480" w:lineRule="auto"/>
              <w:rPr>
                <w:rFonts w:ascii="Times New Roman" w:eastAsia="TimesNewRoman" w:hAnsi="Times New Roman" w:cs="Times New Roman"/>
                <w:szCs w:val="20"/>
              </w:rPr>
            </w:pPr>
          </w:p>
        </w:tc>
      </w:tr>
      <w:tr w:rsidR="00BA3755" w:rsidRPr="006160DA" w14:paraId="2A50E89D"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491A0BA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01</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073F2167"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1-compartment</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1BF1245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7</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0D0AFE3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4968.27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79C8103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4982.27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0B233F0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62361E8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513CF35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r>
      <w:tr w:rsidR="00BA3755" w:rsidRPr="006160DA" w14:paraId="770AAD15" w14:textId="77777777" w:rsidTr="007F7AC1">
        <w:trPr>
          <w:trHeight w:val="397"/>
        </w:trPr>
        <w:tc>
          <w:tcPr>
            <w:tcW w:w="641" w:type="pct"/>
            <w:tcBorders>
              <w:top w:val="nil"/>
              <w:left w:val="nil"/>
              <w:bottom w:val="nil"/>
              <w:right w:val="nil"/>
            </w:tcBorders>
            <w:shd w:val="clear" w:color="auto" w:fill="auto"/>
            <w:tcMar>
              <w:top w:w="10" w:type="dxa"/>
              <w:left w:w="10" w:type="dxa"/>
              <w:bottom w:w="0" w:type="dxa"/>
              <w:right w:w="10" w:type="dxa"/>
            </w:tcMar>
            <w:hideMark/>
          </w:tcPr>
          <w:p w14:paraId="7CF8A0D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693FD8E2"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2-compartment</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170428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AB4E22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4757.22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6854B2F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4779.22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14632599" w14:textId="03B1E2B2"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211.05</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3AA60CF7" w14:textId="279ABA78"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203.05</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0F4C23E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01</w:t>
            </w:r>
          </w:p>
        </w:tc>
      </w:tr>
      <w:tr w:rsidR="00BA3755" w:rsidRPr="006160DA" w14:paraId="54E7C21D" w14:textId="77777777" w:rsidTr="007F7AC1">
        <w:trPr>
          <w:trHeight w:val="397"/>
        </w:trPr>
        <w:tc>
          <w:tcPr>
            <w:tcW w:w="641" w:type="pct"/>
            <w:tcBorders>
              <w:top w:val="nil"/>
              <w:left w:val="nil"/>
              <w:bottom w:val="nil"/>
              <w:right w:val="nil"/>
            </w:tcBorders>
            <w:shd w:val="clear" w:color="auto" w:fill="auto"/>
            <w:tcMar>
              <w:top w:w="10" w:type="dxa"/>
              <w:left w:w="10" w:type="dxa"/>
              <w:bottom w:w="0" w:type="dxa"/>
              <w:right w:w="10" w:type="dxa"/>
            </w:tcMar>
            <w:hideMark/>
          </w:tcPr>
          <w:p w14:paraId="6F9F001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03</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41D3E0DA"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3-compartment</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7865EB53"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15</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7901D113"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4897.12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55BEC4E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4927.12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1294CDA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139.90</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71A148B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147.90</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536E98C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w:t>
            </w:r>
          </w:p>
        </w:tc>
      </w:tr>
      <w:tr w:rsidR="00BA3755" w:rsidRPr="006160DA" w14:paraId="6F9F0435" w14:textId="77777777" w:rsidTr="007F7AC1">
        <w:trPr>
          <w:trHeight w:val="397"/>
        </w:trPr>
        <w:tc>
          <w:tcPr>
            <w:tcW w:w="4323" w:type="pct"/>
            <w:gridSpan w:val="7"/>
            <w:tcBorders>
              <w:top w:val="nil"/>
              <w:left w:val="nil"/>
              <w:bottom w:val="nil"/>
              <w:right w:val="nil"/>
            </w:tcBorders>
            <w:shd w:val="clear" w:color="auto" w:fill="auto"/>
            <w:tcMar>
              <w:top w:w="10" w:type="dxa"/>
              <w:left w:w="10" w:type="dxa"/>
              <w:bottom w:w="0" w:type="dxa"/>
              <w:right w:w="10" w:type="dxa"/>
            </w:tcMar>
            <w:hideMark/>
          </w:tcPr>
          <w:p w14:paraId="5A0EB8BC"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b/>
                <w:bCs/>
                <w:szCs w:val="20"/>
              </w:rPr>
              <w:t>Absorption model</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01D1FB36" w14:textId="77777777" w:rsidR="00DD2882" w:rsidRPr="006160DA" w:rsidRDefault="00DD2882" w:rsidP="006160DA">
            <w:pPr>
              <w:spacing w:line="480" w:lineRule="auto"/>
              <w:rPr>
                <w:rFonts w:ascii="Times New Roman" w:eastAsia="TimesNewRoman" w:hAnsi="Times New Roman" w:cs="Times New Roman"/>
                <w:szCs w:val="20"/>
              </w:rPr>
            </w:pPr>
          </w:p>
        </w:tc>
      </w:tr>
      <w:tr w:rsidR="00BA3755" w:rsidRPr="006160DA" w14:paraId="28F9E5F8"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42714AE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0F548FF7"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No T</w:t>
            </w:r>
            <w:r w:rsidRPr="006160DA">
              <w:rPr>
                <w:rFonts w:ascii="Times New Roman" w:eastAsia="TimesNewRoman" w:hAnsi="Times New Roman" w:cs="Times New Roman"/>
                <w:szCs w:val="20"/>
                <w:vertAlign w:val="subscript"/>
              </w:rPr>
              <w:t>lag</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3A23A1B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0400B38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4757.22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29F493D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4779.22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26D88FB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5D0E864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1141EBA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r>
      <w:tr w:rsidR="00BA3755" w:rsidRPr="006160DA" w14:paraId="79830DAE"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15F82A7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02-01</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6C811899"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Add T</w:t>
            </w:r>
            <w:r w:rsidRPr="006160DA">
              <w:rPr>
                <w:rFonts w:ascii="Times New Roman" w:eastAsia="TimesNewRoman" w:hAnsi="Times New Roman" w:cs="Times New Roman"/>
                <w:szCs w:val="20"/>
                <w:vertAlign w:val="subscript"/>
              </w:rPr>
              <w:t>lag</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2F99A6D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13</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34A21FF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4856.33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4AB0C70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4892.14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7AD04D4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99.11</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24309E2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112.92</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78308C4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w:t>
            </w:r>
          </w:p>
        </w:tc>
      </w:tr>
      <w:tr w:rsidR="00BA3755" w:rsidRPr="006160DA" w14:paraId="216C1BB6"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33B0D6E7"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02-02</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22313E27"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No T</w:t>
            </w:r>
            <w:r w:rsidRPr="006160DA">
              <w:rPr>
                <w:rFonts w:ascii="Times New Roman" w:eastAsia="TimesNewRoman" w:hAnsi="Times New Roman" w:cs="Times New Roman"/>
                <w:szCs w:val="20"/>
                <w:vertAlign w:val="subscript"/>
              </w:rPr>
              <w:t>lag</w:t>
            </w:r>
            <w:r w:rsidRPr="006160DA">
              <w:rPr>
                <w:rFonts w:ascii="Times New Roman" w:eastAsia="TimesNewRoman" w:hAnsi="Times New Roman" w:cs="Times New Roman"/>
                <w:szCs w:val="20"/>
              </w:rPr>
              <w:t xml:space="preserve">; Non sequential two absorption compartment </w:t>
            </w:r>
            <w:r w:rsidRPr="006160DA">
              <w:rPr>
                <w:rFonts w:ascii="Times New Roman" w:eastAsia="TimesNewRoman" w:hAnsi="Times New Roman" w:cs="Times New Roman"/>
                <w:szCs w:val="20"/>
                <w:vertAlign w:val="superscript"/>
              </w:rPr>
              <w:t>b</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62A16A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15</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27B44FF3"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4795.41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4B6BEF1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4821.38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06C0796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38.19</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20FE772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42.16</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5D2CF97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w:t>
            </w:r>
          </w:p>
        </w:tc>
      </w:tr>
      <w:tr w:rsidR="00BA3755" w:rsidRPr="006160DA" w14:paraId="29C270B3" w14:textId="77777777" w:rsidTr="007F7AC1">
        <w:trPr>
          <w:trHeight w:val="397"/>
        </w:trPr>
        <w:tc>
          <w:tcPr>
            <w:tcW w:w="641" w:type="pct"/>
            <w:tcBorders>
              <w:top w:val="nil"/>
              <w:left w:val="nil"/>
              <w:bottom w:val="nil"/>
              <w:right w:val="nil"/>
            </w:tcBorders>
            <w:shd w:val="clear" w:color="auto" w:fill="auto"/>
            <w:tcMar>
              <w:top w:w="10" w:type="dxa"/>
              <w:left w:w="10" w:type="dxa"/>
              <w:bottom w:w="0" w:type="dxa"/>
              <w:right w:w="10" w:type="dxa"/>
            </w:tcMar>
            <w:hideMark/>
          </w:tcPr>
          <w:p w14:paraId="4B6FCCC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02-03</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1B1039A7"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No T</w:t>
            </w:r>
            <w:r w:rsidRPr="006160DA">
              <w:rPr>
                <w:rFonts w:ascii="Times New Roman" w:eastAsia="TimesNewRoman" w:hAnsi="Times New Roman" w:cs="Times New Roman"/>
                <w:szCs w:val="20"/>
                <w:vertAlign w:val="subscript"/>
              </w:rPr>
              <w:t>lag</w:t>
            </w:r>
            <w:r w:rsidRPr="006160DA">
              <w:rPr>
                <w:rFonts w:ascii="Times New Roman" w:eastAsia="TimesNewRoman" w:hAnsi="Times New Roman" w:cs="Times New Roman"/>
                <w:szCs w:val="20"/>
              </w:rPr>
              <w:t xml:space="preserve">; Sequential two absorption compartment </w:t>
            </w:r>
            <w:r w:rsidRPr="006160DA">
              <w:rPr>
                <w:rFonts w:ascii="Times New Roman" w:eastAsia="TimesNewRoman" w:hAnsi="Times New Roman" w:cs="Times New Roman"/>
                <w:szCs w:val="20"/>
                <w:vertAlign w:val="superscript"/>
              </w:rPr>
              <w:t>b</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8806E1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13</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20C71E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4525.69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427B577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4574.86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10D6EC7D" w14:textId="3F9447CA"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231.53</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203B27BE" w14:textId="1D978D75"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204.36</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18705D9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w:t>
            </w:r>
          </w:p>
        </w:tc>
      </w:tr>
      <w:tr w:rsidR="00BA3755" w:rsidRPr="006160DA" w14:paraId="6104D7D5" w14:textId="77777777" w:rsidTr="007F7AC1">
        <w:trPr>
          <w:trHeight w:val="397"/>
        </w:trPr>
        <w:tc>
          <w:tcPr>
            <w:tcW w:w="641" w:type="pct"/>
            <w:tcBorders>
              <w:top w:val="nil"/>
              <w:left w:val="nil"/>
              <w:bottom w:val="nil"/>
              <w:right w:val="nil"/>
            </w:tcBorders>
            <w:shd w:val="clear" w:color="auto" w:fill="auto"/>
            <w:tcMar>
              <w:top w:w="10" w:type="dxa"/>
              <w:left w:w="10" w:type="dxa"/>
              <w:bottom w:w="0" w:type="dxa"/>
              <w:right w:w="10" w:type="dxa"/>
            </w:tcMar>
            <w:hideMark/>
          </w:tcPr>
          <w:p w14:paraId="236A418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lastRenderedPageBreak/>
              <w:t>02-04</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3E605186"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No T</w:t>
            </w:r>
            <w:r w:rsidRPr="006160DA">
              <w:rPr>
                <w:rFonts w:ascii="Times New Roman" w:eastAsia="TimesNewRoman" w:hAnsi="Times New Roman" w:cs="Times New Roman"/>
                <w:szCs w:val="20"/>
                <w:vertAlign w:val="subscript"/>
              </w:rPr>
              <w:t>lag</w:t>
            </w:r>
            <w:r w:rsidRPr="006160DA">
              <w:rPr>
                <w:rFonts w:ascii="Times New Roman" w:eastAsia="TimesNewRoman" w:hAnsi="Times New Roman" w:cs="Times New Roman"/>
                <w:szCs w:val="20"/>
              </w:rPr>
              <w:t xml:space="preserve">; Sequential three absorption compartment </w:t>
            </w:r>
            <w:r w:rsidRPr="006160DA">
              <w:rPr>
                <w:rFonts w:ascii="Times New Roman" w:eastAsia="TimesNewRoman" w:hAnsi="Times New Roman" w:cs="Times New Roman"/>
                <w:szCs w:val="20"/>
                <w:vertAlign w:val="superscript"/>
              </w:rPr>
              <w:t>b</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10246317"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15</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EFA21E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4312.45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3CF4604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4383.67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061D91AE" w14:textId="2DE78273"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213.24</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376A818D" w14:textId="1AC9A087"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191.19</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0BF8C0B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02-03</w:t>
            </w:r>
          </w:p>
        </w:tc>
      </w:tr>
      <w:tr w:rsidR="00BA3755" w:rsidRPr="006160DA" w14:paraId="7AF84E38" w14:textId="77777777" w:rsidTr="007F7AC1">
        <w:trPr>
          <w:trHeight w:val="397"/>
        </w:trPr>
        <w:tc>
          <w:tcPr>
            <w:tcW w:w="641" w:type="pct"/>
            <w:tcBorders>
              <w:top w:val="nil"/>
              <w:left w:val="nil"/>
              <w:bottom w:val="nil"/>
              <w:right w:val="nil"/>
            </w:tcBorders>
            <w:shd w:val="clear" w:color="auto" w:fill="auto"/>
            <w:tcMar>
              <w:top w:w="10" w:type="dxa"/>
              <w:left w:w="10" w:type="dxa"/>
              <w:bottom w:w="0" w:type="dxa"/>
              <w:right w:w="10" w:type="dxa"/>
            </w:tcMar>
            <w:hideMark/>
          </w:tcPr>
          <w:p w14:paraId="11D8F38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02-05</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4B0434A6"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No T</w:t>
            </w:r>
            <w:r w:rsidRPr="006160DA">
              <w:rPr>
                <w:rFonts w:ascii="Times New Roman" w:eastAsia="TimesNewRoman" w:hAnsi="Times New Roman" w:cs="Times New Roman"/>
                <w:szCs w:val="20"/>
                <w:vertAlign w:val="subscript"/>
              </w:rPr>
              <w:t>lag</w:t>
            </w:r>
            <w:r w:rsidRPr="006160DA">
              <w:rPr>
                <w:rFonts w:ascii="Times New Roman" w:eastAsia="TimesNewRoman" w:hAnsi="Times New Roman" w:cs="Times New Roman"/>
                <w:szCs w:val="20"/>
              </w:rPr>
              <w:t xml:space="preserve">; Sequential four absorption compartment </w:t>
            </w:r>
            <w:r w:rsidRPr="006160DA">
              <w:rPr>
                <w:rFonts w:ascii="Times New Roman" w:eastAsia="TimesNewRoman" w:hAnsi="Times New Roman" w:cs="Times New Roman"/>
                <w:szCs w:val="20"/>
                <w:vertAlign w:val="superscript"/>
              </w:rPr>
              <w:t>b</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7B64A8A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17</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FA6310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4185.53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05B2F1C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4226.10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3CF1D674" w14:textId="5C96989C"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126.92</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24BCE959" w14:textId="1CC07089"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157.57</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7E50C09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02-04</w:t>
            </w:r>
          </w:p>
        </w:tc>
      </w:tr>
      <w:tr w:rsidR="00BA3755" w:rsidRPr="006160DA" w14:paraId="3A2B2B28" w14:textId="77777777" w:rsidTr="007F7AC1">
        <w:trPr>
          <w:trHeight w:val="397"/>
        </w:trPr>
        <w:tc>
          <w:tcPr>
            <w:tcW w:w="641" w:type="pct"/>
            <w:tcBorders>
              <w:top w:val="nil"/>
              <w:left w:val="nil"/>
              <w:bottom w:val="nil"/>
              <w:right w:val="nil"/>
            </w:tcBorders>
            <w:shd w:val="clear" w:color="auto" w:fill="auto"/>
            <w:tcMar>
              <w:top w:w="10" w:type="dxa"/>
              <w:left w:w="10" w:type="dxa"/>
              <w:bottom w:w="0" w:type="dxa"/>
              <w:right w:w="10" w:type="dxa"/>
            </w:tcMar>
            <w:hideMark/>
          </w:tcPr>
          <w:p w14:paraId="22DDA89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2C987DA5"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No T</w:t>
            </w:r>
            <w:r w:rsidRPr="006160DA">
              <w:rPr>
                <w:rFonts w:ascii="Times New Roman" w:eastAsia="TimesNewRoman" w:hAnsi="Times New Roman" w:cs="Times New Roman"/>
                <w:szCs w:val="20"/>
                <w:vertAlign w:val="subscript"/>
              </w:rPr>
              <w:t>lag</w:t>
            </w:r>
            <w:r w:rsidRPr="006160DA">
              <w:rPr>
                <w:rFonts w:ascii="Times New Roman" w:eastAsia="TimesNewRoman" w:hAnsi="Times New Roman" w:cs="Times New Roman"/>
                <w:szCs w:val="20"/>
              </w:rPr>
              <w:t xml:space="preserve">; Sequential five absorption compartment </w:t>
            </w:r>
            <w:r w:rsidRPr="006160DA">
              <w:rPr>
                <w:rFonts w:ascii="Times New Roman" w:eastAsia="TimesNewRoman" w:hAnsi="Times New Roman" w:cs="Times New Roman"/>
                <w:szCs w:val="20"/>
                <w:vertAlign w:val="superscript"/>
              </w:rPr>
              <w:t>b</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7118FAE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19</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665E798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4150.27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516A56B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4162.32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778D764E" w14:textId="205ADD44"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35.26</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090087A6" w14:textId="216CFF3B"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63.78</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7460A1C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02-05</w:t>
            </w:r>
          </w:p>
        </w:tc>
      </w:tr>
      <w:tr w:rsidR="00BA3755" w:rsidRPr="006160DA" w14:paraId="5E7ED694" w14:textId="77777777" w:rsidTr="007F7AC1">
        <w:trPr>
          <w:trHeight w:val="397"/>
        </w:trPr>
        <w:tc>
          <w:tcPr>
            <w:tcW w:w="641" w:type="pct"/>
            <w:tcBorders>
              <w:top w:val="nil"/>
              <w:left w:val="nil"/>
              <w:bottom w:val="nil"/>
              <w:right w:val="nil"/>
            </w:tcBorders>
            <w:shd w:val="clear" w:color="auto" w:fill="auto"/>
            <w:tcMar>
              <w:top w:w="10" w:type="dxa"/>
              <w:left w:w="10" w:type="dxa"/>
              <w:bottom w:w="0" w:type="dxa"/>
              <w:right w:w="10" w:type="dxa"/>
            </w:tcMar>
            <w:hideMark/>
          </w:tcPr>
          <w:p w14:paraId="25236BA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02-07</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5AE6DD5B"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No T</w:t>
            </w:r>
            <w:r w:rsidRPr="006160DA">
              <w:rPr>
                <w:rFonts w:ascii="Times New Roman" w:eastAsia="TimesNewRoman" w:hAnsi="Times New Roman" w:cs="Times New Roman"/>
                <w:szCs w:val="20"/>
                <w:vertAlign w:val="subscript"/>
              </w:rPr>
              <w:t>lag</w:t>
            </w:r>
            <w:r w:rsidRPr="006160DA">
              <w:rPr>
                <w:rFonts w:ascii="Times New Roman" w:eastAsia="TimesNewRoman" w:hAnsi="Times New Roman" w:cs="Times New Roman"/>
                <w:szCs w:val="20"/>
              </w:rPr>
              <w:t xml:space="preserve">; Sequential six absorption compartment </w:t>
            </w:r>
            <w:r w:rsidRPr="006160DA">
              <w:rPr>
                <w:rFonts w:ascii="Times New Roman" w:eastAsia="TimesNewRoman" w:hAnsi="Times New Roman" w:cs="Times New Roman"/>
                <w:szCs w:val="20"/>
                <w:vertAlign w:val="superscript"/>
              </w:rPr>
              <w:t>b</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65C6E28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21</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19ECE8D4"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4149.41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30ACBEB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4161.59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6E1C768C" w14:textId="37ABD029"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0.86</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54FCC86D" w14:textId="7F1D2C47"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0.73</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00A1E94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w:t>
            </w:r>
          </w:p>
        </w:tc>
      </w:tr>
      <w:tr w:rsidR="00BA3755" w:rsidRPr="006160DA" w14:paraId="1363472C" w14:textId="77777777" w:rsidTr="007F7AC1">
        <w:trPr>
          <w:trHeight w:val="397"/>
        </w:trPr>
        <w:tc>
          <w:tcPr>
            <w:tcW w:w="4323" w:type="pct"/>
            <w:gridSpan w:val="7"/>
            <w:tcBorders>
              <w:top w:val="nil"/>
              <w:left w:val="nil"/>
              <w:bottom w:val="nil"/>
              <w:right w:val="nil"/>
            </w:tcBorders>
            <w:shd w:val="clear" w:color="auto" w:fill="auto"/>
            <w:tcMar>
              <w:top w:w="10" w:type="dxa"/>
              <w:left w:w="10" w:type="dxa"/>
              <w:bottom w:w="0" w:type="dxa"/>
              <w:right w:w="10" w:type="dxa"/>
            </w:tcMar>
            <w:hideMark/>
          </w:tcPr>
          <w:p w14:paraId="42FAD5CA"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b/>
                <w:bCs/>
                <w:szCs w:val="20"/>
              </w:rPr>
              <w:t>Residual error model</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2BE88C83" w14:textId="77777777" w:rsidR="00DD2882" w:rsidRPr="006160DA" w:rsidRDefault="00DD2882" w:rsidP="006160DA">
            <w:pPr>
              <w:spacing w:line="480" w:lineRule="auto"/>
              <w:rPr>
                <w:rFonts w:ascii="Times New Roman" w:eastAsia="TimesNewRoman" w:hAnsi="Times New Roman" w:cs="Times New Roman"/>
                <w:szCs w:val="20"/>
              </w:rPr>
            </w:pPr>
          </w:p>
        </w:tc>
      </w:tr>
      <w:tr w:rsidR="00BA3755" w:rsidRPr="006160DA" w14:paraId="0E73023A"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62AE24B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4DC2A5F7"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Proportional</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3F65E4C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19</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4305626E"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4150.27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409DF72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4162.32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071F107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4DC7B71E"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01C8C67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r>
      <w:tr w:rsidR="00BA3755" w:rsidRPr="006160DA" w14:paraId="6BABDFF8"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6D291E9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02-06-01</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5D88A967"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Additive</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ED7C72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19</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16FF40B7"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5196.26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59626C6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5218.26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2FE5363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1045.99</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075D6F17"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1055.94</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267B850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w:t>
            </w:r>
          </w:p>
        </w:tc>
      </w:tr>
      <w:tr w:rsidR="00BA3755" w:rsidRPr="006160DA" w14:paraId="5A10DCC5"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3BBC194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3A2310D0"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Log additive</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6E48C8B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19</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7949D7F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416.88</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20EE3E4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454.88</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6ED8CC4A" w14:textId="06CFB2AD"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3733.39</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0E221531" w14:textId="330D506D" w:rsidR="00DD2882" w:rsidRPr="006160DA" w:rsidRDefault="00F04FB0"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3707.44</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4C93B844"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w:t>
            </w:r>
          </w:p>
        </w:tc>
      </w:tr>
      <w:tr w:rsidR="00BA3755" w:rsidRPr="006160DA" w14:paraId="7CFBF9F0"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53F26A2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02-06-03</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15DE316F"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Mixed</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081B20B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20</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13C267C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4968.25</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2413A3E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4984.25</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20834BEE"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817.98</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6804A4B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821.93</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1530676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w:t>
            </w:r>
          </w:p>
        </w:tc>
      </w:tr>
      <w:tr w:rsidR="00BA3755" w:rsidRPr="006160DA" w14:paraId="0EDF5B0A" w14:textId="77777777" w:rsidTr="007F7AC1">
        <w:trPr>
          <w:trHeight w:val="397"/>
        </w:trPr>
        <w:tc>
          <w:tcPr>
            <w:tcW w:w="641" w:type="pct"/>
            <w:tcBorders>
              <w:top w:val="nil"/>
              <w:left w:val="nil"/>
              <w:bottom w:val="nil"/>
              <w:right w:val="nil"/>
            </w:tcBorders>
            <w:shd w:val="clear" w:color="auto" w:fill="auto"/>
            <w:tcMar>
              <w:top w:w="10" w:type="dxa"/>
              <w:left w:w="10" w:type="dxa"/>
              <w:bottom w:w="0" w:type="dxa"/>
              <w:right w:w="10" w:type="dxa"/>
            </w:tcMar>
            <w:hideMark/>
          </w:tcPr>
          <w:p w14:paraId="69B0616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02-06-04</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2E947D03"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Power</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118CAD77"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19</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CE76BB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5196.13</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351D5D1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5210.13</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4289525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1045.86</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2928874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1047.81</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12DBA1E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w:t>
            </w:r>
          </w:p>
        </w:tc>
      </w:tr>
      <w:tr w:rsidR="00BA3755" w:rsidRPr="006160DA" w14:paraId="398D382B" w14:textId="77777777" w:rsidTr="007F7AC1">
        <w:trPr>
          <w:trHeight w:val="397"/>
        </w:trPr>
        <w:tc>
          <w:tcPr>
            <w:tcW w:w="4323" w:type="pct"/>
            <w:gridSpan w:val="7"/>
            <w:tcBorders>
              <w:top w:val="nil"/>
              <w:left w:val="nil"/>
              <w:bottom w:val="nil"/>
              <w:right w:val="nil"/>
            </w:tcBorders>
            <w:shd w:val="clear" w:color="auto" w:fill="auto"/>
            <w:tcMar>
              <w:top w:w="10" w:type="dxa"/>
              <w:left w:w="10" w:type="dxa"/>
              <w:bottom w:w="0" w:type="dxa"/>
              <w:right w:w="10" w:type="dxa"/>
            </w:tcMar>
            <w:hideMark/>
          </w:tcPr>
          <w:p w14:paraId="29B4379F"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b/>
                <w:bCs/>
                <w:szCs w:val="20"/>
              </w:rPr>
              <w:lastRenderedPageBreak/>
              <w:t>Interindividual variability model</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01C68FF4" w14:textId="77777777" w:rsidR="00DD2882" w:rsidRPr="006160DA" w:rsidRDefault="00DD2882" w:rsidP="006160DA">
            <w:pPr>
              <w:spacing w:line="480" w:lineRule="auto"/>
              <w:rPr>
                <w:rFonts w:ascii="Times New Roman" w:eastAsia="TimesNewRoman" w:hAnsi="Times New Roman" w:cs="Times New Roman"/>
                <w:szCs w:val="20"/>
              </w:rPr>
            </w:pPr>
          </w:p>
        </w:tc>
      </w:tr>
      <w:tr w:rsidR="00BA3755" w:rsidRPr="006160DA" w14:paraId="73911CD4"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79B089C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02-06-02-01</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04A1DAE8" w14:textId="7777777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V</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0579A7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4BCDE38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416.83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349EAE8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452.83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46993306" w14:textId="1FECB684" w:rsidR="00DD2882"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0.05</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7E4754CD" w14:textId="69CBAFEF" w:rsidR="00DD2882"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2.05</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118D44B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122E8B40"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210BEBC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02-06-02-02</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615FEC9B" w14:textId="24753EEF"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CL</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3804D79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2CCEA6A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416.60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0EDCFBE4"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452.60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4EB8006A" w14:textId="3C3CFA3C" w:rsidR="00DD2882"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0.28</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03F4D141" w14:textId="046B3B2B" w:rsidR="00DD2882"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2.28</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620C6FE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6DF74A83"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1EA0D9E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02-06-02-03</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1BD49A4F" w14:textId="4B0BF2FA"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46309A4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519C280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476.70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6EB88D4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512.70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390FC1FE"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59.82</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2C91FCE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57.82</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77A0C6C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22D2FB02"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42F26BA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02-06-02-04</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69193E22" w14:textId="40646034"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08719557"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087AEF2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468.98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6F35FFD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504.98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05A3BB7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52.10</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755A685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50.10</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2860C0D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01B6DCC6"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12F43BB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02-06-02-05</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3EA3B9F7" w14:textId="46BAD958"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K</w:t>
            </w:r>
            <w:r w:rsidRPr="006160DA">
              <w:rPr>
                <w:rFonts w:ascii="Times New Roman" w:eastAsia="TimesNewRoman" w:hAnsi="Times New Roman" w:cs="Times New Roman"/>
                <w:szCs w:val="20"/>
                <w:vertAlign w:val="subscript"/>
              </w:rPr>
              <w:t>a1</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2A22147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7877197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428.83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0C1942C7"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464.83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40237DA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11.95</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2C98FDD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9.95</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044FBA9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63E1BB39"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5F40533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02-06-02-06</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41C49901" w14:textId="3B2E3C89"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K</w:t>
            </w:r>
            <w:r w:rsidRPr="006160DA">
              <w:rPr>
                <w:rFonts w:ascii="Times New Roman" w:eastAsia="TimesNewRoman" w:hAnsi="Times New Roman" w:cs="Times New Roman"/>
                <w:szCs w:val="20"/>
                <w:vertAlign w:val="subscript"/>
              </w:rPr>
              <w:t>a2</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2E2EA52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4E830204"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428.94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12F1316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464.94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4A0180CE"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12.06</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36B73BB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10.06</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2E7BF138"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4369313C"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65D8574A"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02-06-02-07</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3799AD11" w14:textId="5CE0359C"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K</w:t>
            </w:r>
            <w:r w:rsidRPr="006160DA">
              <w:rPr>
                <w:rFonts w:ascii="Times New Roman" w:eastAsia="TimesNewRoman" w:hAnsi="Times New Roman" w:cs="Times New Roman"/>
                <w:szCs w:val="20"/>
                <w:vertAlign w:val="subscript"/>
              </w:rPr>
              <w:t>a3</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1D913055"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65F7E77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428.83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7277E87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464.83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7D1D2EE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11.95</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639E78A3"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9.95</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5187021F"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6EDDC873"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359299B3"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lastRenderedPageBreak/>
              <w:t>02-06-02-08</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541F25C4" w14:textId="283A65CD"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K</w:t>
            </w:r>
            <w:r w:rsidRPr="006160DA">
              <w:rPr>
                <w:rFonts w:ascii="Times New Roman" w:eastAsia="TimesNewRoman" w:hAnsi="Times New Roman" w:cs="Times New Roman"/>
                <w:szCs w:val="20"/>
                <w:vertAlign w:val="subscript"/>
              </w:rPr>
              <w:t>a4</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49F8C3D1"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677D0D2E"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428.83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436F78E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464.83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267DEB9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11.95</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47C2F59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9.95</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1D555D02"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4DC5746C" w14:textId="77777777" w:rsidTr="007F7AC1">
        <w:trPr>
          <w:trHeight w:val="385"/>
        </w:trPr>
        <w:tc>
          <w:tcPr>
            <w:tcW w:w="641" w:type="pct"/>
            <w:tcBorders>
              <w:top w:val="nil"/>
              <w:left w:val="nil"/>
              <w:bottom w:val="nil"/>
              <w:right w:val="nil"/>
            </w:tcBorders>
            <w:shd w:val="clear" w:color="auto" w:fill="auto"/>
            <w:tcMar>
              <w:top w:w="10" w:type="dxa"/>
              <w:left w:w="10" w:type="dxa"/>
              <w:bottom w:w="0" w:type="dxa"/>
              <w:right w:w="10" w:type="dxa"/>
            </w:tcMar>
            <w:hideMark/>
          </w:tcPr>
          <w:p w14:paraId="4D5FE2DB"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02-06-02-09</w:t>
            </w:r>
          </w:p>
        </w:tc>
        <w:tc>
          <w:tcPr>
            <w:tcW w:w="1031" w:type="pct"/>
            <w:tcBorders>
              <w:top w:val="nil"/>
              <w:left w:val="nil"/>
              <w:bottom w:val="nil"/>
              <w:right w:val="nil"/>
            </w:tcBorders>
            <w:shd w:val="clear" w:color="auto" w:fill="auto"/>
            <w:tcMar>
              <w:top w:w="10" w:type="dxa"/>
              <w:left w:w="10" w:type="dxa"/>
              <w:bottom w:w="0" w:type="dxa"/>
              <w:right w:w="10" w:type="dxa"/>
            </w:tcMar>
            <w:hideMark/>
          </w:tcPr>
          <w:p w14:paraId="728EC7CB" w14:textId="423ED743"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K</w:t>
            </w:r>
            <w:r w:rsidRPr="006160DA">
              <w:rPr>
                <w:rFonts w:ascii="Times New Roman" w:eastAsia="TimesNewRoman" w:hAnsi="Times New Roman" w:cs="Times New Roman"/>
                <w:szCs w:val="20"/>
                <w:vertAlign w:val="subscript"/>
              </w:rPr>
              <w:t>a5</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6A93A796"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505" w:type="pct"/>
            <w:tcBorders>
              <w:top w:val="nil"/>
              <w:left w:val="nil"/>
              <w:bottom w:val="nil"/>
              <w:right w:val="nil"/>
            </w:tcBorders>
            <w:shd w:val="clear" w:color="auto" w:fill="auto"/>
            <w:tcMar>
              <w:top w:w="10" w:type="dxa"/>
              <w:left w:w="10" w:type="dxa"/>
              <w:bottom w:w="0" w:type="dxa"/>
              <w:right w:w="10" w:type="dxa"/>
            </w:tcMar>
            <w:hideMark/>
          </w:tcPr>
          <w:p w14:paraId="3D91149C"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427.20 </w:t>
            </w:r>
          </w:p>
        </w:tc>
        <w:tc>
          <w:tcPr>
            <w:tcW w:w="495" w:type="pct"/>
            <w:tcBorders>
              <w:top w:val="nil"/>
              <w:left w:val="nil"/>
              <w:bottom w:val="nil"/>
              <w:right w:val="nil"/>
            </w:tcBorders>
            <w:shd w:val="clear" w:color="auto" w:fill="auto"/>
            <w:tcMar>
              <w:top w:w="10" w:type="dxa"/>
              <w:left w:w="10" w:type="dxa"/>
              <w:bottom w:w="0" w:type="dxa"/>
              <w:right w:w="10" w:type="dxa"/>
            </w:tcMar>
            <w:hideMark/>
          </w:tcPr>
          <w:p w14:paraId="01D08CD4"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463.20 </w:t>
            </w:r>
          </w:p>
        </w:tc>
        <w:tc>
          <w:tcPr>
            <w:tcW w:w="599" w:type="pct"/>
            <w:tcBorders>
              <w:top w:val="nil"/>
              <w:left w:val="nil"/>
              <w:bottom w:val="nil"/>
              <w:right w:val="nil"/>
            </w:tcBorders>
            <w:shd w:val="clear" w:color="auto" w:fill="auto"/>
            <w:tcMar>
              <w:top w:w="10" w:type="dxa"/>
              <w:left w:w="10" w:type="dxa"/>
              <w:bottom w:w="0" w:type="dxa"/>
              <w:right w:w="10" w:type="dxa"/>
            </w:tcMar>
            <w:hideMark/>
          </w:tcPr>
          <w:p w14:paraId="38B7409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10.32</w:t>
            </w:r>
          </w:p>
        </w:tc>
        <w:tc>
          <w:tcPr>
            <w:tcW w:w="547" w:type="pct"/>
            <w:tcBorders>
              <w:top w:val="nil"/>
              <w:left w:val="nil"/>
              <w:bottom w:val="nil"/>
              <w:right w:val="nil"/>
            </w:tcBorders>
            <w:shd w:val="clear" w:color="auto" w:fill="auto"/>
            <w:tcMar>
              <w:top w:w="10" w:type="dxa"/>
              <w:left w:w="10" w:type="dxa"/>
              <w:bottom w:w="0" w:type="dxa"/>
              <w:right w:w="10" w:type="dxa"/>
            </w:tcMar>
            <w:hideMark/>
          </w:tcPr>
          <w:p w14:paraId="693499D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8.32</w:t>
            </w:r>
          </w:p>
        </w:tc>
        <w:tc>
          <w:tcPr>
            <w:tcW w:w="677" w:type="pct"/>
            <w:tcBorders>
              <w:top w:val="nil"/>
              <w:left w:val="nil"/>
              <w:bottom w:val="nil"/>
              <w:right w:val="nil"/>
            </w:tcBorders>
            <w:shd w:val="clear" w:color="auto" w:fill="auto"/>
            <w:tcMar>
              <w:top w:w="10" w:type="dxa"/>
              <w:left w:w="10" w:type="dxa"/>
              <w:bottom w:w="0" w:type="dxa"/>
              <w:right w:w="10" w:type="dxa"/>
            </w:tcMar>
            <w:hideMark/>
          </w:tcPr>
          <w:p w14:paraId="21FEF9E4"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r w:rsidR="00BA3755" w:rsidRPr="006160DA" w14:paraId="27475BE5" w14:textId="77777777" w:rsidTr="007F7AC1">
        <w:trPr>
          <w:trHeight w:val="385"/>
        </w:trPr>
        <w:tc>
          <w:tcPr>
            <w:tcW w:w="641" w:type="pct"/>
            <w:tcBorders>
              <w:top w:val="nil"/>
              <w:left w:val="nil"/>
              <w:bottom w:val="single" w:sz="8" w:space="0" w:color="000000"/>
              <w:right w:val="nil"/>
            </w:tcBorders>
            <w:shd w:val="clear" w:color="auto" w:fill="auto"/>
            <w:tcMar>
              <w:top w:w="10" w:type="dxa"/>
              <w:left w:w="10" w:type="dxa"/>
              <w:bottom w:w="0" w:type="dxa"/>
              <w:right w:w="10" w:type="dxa"/>
            </w:tcMar>
            <w:hideMark/>
          </w:tcPr>
          <w:p w14:paraId="2B102FD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02-06-02-10*</w:t>
            </w:r>
          </w:p>
        </w:tc>
        <w:tc>
          <w:tcPr>
            <w:tcW w:w="1031" w:type="pct"/>
            <w:tcBorders>
              <w:top w:val="nil"/>
              <w:left w:val="nil"/>
              <w:bottom w:val="single" w:sz="8" w:space="0" w:color="000000"/>
              <w:right w:val="nil"/>
            </w:tcBorders>
            <w:shd w:val="clear" w:color="auto" w:fill="auto"/>
            <w:tcMar>
              <w:top w:w="10" w:type="dxa"/>
              <w:left w:w="10" w:type="dxa"/>
              <w:bottom w:w="0" w:type="dxa"/>
              <w:right w:w="10" w:type="dxa"/>
            </w:tcMar>
            <w:hideMark/>
          </w:tcPr>
          <w:p w14:paraId="27085ECA" w14:textId="29EBB447" w:rsidR="00DD2882" w:rsidRPr="006160DA" w:rsidRDefault="00DD2882" w:rsidP="006160DA">
            <w:pPr>
              <w:spacing w:line="480" w:lineRule="auto"/>
              <w:jc w:val="left"/>
              <w:rPr>
                <w:rFonts w:ascii="Times New Roman" w:eastAsia="TimesNewRoman" w:hAnsi="Times New Roman" w:cs="Times New Roman"/>
                <w:szCs w:val="20"/>
              </w:rPr>
            </w:pPr>
            <w:r w:rsidRPr="006160DA">
              <w:rPr>
                <w:rFonts w:ascii="Times New Roman" w:eastAsia="TimesNewRoman" w:hAnsi="Times New Roman" w:cs="Times New Roman"/>
                <w:szCs w:val="20"/>
              </w:rPr>
              <w:t>Remove interindividual variability of V</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CL</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w:t>
            </w:r>
          </w:p>
        </w:tc>
        <w:tc>
          <w:tcPr>
            <w:tcW w:w="505" w:type="pct"/>
            <w:tcBorders>
              <w:top w:val="nil"/>
              <w:left w:val="nil"/>
              <w:bottom w:val="single" w:sz="8" w:space="0" w:color="000000"/>
              <w:right w:val="nil"/>
            </w:tcBorders>
            <w:shd w:val="clear" w:color="auto" w:fill="auto"/>
            <w:tcMar>
              <w:top w:w="10" w:type="dxa"/>
              <w:left w:w="10" w:type="dxa"/>
              <w:bottom w:w="0" w:type="dxa"/>
              <w:right w:w="10" w:type="dxa"/>
            </w:tcMar>
            <w:hideMark/>
          </w:tcPr>
          <w:p w14:paraId="072945C0"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17</w:t>
            </w:r>
          </w:p>
        </w:tc>
        <w:tc>
          <w:tcPr>
            <w:tcW w:w="505" w:type="pct"/>
            <w:tcBorders>
              <w:top w:val="nil"/>
              <w:left w:val="nil"/>
              <w:bottom w:val="single" w:sz="8" w:space="0" w:color="000000"/>
              <w:right w:val="nil"/>
            </w:tcBorders>
            <w:shd w:val="clear" w:color="auto" w:fill="auto"/>
            <w:tcMar>
              <w:top w:w="10" w:type="dxa"/>
              <w:left w:w="10" w:type="dxa"/>
              <w:bottom w:w="0" w:type="dxa"/>
              <w:right w:w="10" w:type="dxa"/>
            </w:tcMar>
            <w:hideMark/>
          </w:tcPr>
          <w:p w14:paraId="55658C79"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416.83 </w:t>
            </w:r>
          </w:p>
        </w:tc>
        <w:tc>
          <w:tcPr>
            <w:tcW w:w="495" w:type="pct"/>
            <w:tcBorders>
              <w:top w:val="nil"/>
              <w:left w:val="nil"/>
              <w:bottom w:val="single" w:sz="8" w:space="0" w:color="000000"/>
              <w:right w:val="nil"/>
            </w:tcBorders>
            <w:shd w:val="clear" w:color="auto" w:fill="auto"/>
            <w:tcMar>
              <w:top w:w="10" w:type="dxa"/>
              <w:left w:w="10" w:type="dxa"/>
              <w:bottom w:w="0" w:type="dxa"/>
              <w:right w:w="10" w:type="dxa"/>
            </w:tcMar>
            <w:hideMark/>
          </w:tcPr>
          <w:p w14:paraId="33CAE0DD"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450.83 </w:t>
            </w:r>
          </w:p>
        </w:tc>
        <w:tc>
          <w:tcPr>
            <w:tcW w:w="599" w:type="pct"/>
            <w:tcBorders>
              <w:top w:val="nil"/>
              <w:left w:val="nil"/>
              <w:bottom w:val="single" w:sz="8" w:space="0" w:color="000000"/>
              <w:right w:val="nil"/>
            </w:tcBorders>
            <w:shd w:val="clear" w:color="auto" w:fill="auto"/>
            <w:tcMar>
              <w:top w:w="10" w:type="dxa"/>
              <w:left w:w="10" w:type="dxa"/>
              <w:bottom w:w="0" w:type="dxa"/>
              <w:right w:w="10" w:type="dxa"/>
            </w:tcMar>
            <w:hideMark/>
          </w:tcPr>
          <w:p w14:paraId="09214F23" w14:textId="12368273" w:rsidR="00DD2882"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0.05</w:t>
            </w:r>
          </w:p>
        </w:tc>
        <w:tc>
          <w:tcPr>
            <w:tcW w:w="547" w:type="pct"/>
            <w:tcBorders>
              <w:top w:val="nil"/>
              <w:left w:val="nil"/>
              <w:bottom w:val="single" w:sz="8" w:space="0" w:color="000000"/>
              <w:right w:val="nil"/>
            </w:tcBorders>
            <w:shd w:val="clear" w:color="auto" w:fill="auto"/>
            <w:tcMar>
              <w:top w:w="10" w:type="dxa"/>
              <w:left w:w="10" w:type="dxa"/>
              <w:bottom w:w="0" w:type="dxa"/>
              <w:right w:w="10" w:type="dxa"/>
            </w:tcMar>
            <w:hideMark/>
          </w:tcPr>
          <w:p w14:paraId="5DE5A4D0" w14:textId="71D71605" w:rsidR="00DD2882"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DD2882" w:rsidRPr="006160DA">
              <w:rPr>
                <w:rFonts w:ascii="Times New Roman" w:eastAsia="TimesNewRoman" w:hAnsi="Times New Roman" w:cs="Times New Roman"/>
                <w:szCs w:val="20"/>
              </w:rPr>
              <w:t>4.05</w:t>
            </w:r>
          </w:p>
        </w:tc>
        <w:tc>
          <w:tcPr>
            <w:tcW w:w="677" w:type="pct"/>
            <w:tcBorders>
              <w:top w:val="nil"/>
              <w:left w:val="nil"/>
              <w:bottom w:val="single" w:sz="8" w:space="0" w:color="000000"/>
              <w:right w:val="nil"/>
            </w:tcBorders>
            <w:shd w:val="clear" w:color="auto" w:fill="auto"/>
            <w:tcMar>
              <w:top w:w="10" w:type="dxa"/>
              <w:left w:w="10" w:type="dxa"/>
              <w:bottom w:w="0" w:type="dxa"/>
              <w:right w:w="10" w:type="dxa"/>
            </w:tcMar>
            <w:hideMark/>
          </w:tcPr>
          <w:p w14:paraId="4DF0BB1E" w14:textId="77777777" w:rsidR="00DD2882" w:rsidRPr="006160DA" w:rsidRDefault="00DD288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02-06-02</w:t>
            </w:r>
          </w:p>
        </w:tc>
      </w:tr>
    </w:tbl>
    <w:p w14:paraId="47B54C0F" w14:textId="44A5BB1E"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vertAlign w:val="superscript"/>
        </w:rPr>
        <w:t>a</w:t>
      </w:r>
      <w:r w:rsidRPr="006160DA">
        <w:rPr>
          <w:rFonts w:ascii="Times New Roman" w:eastAsia="TimesNewRoman" w:hAnsi="Times New Roman" w:cs="Times New Roman"/>
          <w:szCs w:val="20"/>
        </w:rPr>
        <w:t xml:space="preserve"> </w:t>
      </w:r>
      <w:proofErr w:type="spellStart"/>
      <w:r w:rsidRPr="006160DA">
        <w:rPr>
          <w:rFonts w:ascii="Times New Roman" w:eastAsia="TimesNewRoman" w:hAnsi="Times New Roman" w:cs="Times New Roman"/>
          <w:szCs w:val="20"/>
        </w:rPr>
        <w:t>nParameter</w:t>
      </w:r>
      <w:proofErr w:type="spellEnd"/>
      <w:r w:rsidRPr="006160DA">
        <w:rPr>
          <w:rFonts w:ascii="Times New Roman" w:eastAsia="TimesNewRoman" w:hAnsi="Times New Roman" w:cs="Times New Roman"/>
          <w:szCs w:val="20"/>
        </w:rPr>
        <w:t xml:space="preserve"> </w:t>
      </w:r>
      <w:r w:rsidR="008F6798" w:rsidRPr="006160DA">
        <w:rPr>
          <w:rFonts w:ascii="Times New Roman" w:eastAsia="TimesNewRoman" w:hAnsi="Times New Roman" w:cs="Times New Roman"/>
          <w:szCs w:val="20"/>
        </w:rPr>
        <w:t xml:space="preserve">represents </w:t>
      </w:r>
      <w:r w:rsidRPr="006160DA">
        <w:rPr>
          <w:rFonts w:ascii="Times New Roman" w:eastAsia="TimesNewRoman" w:hAnsi="Times New Roman" w:cs="Times New Roman"/>
          <w:szCs w:val="20"/>
        </w:rPr>
        <w:t>the total number of parameters applied to the model.</w:t>
      </w:r>
    </w:p>
    <w:p w14:paraId="1133A93A" w14:textId="25084664"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vertAlign w:val="superscript"/>
        </w:rPr>
        <w:t>b</w:t>
      </w:r>
      <w:r w:rsidRPr="006160DA">
        <w:rPr>
          <w:rFonts w:ascii="Times New Roman" w:eastAsia="TimesNewRoman" w:hAnsi="Times New Roman" w:cs="Times New Roman"/>
          <w:szCs w:val="20"/>
        </w:rPr>
        <w:t xml:space="preserve"> </w:t>
      </w:r>
      <w:r w:rsidR="008F6798" w:rsidRPr="006160DA">
        <w:rPr>
          <w:rFonts w:ascii="Times New Roman" w:eastAsia="TimesNewRoman" w:hAnsi="Times New Roman" w:cs="Times New Roman"/>
          <w:szCs w:val="20"/>
        </w:rPr>
        <w:t xml:space="preserve">represents </w:t>
      </w:r>
      <w:r w:rsidRPr="006160DA">
        <w:rPr>
          <w:rFonts w:ascii="Times New Roman" w:eastAsia="TimesNewRoman" w:hAnsi="Times New Roman" w:cs="Times New Roman"/>
          <w:szCs w:val="20"/>
        </w:rPr>
        <w:t>a kind of multiple absorption compartment models.</w:t>
      </w:r>
    </w:p>
    <w:p w14:paraId="05EFDE61" w14:textId="498131A9"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 </w:t>
      </w:r>
      <w:proofErr w:type="gramStart"/>
      <w:r w:rsidR="008F6798" w:rsidRPr="006160DA">
        <w:rPr>
          <w:rFonts w:ascii="Times New Roman" w:eastAsia="TimesNewRoman" w:hAnsi="Times New Roman" w:cs="Times New Roman"/>
          <w:szCs w:val="20"/>
        </w:rPr>
        <w:t>represents</w:t>
      </w:r>
      <w:proofErr w:type="gramEnd"/>
      <w:r w:rsidR="008F6798"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the model selected in each step.</w:t>
      </w:r>
    </w:p>
    <w:p w14:paraId="1944B869" w14:textId="371E05F0" w:rsidR="00A40CE6" w:rsidRPr="006160DA" w:rsidRDefault="007F7AC1" w:rsidP="006160DA">
      <w:pPr>
        <w:spacing w:line="480" w:lineRule="auto"/>
        <w:rPr>
          <w:rFonts w:ascii="Times New Roman" w:eastAsia="TimesNewRoman" w:hAnsi="Times New Roman" w:cs="Times New Roman"/>
          <w:b/>
          <w:bCs/>
          <w:szCs w:val="20"/>
        </w:rPr>
        <w:sectPr w:rsidR="00A40CE6" w:rsidRPr="006160DA" w:rsidSect="008B0A42">
          <w:pgSz w:w="16838" w:h="11906" w:orient="landscape"/>
          <w:pgMar w:top="1440" w:right="1701" w:bottom="1440" w:left="1440" w:header="851" w:footer="992" w:gutter="0"/>
          <w:lnNumType w:countBy="1" w:restart="continuous"/>
          <w:cols w:space="425"/>
          <w:docGrid w:linePitch="360"/>
        </w:sectPr>
      </w:pPr>
      <w:r w:rsidRPr="006160DA">
        <w:rPr>
          <w:rFonts w:ascii="Times New Roman" w:eastAsia="TimesNewRoman" w:hAnsi="Times New Roman" w:cs="Times New Roman"/>
          <w:szCs w:val="20"/>
        </w:rPr>
        <w:t>T</w:t>
      </w:r>
      <w:r w:rsidRPr="006160DA">
        <w:rPr>
          <w:rFonts w:ascii="Times New Roman" w:eastAsia="TimesNewRoman" w:hAnsi="Times New Roman" w:cs="Times New Roman"/>
          <w:szCs w:val="20"/>
          <w:vertAlign w:val="subscript"/>
        </w:rPr>
        <w:t>lag</w:t>
      </w:r>
      <w:r w:rsidRPr="006160DA">
        <w:rPr>
          <w:rFonts w:ascii="Times New Roman" w:eastAsia="TimesNewRoman" w:hAnsi="Times New Roman" w:cs="Times New Roman"/>
          <w:szCs w:val="20"/>
        </w:rPr>
        <w:t>, lag-time; V</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distribution volume of the central compartment; CL</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clearance from the central compartment; 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 distribution volume of the peripheral compartment;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 movement rate between the central and peripheral compartments; K</w:t>
      </w:r>
      <w:r w:rsidRPr="006160DA">
        <w:rPr>
          <w:rFonts w:ascii="Times New Roman" w:eastAsia="TimesNewRoman" w:hAnsi="Times New Roman" w:cs="Times New Roman"/>
          <w:szCs w:val="20"/>
          <w:vertAlign w:val="subscript"/>
        </w:rPr>
        <w:t>a1</w:t>
      </w:r>
      <w:r w:rsidRPr="006160DA">
        <w:rPr>
          <w:rFonts w:ascii="Times New Roman" w:eastAsia="TimesNewRoman" w:hAnsi="Times New Roman" w:cs="Times New Roman"/>
          <w:szCs w:val="20"/>
        </w:rPr>
        <w:t>, absorption rate constant from morniflumate dosing depot to depot 2; K</w:t>
      </w:r>
      <w:r w:rsidRPr="006160DA">
        <w:rPr>
          <w:rFonts w:ascii="Times New Roman" w:eastAsia="TimesNewRoman" w:hAnsi="Times New Roman" w:cs="Times New Roman"/>
          <w:szCs w:val="20"/>
          <w:vertAlign w:val="subscript"/>
        </w:rPr>
        <w:t>a2</w:t>
      </w:r>
      <w:r w:rsidRPr="006160DA">
        <w:rPr>
          <w:rFonts w:ascii="Times New Roman" w:eastAsia="TimesNewRoman" w:hAnsi="Times New Roman" w:cs="Times New Roman"/>
          <w:szCs w:val="20"/>
        </w:rPr>
        <w:t>, absorption rate constant from depot 2 to depot 3; K</w:t>
      </w:r>
      <w:r w:rsidRPr="006160DA">
        <w:rPr>
          <w:rFonts w:ascii="Times New Roman" w:eastAsia="TimesNewRoman" w:hAnsi="Times New Roman" w:cs="Times New Roman"/>
          <w:szCs w:val="20"/>
          <w:vertAlign w:val="subscript"/>
        </w:rPr>
        <w:t>a3</w:t>
      </w:r>
      <w:r w:rsidRPr="006160DA">
        <w:rPr>
          <w:rFonts w:ascii="Times New Roman" w:eastAsia="TimesNewRoman" w:hAnsi="Times New Roman" w:cs="Times New Roman"/>
          <w:szCs w:val="20"/>
        </w:rPr>
        <w:t>, absorption rate constant from depot 3 to depot 4; K</w:t>
      </w:r>
      <w:r w:rsidRPr="006160DA">
        <w:rPr>
          <w:rFonts w:ascii="Times New Roman" w:eastAsia="TimesNewRoman" w:hAnsi="Times New Roman" w:cs="Times New Roman"/>
          <w:szCs w:val="20"/>
          <w:vertAlign w:val="subscript"/>
        </w:rPr>
        <w:t>a4</w:t>
      </w:r>
      <w:r w:rsidRPr="006160DA">
        <w:rPr>
          <w:rFonts w:ascii="Times New Roman" w:eastAsia="TimesNewRoman" w:hAnsi="Times New Roman" w:cs="Times New Roman"/>
          <w:szCs w:val="20"/>
        </w:rPr>
        <w:t>, absorption rate constant from depot 4 to depot 5; K</w:t>
      </w:r>
      <w:r w:rsidRPr="006160DA">
        <w:rPr>
          <w:rFonts w:ascii="Times New Roman" w:eastAsia="TimesNewRoman" w:hAnsi="Times New Roman" w:cs="Times New Roman"/>
          <w:szCs w:val="20"/>
          <w:vertAlign w:val="subscript"/>
        </w:rPr>
        <w:t>a5</w:t>
      </w:r>
      <w:r w:rsidRPr="006160DA">
        <w:rPr>
          <w:rFonts w:ascii="Times New Roman" w:eastAsia="TimesNewRoman" w:hAnsi="Times New Roman" w:cs="Times New Roman"/>
          <w:szCs w:val="20"/>
        </w:rPr>
        <w:t xml:space="preserve">, absorption rate constant from depot 5 to </w:t>
      </w:r>
      <w:r w:rsidR="008F6798" w:rsidRPr="006160DA">
        <w:rPr>
          <w:rFonts w:ascii="Times New Roman" w:eastAsia="TimesNewRoman" w:hAnsi="Times New Roman" w:cs="Times New Roman"/>
          <w:szCs w:val="20"/>
        </w:rPr>
        <w:t xml:space="preserve">the </w:t>
      </w:r>
      <w:r w:rsidRPr="006160DA">
        <w:rPr>
          <w:rFonts w:ascii="Times New Roman" w:eastAsia="TimesNewRoman" w:hAnsi="Times New Roman" w:cs="Times New Roman"/>
          <w:szCs w:val="20"/>
        </w:rPr>
        <w:t>central compartment.</w:t>
      </w:r>
    </w:p>
    <w:p w14:paraId="712454DD" w14:textId="77777777" w:rsidR="007F7AC1" w:rsidRPr="006160DA" w:rsidRDefault="000F4ECF"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lastRenderedPageBreak/>
        <w:t>Table S</w:t>
      </w:r>
      <w:r w:rsidR="004B18DE" w:rsidRPr="006160DA">
        <w:rPr>
          <w:rFonts w:ascii="Times New Roman" w:eastAsia="TimesNewRoman" w:hAnsi="Times New Roman" w:cs="Times New Roman"/>
          <w:b/>
          <w:bCs/>
          <w:szCs w:val="20"/>
        </w:rPr>
        <w:t>4</w:t>
      </w:r>
      <w:r w:rsidRPr="006160DA">
        <w:rPr>
          <w:rFonts w:ascii="Times New Roman" w:eastAsia="TimesNewRoman" w:hAnsi="Times New Roman" w:cs="Times New Roman"/>
          <w:szCs w:val="20"/>
        </w:rPr>
        <w:t xml:space="preserve">. </w:t>
      </w:r>
      <w:r w:rsidR="007F7AC1" w:rsidRPr="006160DA">
        <w:rPr>
          <w:rFonts w:ascii="Times New Roman" w:eastAsia="TimesNewRoman" w:hAnsi="Times New Roman" w:cs="Times New Roman"/>
          <w:szCs w:val="20"/>
        </w:rPr>
        <w:t>Stepwise selection of potential covariates in the population pharmacokinetic model of morniflumate.</w:t>
      </w:r>
    </w:p>
    <w:tbl>
      <w:tblPr>
        <w:tblW w:w="4992" w:type="pct"/>
        <w:tblCellMar>
          <w:left w:w="0" w:type="dxa"/>
          <w:right w:w="0" w:type="dxa"/>
        </w:tblCellMar>
        <w:tblLook w:val="0600" w:firstRow="0" w:lastRow="0" w:firstColumn="0" w:lastColumn="0" w:noHBand="1" w:noVBand="1"/>
      </w:tblPr>
      <w:tblGrid>
        <w:gridCol w:w="1207"/>
        <w:gridCol w:w="5002"/>
        <w:gridCol w:w="2040"/>
        <w:gridCol w:w="1701"/>
        <w:gridCol w:w="1983"/>
        <w:gridCol w:w="1742"/>
      </w:tblGrid>
      <w:tr w:rsidR="00BA3755" w:rsidRPr="006160DA" w14:paraId="7A033AF2" w14:textId="77777777" w:rsidTr="001A5812">
        <w:trPr>
          <w:trHeight w:val="238"/>
        </w:trPr>
        <w:tc>
          <w:tcPr>
            <w:tcW w:w="441" w:type="pct"/>
            <w:tcBorders>
              <w:top w:val="single" w:sz="8" w:space="0" w:color="000000"/>
              <w:left w:val="nil"/>
              <w:bottom w:val="single" w:sz="8" w:space="0" w:color="000000"/>
              <w:right w:val="nil"/>
            </w:tcBorders>
            <w:shd w:val="clear" w:color="auto" w:fill="auto"/>
            <w:tcMar>
              <w:top w:w="7" w:type="dxa"/>
              <w:left w:w="7" w:type="dxa"/>
              <w:bottom w:w="0" w:type="dxa"/>
              <w:right w:w="7" w:type="dxa"/>
            </w:tcMar>
            <w:hideMark/>
          </w:tcPr>
          <w:p w14:paraId="19D8A1D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 xml:space="preserve">Model </w:t>
            </w:r>
          </w:p>
        </w:tc>
        <w:tc>
          <w:tcPr>
            <w:tcW w:w="1829" w:type="pct"/>
            <w:tcBorders>
              <w:top w:val="single" w:sz="8" w:space="0" w:color="000000"/>
              <w:left w:val="nil"/>
              <w:bottom w:val="single" w:sz="8" w:space="0" w:color="000000"/>
              <w:right w:val="nil"/>
            </w:tcBorders>
            <w:shd w:val="clear" w:color="auto" w:fill="auto"/>
            <w:tcMar>
              <w:top w:w="7" w:type="dxa"/>
              <w:left w:w="7" w:type="dxa"/>
              <w:bottom w:w="0" w:type="dxa"/>
              <w:right w:w="7" w:type="dxa"/>
            </w:tcMar>
            <w:hideMark/>
          </w:tcPr>
          <w:p w14:paraId="26C48866"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Description</w:t>
            </w:r>
          </w:p>
        </w:tc>
        <w:tc>
          <w:tcPr>
            <w:tcW w:w="746" w:type="pct"/>
            <w:tcBorders>
              <w:top w:val="single" w:sz="8" w:space="0" w:color="000000"/>
              <w:left w:val="nil"/>
              <w:bottom w:val="single" w:sz="8" w:space="0" w:color="000000"/>
              <w:right w:val="nil"/>
            </w:tcBorders>
            <w:shd w:val="clear" w:color="auto" w:fill="auto"/>
            <w:tcMar>
              <w:top w:w="7" w:type="dxa"/>
              <w:left w:w="7" w:type="dxa"/>
              <w:bottom w:w="0" w:type="dxa"/>
              <w:right w:w="7" w:type="dxa"/>
            </w:tcMar>
            <w:hideMark/>
          </w:tcPr>
          <w:p w14:paraId="5CB170BE"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OFV</w:t>
            </w:r>
          </w:p>
        </w:tc>
        <w:tc>
          <w:tcPr>
            <w:tcW w:w="622" w:type="pct"/>
            <w:tcBorders>
              <w:top w:val="single" w:sz="8" w:space="0" w:color="000000"/>
              <w:left w:val="nil"/>
              <w:bottom w:val="single" w:sz="8" w:space="0" w:color="000000"/>
              <w:right w:val="nil"/>
            </w:tcBorders>
            <w:shd w:val="clear" w:color="auto" w:fill="auto"/>
            <w:tcMar>
              <w:top w:w="7" w:type="dxa"/>
              <w:left w:w="7" w:type="dxa"/>
              <w:bottom w:w="0" w:type="dxa"/>
              <w:right w:w="7" w:type="dxa"/>
            </w:tcMar>
            <w:hideMark/>
          </w:tcPr>
          <w:p w14:paraId="1E3F1200"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맑은 고딕" w:eastAsia="맑은 고딕" w:hAnsi="맑은 고딕" w:cs="맑은 고딕" w:hint="eastAsia"/>
                <w:b/>
                <w:bCs/>
                <w:szCs w:val="20"/>
              </w:rPr>
              <w:t>△</w:t>
            </w:r>
            <w:r w:rsidRPr="006160DA">
              <w:rPr>
                <w:rFonts w:ascii="Times New Roman" w:eastAsia="TimesNewRoman" w:hAnsi="Times New Roman" w:cs="Times New Roman"/>
                <w:b/>
                <w:bCs/>
                <w:szCs w:val="20"/>
              </w:rPr>
              <w:t>OFV</w:t>
            </w:r>
          </w:p>
        </w:tc>
        <w:tc>
          <w:tcPr>
            <w:tcW w:w="725" w:type="pct"/>
            <w:tcBorders>
              <w:top w:val="single" w:sz="8" w:space="0" w:color="000000"/>
              <w:left w:val="nil"/>
              <w:bottom w:val="single" w:sz="8" w:space="0" w:color="000000"/>
              <w:right w:val="nil"/>
            </w:tcBorders>
            <w:shd w:val="clear" w:color="auto" w:fill="auto"/>
            <w:tcMar>
              <w:top w:w="7" w:type="dxa"/>
              <w:left w:w="7" w:type="dxa"/>
              <w:bottom w:w="0" w:type="dxa"/>
              <w:right w:w="7" w:type="dxa"/>
            </w:tcMar>
            <w:hideMark/>
          </w:tcPr>
          <w:p w14:paraId="74A24FD5"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Compared with</w:t>
            </w:r>
          </w:p>
        </w:tc>
        <w:tc>
          <w:tcPr>
            <w:tcW w:w="637" w:type="pct"/>
            <w:tcBorders>
              <w:top w:val="single" w:sz="8" w:space="0" w:color="000000"/>
              <w:left w:val="nil"/>
              <w:bottom w:val="single" w:sz="8" w:space="0" w:color="000000"/>
              <w:right w:val="nil"/>
            </w:tcBorders>
            <w:shd w:val="clear" w:color="auto" w:fill="auto"/>
            <w:tcMar>
              <w:top w:w="7" w:type="dxa"/>
              <w:left w:w="7" w:type="dxa"/>
              <w:bottom w:w="0" w:type="dxa"/>
              <w:right w:w="7" w:type="dxa"/>
            </w:tcMar>
            <w:hideMark/>
          </w:tcPr>
          <w:p w14:paraId="11DD834F"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 xml:space="preserve">nParameter </w:t>
            </w:r>
            <w:r w:rsidRPr="006160DA">
              <w:rPr>
                <w:rFonts w:ascii="Times New Roman" w:eastAsia="TimesNewRoman" w:hAnsi="Times New Roman" w:cs="Times New Roman"/>
                <w:b/>
                <w:bCs/>
                <w:szCs w:val="20"/>
                <w:vertAlign w:val="superscript"/>
              </w:rPr>
              <w:t>a</w:t>
            </w:r>
          </w:p>
        </w:tc>
      </w:tr>
      <w:tr w:rsidR="00BA3755" w:rsidRPr="006160DA" w14:paraId="0CCBAC76" w14:textId="77777777" w:rsidTr="001A5812">
        <w:trPr>
          <w:trHeight w:val="238"/>
        </w:trPr>
        <w:tc>
          <w:tcPr>
            <w:tcW w:w="441" w:type="pct"/>
            <w:tcBorders>
              <w:top w:val="single" w:sz="8" w:space="0" w:color="000000"/>
              <w:left w:val="nil"/>
              <w:bottom w:val="nil"/>
              <w:right w:val="nil"/>
            </w:tcBorders>
            <w:shd w:val="clear" w:color="auto" w:fill="auto"/>
            <w:tcMar>
              <w:top w:w="10" w:type="dxa"/>
              <w:left w:w="10" w:type="dxa"/>
              <w:bottom w:w="0" w:type="dxa"/>
              <w:right w:w="10" w:type="dxa"/>
            </w:tcMar>
            <w:hideMark/>
          </w:tcPr>
          <w:p w14:paraId="68F9608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w:t>
            </w:r>
          </w:p>
        </w:tc>
        <w:tc>
          <w:tcPr>
            <w:tcW w:w="1829" w:type="pct"/>
            <w:tcBorders>
              <w:top w:val="single" w:sz="8" w:space="0" w:color="000000"/>
              <w:left w:val="nil"/>
              <w:bottom w:val="nil"/>
              <w:right w:val="nil"/>
            </w:tcBorders>
            <w:shd w:val="clear" w:color="auto" w:fill="auto"/>
            <w:tcMar>
              <w:top w:w="10" w:type="dxa"/>
              <w:left w:w="10" w:type="dxa"/>
              <w:bottom w:w="0" w:type="dxa"/>
              <w:right w:w="10" w:type="dxa"/>
            </w:tcMar>
            <w:hideMark/>
          </w:tcPr>
          <w:p w14:paraId="41F91CBE"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Base model </w:t>
            </w:r>
            <w:r w:rsidRPr="006160DA">
              <w:rPr>
                <w:rFonts w:ascii="Times New Roman" w:eastAsia="TimesNewRoman" w:hAnsi="Times New Roman" w:cs="Times New Roman"/>
                <w:szCs w:val="20"/>
                <w:vertAlign w:val="superscript"/>
              </w:rPr>
              <w:t>b</w:t>
            </w:r>
          </w:p>
        </w:tc>
        <w:tc>
          <w:tcPr>
            <w:tcW w:w="746" w:type="pct"/>
            <w:tcBorders>
              <w:top w:val="single" w:sz="8" w:space="0" w:color="000000"/>
              <w:left w:val="nil"/>
              <w:bottom w:val="nil"/>
              <w:right w:val="nil"/>
            </w:tcBorders>
            <w:shd w:val="clear" w:color="auto" w:fill="auto"/>
            <w:tcMar>
              <w:top w:w="10" w:type="dxa"/>
              <w:left w:w="10" w:type="dxa"/>
              <w:bottom w:w="0" w:type="dxa"/>
              <w:right w:w="10" w:type="dxa"/>
            </w:tcMar>
            <w:hideMark/>
          </w:tcPr>
          <w:p w14:paraId="0CD08EF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416.83 </w:t>
            </w:r>
          </w:p>
        </w:tc>
        <w:tc>
          <w:tcPr>
            <w:tcW w:w="622" w:type="pct"/>
            <w:tcBorders>
              <w:top w:val="single" w:sz="8" w:space="0" w:color="000000"/>
              <w:left w:val="nil"/>
              <w:bottom w:val="nil"/>
              <w:right w:val="nil"/>
            </w:tcBorders>
            <w:shd w:val="clear" w:color="auto" w:fill="auto"/>
            <w:tcMar>
              <w:top w:w="10" w:type="dxa"/>
              <w:left w:w="10" w:type="dxa"/>
              <w:bottom w:w="0" w:type="dxa"/>
              <w:right w:w="10" w:type="dxa"/>
            </w:tcMar>
            <w:hideMark/>
          </w:tcPr>
          <w:p w14:paraId="3809BA2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c>
          <w:tcPr>
            <w:tcW w:w="725" w:type="pct"/>
            <w:tcBorders>
              <w:top w:val="single" w:sz="8" w:space="0" w:color="000000"/>
              <w:left w:val="nil"/>
              <w:bottom w:val="nil"/>
              <w:right w:val="nil"/>
            </w:tcBorders>
            <w:shd w:val="clear" w:color="auto" w:fill="auto"/>
            <w:tcMar>
              <w:top w:w="10" w:type="dxa"/>
              <w:left w:w="10" w:type="dxa"/>
              <w:bottom w:w="0" w:type="dxa"/>
              <w:right w:w="10" w:type="dxa"/>
            </w:tcMar>
            <w:hideMark/>
          </w:tcPr>
          <w:p w14:paraId="68373FE2"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p>
        </w:tc>
        <w:tc>
          <w:tcPr>
            <w:tcW w:w="637" w:type="pct"/>
            <w:tcBorders>
              <w:top w:val="single" w:sz="8" w:space="0" w:color="000000"/>
              <w:left w:val="nil"/>
              <w:bottom w:val="nil"/>
              <w:right w:val="nil"/>
            </w:tcBorders>
            <w:shd w:val="clear" w:color="auto" w:fill="auto"/>
            <w:tcMar>
              <w:top w:w="10" w:type="dxa"/>
              <w:left w:w="10" w:type="dxa"/>
              <w:bottom w:w="0" w:type="dxa"/>
              <w:right w:w="10" w:type="dxa"/>
            </w:tcMar>
            <w:hideMark/>
          </w:tcPr>
          <w:p w14:paraId="2A9AB983"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17</w:t>
            </w:r>
          </w:p>
        </w:tc>
      </w:tr>
      <w:tr w:rsidR="00BA3755" w:rsidRPr="006160DA" w14:paraId="0CD8CB82"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7CA3E47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36815D09"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Total proteins on 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1BDB030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416.50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3C0F03F2" w14:textId="7BDFE4B3"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0.328</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271738CD"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40EADACD"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70CEBEF5"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7403F65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3</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570D7530"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Total proteins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3A55A4B4"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416.18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029C674F" w14:textId="001319F1"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0.647</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4533F3F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7523931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50349E58"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4680A288"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4FE81A0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Albumin on 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163BDB49"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416.83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11583758"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0.000</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004FEAD0"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14EFD7C0"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6597E78F"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0DAB63A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031AC6E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Albumin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354C449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416.83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49F0E838"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0.000</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3A098B2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1B2B423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496638BE"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0F9B3FE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6</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51EF4A6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ALP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6406F25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416.78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798BDD07" w14:textId="0B04038E"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0.047</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05AB453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168A0ECB"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7271F169"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719BB74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7</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7DD3DC7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AST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43BE873E"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416.74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7F573BA6" w14:textId="5BE137A7"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0.095</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50983F3F"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7BBF3C1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74A09D3E"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18473113"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8</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7E3256F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ALT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6C3FB40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416.12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62EB1AAE" w14:textId="0E4EE554"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0.709</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706B7BD2"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667A15BB"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07E90C52"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50BD4C75"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9</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092B04F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Total bilirubin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52693C42"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416.21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2A399E59" w14:textId="08414AB6"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0.618</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7F7C8529"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670D6503"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35718F0F"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128A4C4E"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5E9E0DBF"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CrCL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7082482D"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416.71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5117E6D9" w14:textId="01365AA0"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0.120</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1D000074"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241E3204"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3EA9E23E"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6089F07D"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lastRenderedPageBreak/>
              <w:t>11*</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26DBD489"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BMI on 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5A755F8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399.40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63DF0DD1" w14:textId="764E7D3F"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17.433</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7F21FF36"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5648B739"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2A100920"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16594AE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12</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7A9A51DB"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BMI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0D4340A3"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412.04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68136D47" w14:textId="60102430"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4.789</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4C54223F"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52B2A27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1B285F78"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443ACC31"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13</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1EB85D2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BSA on 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21DA637B"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407.84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52273602" w14:textId="214135F0"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8.989</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454FB9C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1E96D2F9"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65C03A62"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76E33D3B"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14</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06B0FAF2"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BSA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4E97C8C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413.26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2FFED409" w14:textId="0226F621"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3.575</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5E193143"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0783C8EF"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1D1A5C7B"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1A8CBF55"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15</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2494F1C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GFR on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010C273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412.32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4A499DEF" w14:textId="0DEFD5C3"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4.515</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053CA6B5"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02D41445"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3FDB63C8"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175AA41E"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16</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0B56DDAE"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BMI on K</w:t>
            </w:r>
            <w:r w:rsidRPr="006160DA">
              <w:rPr>
                <w:rFonts w:ascii="Times New Roman" w:eastAsia="TimesNewRoman" w:hAnsi="Times New Roman" w:cs="Times New Roman"/>
                <w:szCs w:val="20"/>
                <w:vertAlign w:val="subscript"/>
              </w:rPr>
              <w:t>a1</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1E831A54"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413.77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2695D23F" w14:textId="1DE279FF"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3.061</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5CAF8A89"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556286D4"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6B2B0C99"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5E8FD7A8"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17</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4F51265E"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BSA on K</w:t>
            </w:r>
            <w:r w:rsidRPr="006160DA">
              <w:rPr>
                <w:rFonts w:ascii="Times New Roman" w:eastAsia="TimesNewRoman" w:hAnsi="Times New Roman" w:cs="Times New Roman"/>
                <w:szCs w:val="20"/>
                <w:vertAlign w:val="subscript"/>
              </w:rPr>
              <w:t>a1</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7739B1E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413.72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7B6B9966" w14:textId="2F4DA083"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3.107</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69E8E932"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Base model</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274708D8"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r>
      <w:tr w:rsidR="00BA3755" w:rsidRPr="006160DA" w14:paraId="73DEA862" w14:textId="77777777" w:rsidTr="001A5812">
        <w:trPr>
          <w:trHeight w:val="238"/>
        </w:trPr>
        <w:tc>
          <w:tcPr>
            <w:tcW w:w="441" w:type="pct"/>
            <w:tcBorders>
              <w:top w:val="nil"/>
              <w:left w:val="nil"/>
              <w:bottom w:val="nil"/>
              <w:right w:val="nil"/>
            </w:tcBorders>
            <w:shd w:val="clear" w:color="auto" w:fill="auto"/>
            <w:tcMar>
              <w:top w:w="10" w:type="dxa"/>
              <w:left w:w="10" w:type="dxa"/>
              <w:bottom w:w="0" w:type="dxa"/>
              <w:right w:w="10" w:type="dxa"/>
            </w:tcMar>
            <w:hideMark/>
          </w:tcPr>
          <w:p w14:paraId="6D8F4A62"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w:t>
            </w:r>
          </w:p>
        </w:tc>
        <w:tc>
          <w:tcPr>
            <w:tcW w:w="1829" w:type="pct"/>
            <w:tcBorders>
              <w:top w:val="nil"/>
              <w:left w:val="nil"/>
              <w:bottom w:val="nil"/>
              <w:right w:val="nil"/>
            </w:tcBorders>
            <w:shd w:val="clear" w:color="auto" w:fill="auto"/>
            <w:tcMar>
              <w:top w:w="10" w:type="dxa"/>
              <w:left w:w="10" w:type="dxa"/>
              <w:bottom w:w="0" w:type="dxa"/>
              <w:right w:w="10" w:type="dxa"/>
            </w:tcMar>
            <w:hideMark/>
          </w:tcPr>
          <w:p w14:paraId="2D2574BC"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fi-FI"/>
              </w:rPr>
              <w:t xml:space="preserve">BMI, BSA on </w:t>
            </w:r>
            <w:r w:rsidRPr="006160DA">
              <w:rPr>
                <w:rFonts w:ascii="Times New Roman" w:eastAsia="TimesNewRoman" w:hAnsi="Times New Roman" w:cs="Times New Roman"/>
                <w:szCs w:val="20"/>
              </w:rPr>
              <w:t>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lang w:val="fi-FI"/>
              </w:rPr>
              <w:t>/F</w:t>
            </w:r>
          </w:p>
        </w:tc>
        <w:tc>
          <w:tcPr>
            <w:tcW w:w="746" w:type="pct"/>
            <w:tcBorders>
              <w:top w:val="nil"/>
              <w:left w:val="nil"/>
              <w:bottom w:val="nil"/>
              <w:right w:val="nil"/>
            </w:tcBorders>
            <w:shd w:val="clear" w:color="auto" w:fill="auto"/>
            <w:tcMar>
              <w:top w:w="10" w:type="dxa"/>
              <w:left w:w="10" w:type="dxa"/>
              <w:bottom w:w="0" w:type="dxa"/>
              <w:right w:w="10" w:type="dxa"/>
            </w:tcMar>
            <w:hideMark/>
          </w:tcPr>
          <w:p w14:paraId="10FC0FC4"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399.30 </w:t>
            </w:r>
          </w:p>
        </w:tc>
        <w:tc>
          <w:tcPr>
            <w:tcW w:w="622" w:type="pct"/>
            <w:tcBorders>
              <w:top w:val="nil"/>
              <w:left w:val="nil"/>
              <w:bottom w:val="nil"/>
              <w:right w:val="nil"/>
            </w:tcBorders>
            <w:shd w:val="clear" w:color="auto" w:fill="auto"/>
            <w:tcMar>
              <w:top w:w="10" w:type="dxa"/>
              <w:left w:w="10" w:type="dxa"/>
              <w:bottom w:w="0" w:type="dxa"/>
              <w:right w:w="10" w:type="dxa"/>
            </w:tcMar>
            <w:hideMark/>
          </w:tcPr>
          <w:p w14:paraId="30F57FE9" w14:textId="1BC5B68F"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0.097</w:t>
            </w:r>
          </w:p>
        </w:tc>
        <w:tc>
          <w:tcPr>
            <w:tcW w:w="725" w:type="pct"/>
            <w:tcBorders>
              <w:top w:val="nil"/>
              <w:left w:val="nil"/>
              <w:bottom w:val="nil"/>
              <w:right w:val="nil"/>
            </w:tcBorders>
            <w:shd w:val="clear" w:color="auto" w:fill="auto"/>
            <w:tcMar>
              <w:top w:w="10" w:type="dxa"/>
              <w:left w:w="10" w:type="dxa"/>
              <w:bottom w:w="0" w:type="dxa"/>
              <w:right w:w="10" w:type="dxa"/>
            </w:tcMar>
            <w:hideMark/>
          </w:tcPr>
          <w:p w14:paraId="5538DFD7"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Model 11</w:t>
            </w:r>
          </w:p>
        </w:tc>
        <w:tc>
          <w:tcPr>
            <w:tcW w:w="637" w:type="pct"/>
            <w:tcBorders>
              <w:top w:val="nil"/>
              <w:left w:val="nil"/>
              <w:bottom w:val="nil"/>
              <w:right w:val="nil"/>
            </w:tcBorders>
            <w:shd w:val="clear" w:color="auto" w:fill="auto"/>
            <w:tcMar>
              <w:top w:w="10" w:type="dxa"/>
              <w:left w:w="10" w:type="dxa"/>
              <w:bottom w:w="0" w:type="dxa"/>
              <w:right w:w="10" w:type="dxa"/>
            </w:tcMar>
            <w:hideMark/>
          </w:tcPr>
          <w:p w14:paraId="01F01EE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19</w:t>
            </w:r>
          </w:p>
        </w:tc>
      </w:tr>
      <w:tr w:rsidR="00BA3755" w:rsidRPr="006160DA" w14:paraId="1127C2A9" w14:textId="77777777" w:rsidTr="001A5812">
        <w:trPr>
          <w:trHeight w:val="128"/>
        </w:trPr>
        <w:tc>
          <w:tcPr>
            <w:tcW w:w="441" w:type="pct"/>
            <w:tcBorders>
              <w:top w:val="nil"/>
              <w:left w:val="nil"/>
              <w:bottom w:val="single" w:sz="8" w:space="0" w:color="000000"/>
              <w:right w:val="nil"/>
            </w:tcBorders>
            <w:shd w:val="clear" w:color="auto" w:fill="auto"/>
            <w:tcMar>
              <w:top w:w="10" w:type="dxa"/>
              <w:left w:w="10" w:type="dxa"/>
              <w:bottom w:w="0" w:type="dxa"/>
              <w:right w:w="10" w:type="dxa"/>
            </w:tcMar>
            <w:hideMark/>
          </w:tcPr>
          <w:p w14:paraId="3FEEAC58"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19</w:t>
            </w:r>
          </w:p>
        </w:tc>
        <w:tc>
          <w:tcPr>
            <w:tcW w:w="1829" w:type="pct"/>
            <w:tcBorders>
              <w:top w:val="nil"/>
              <w:left w:val="nil"/>
              <w:bottom w:val="single" w:sz="8" w:space="0" w:color="000000"/>
              <w:right w:val="nil"/>
            </w:tcBorders>
            <w:shd w:val="clear" w:color="auto" w:fill="auto"/>
            <w:tcMar>
              <w:top w:w="10" w:type="dxa"/>
              <w:left w:w="10" w:type="dxa"/>
              <w:bottom w:w="0" w:type="dxa"/>
              <w:right w:w="10" w:type="dxa"/>
            </w:tcMar>
            <w:hideMark/>
          </w:tcPr>
          <w:p w14:paraId="4256765F"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fi-FI"/>
              </w:rPr>
              <w:t xml:space="preserve">BMI on </w:t>
            </w:r>
            <w:r w:rsidRPr="006160DA">
              <w:rPr>
                <w:rFonts w:ascii="Times New Roman" w:eastAsia="TimesNewRoman" w:hAnsi="Times New Roman" w:cs="Times New Roman"/>
                <w:szCs w:val="20"/>
              </w:rPr>
              <w:t>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lang w:val="fi-FI"/>
              </w:rPr>
              <w:t xml:space="preserve">/F, GFR on </w:t>
            </w:r>
            <w:r w:rsidRPr="006160DA">
              <w:rPr>
                <w:rFonts w:ascii="Times New Roman" w:eastAsia="TimesNewRoman" w:hAnsi="Times New Roman" w:cs="Times New Roman"/>
                <w:szCs w:val="20"/>
              </w:rPr>
              <w:t>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lang w:val="fi-FI"/>
              </w:rPr>
              <w:t>/F</w:t>
            </w:r>
          </w:p>
        </w:tc>
        <w:tc>
          <w:tcPr>
            <w:tcW w:w="746" w:type="pct"/>
            <w:tcBorders>
              <w:top w:val="nil"/>
              <w:left w:val="nil"/>
              <w:bottom w:val="single" w:sz="8" w:space="0" w:color="000000"/>
              <w:right w:val="nil"/>
            </w:tcBorders>
            <w:shd w:val="clear" w:color="auto" w:fill="auto"/>
            <w:tcMar>
              <w:top w:w="10" w:type="dxa"/>
              <w:left w:w="10" w:type="dxa"/>
              <w:bottom w:w="0" w:type="dxa"/>
              <w:right w:w="10" w:type="dxa"/>
            </w:tcMar>
            <w:hideMark/>
          </w:tcPr>
          <w:p w14:paraId="0A080284"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395.35 </w:t>
            </w:r>
          </w:p>
        </w:tc>
        <w:tc>
          <w:tcPr>
            <w:tcW w:w="622" w:type="pct"/>
            <w:tcBorders>
              <w:top w:val="nil"/>
              <w:left w:val="nil"/>
              <w:bottom w:val="single" w:sz="8" w:space="0" w:color="000000"/>
              <w:right w:val="nil"/>
            </w:tcBorders>
            <w:shd w:val="clear" w:color="auto" w:fill="auto"/>
            <w:tcMar>
              <w:top w:w="10" w:type="dxa"/>
              <w:left w:w="10" w:type="dxa"/>
              <w:bottom w:w="0" w:type="dxa"/>
              <w:right w:w="10" w:type="dxa"/>
            </w:tcMar>
            <w:hideMark/>
          </w:tcPr>
          <w:p w14:paraId="705539EC" w14:textId="1026FFD9" w:rsidR="007F7AC1" w:rsidRPr="006160DA" w:rsidRDefault="001A5812"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w:t>
            </w:r>
            <w:r w:rsidR="007F7AC1" w:rsidRPr="006160DA">
              <w:rPr>
                <w:rFonts w:ascii="Times New Roman" w:eastAsia="TimesNewRoman" w:hAnsi="Times New Roman" w:cs="Times New Roman"/>
                <w:szCs w:val="20"/>
              </w:rPr>
              <w:t>4.051</w:t>
            </w:r>
          </w:p>
        </w:tc>
        <w:tc>
          <w:tcPr>
            <w:tcW w:w="725" w:type="pct"/>
            <w:tcBorders>
              <w:top w:val="nil"/>
              <w:left w:val="nil"/>
              <w:bottom w:val="single" w:sz="8" w:space="0" w:color="000000"/>
              <w:right w:val="nil"/>
            </w:tcBorders>
            <w:shd w:val="clear" w:color="auto" w:fill="auto"/>
            <w:tcMar>
              <w:top w:w="10" w:type="dxa"/>
              <w:left w:w="10" w:type="dxa"/>
              <w:bottom w:w="0" w:type="dxa"/>
              <w:right w:w="10" w:type="dxa"/>
            </w:tcMar>
            <w:hideMark/>
          </w:tcPr>
          <w:p w14:paraId="109C06E0"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Model 11</w:t>
            </w:r>
          </w:p>
        </w:tc>
        <w:tc>
          <w:tcPr>
            <w:tcW w:w="637" w:type="pct"/>
            <w:tcBorders>
              <w:top w:val="nil"/>
              <w:left w:val="nil"/>
              <w:bottom w:val="single" w:sz="8" w:space="0" w:color="000000"/>
              <w:right w:val="nil"/>
            </w:tcBorders>
            <w:shd w:val="clear" w:color="auto" w:fill="auto"/>
            <w:tcMar>
              <w:top w:w="10" w:type="dxa"/>
              <w:left w:w="10" w:type="dxa"/>
              <w:bottom w:w="0" w:type="dxa"/>
              <w:right w:w="10" w:type="dxa"/>
            </w:tcMar>
            <w:hideMark/>
          </w:tcPr>
          <w:p w14:paraId="4CC087D5"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19</w:t>
            </w:r>
          </w:p>
        </w:tc>
      </w:tr>
    </w:tbl>
    <w:p w14:paraId="4298E7EA" w14:textId="77777777"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vertAlign w:val="superscript"/>
        </w:rPr>
        <w:t>a</w:t>
      </w:r>
      <w:r w:rsidRPr="006160DA">
        <w:rPr>
          <w:rFonts w:ascii="Times New Roman" w:eastAsia="TimesNewRoman" w:hAnsi="Times New Roman" w:cs="Times New Roman"/>
          <w:szCs w:val="20"/>
        </w:rPr>
        <w:t xml:space="preserve"> nParameter meant the total number of parameters applied to the model.</w:t>
      </w:r>
    </w:p>
    <w:p w14:paraId="7F05C416" w14:textId="7C5AF73C"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vertAlign w:val="superscript"/>
        </w:rPr>
        <w:t>b</w:t>
      </w:r>
      <w:r w:rsidRPr="006160DA">
        <w:rPr>
          <w:rFonts w:ascii="Times New Roman" w:eastAsia="TimesNewRoman" w:hAnsi="Times New Roman" w:cs="Times New Roman"/>
          <w:szCs w:val="20"/>
        </w:rPr>
        <w:t xml:space="preserve"> Base model: 2-compartment disposition, 5 sequential first-order </w:t>
      </w:r>
      <w:r w:rsidR="008F6798" w:rsidRPr="006160DA">
        <w:rPr>
          <w:rFonts w:ascii="Times New Roman" w:eastAsia="TimesNewRoman" w:hAnsi="Times New Roman" w:cs="Times New Roman"/>
          <w:szCs w:val="20"/>
        </w:rPr>
        <w:t>absorptions</w:t>
      </w:r>
      <w:r w:rsidRPr="006160DA">
        <w:rPr>
          <w:rFonts w:ascii="Times New Roman" w:eastAsia="TimesNewRoman" w:hAnsi="Times New Roman" w:cs="Times New Roman"/>
          <w:szCs w:val="20"/>
        </w:rPr>
        <w:t xml:space="preserve"> without lag-time, log additive residual error, </w:t>
      </w:r>
      <w:r w:rsidR="008F6798" w:rsidRPr="006160DA">
        <w:rPr>
          <w:rFonts w:ascii="Times New Roman" w:eastAsia="TimesNewRoman" w:hAnsi="Times New Roman" w:cs="Times New Roman"/>
          <w:szCs w:val="20"/>
        </w:rPr>
        <w:t xml:space="preserve">with </w:t>
      </w:r>
      <w:r w:rsidRPr="006160DA">
        <w:rPr>
          <w:rFonts w:ascii="Times New Roman" w:eastAsia="TimesNewRoman" w:hAnsi="Times New Roman" w:cs="Times New Roman"/>
          <w:szCs w:val="20"/>
        </w:rPr>
        <w:t>no consideration of interindividual variability in V</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(distribution volume of the central compartment) and CL</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(clearance from the central compartment).</w:t>
      </w:r>
    </w:p>
    <w:p w14:paraId="1B407628" w14:textId="48CBA6A4" w:rsidR="007F7AC1"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 </w:t>
      </w:r>
      <w:proofErr w:type="gramStart"/>
      <w:r w:rsidR="008F6798" w:rsidRPr="006160DA">
        <w:rPr>
          <w:rFonts w:ascii="Times New Roman" w:eastAsia="TimesNewRoman" w:hAnsi="Times New Roman" w:cs="Times New Roman"/>
          <w:szCs w:val="20"/>
        </w:rPr>
        <w:t>represents</w:t>
      </w:r>
      <w:proofErr w:type="gramEnd"/>
      <w:r w:rsidR="008F6798" w:rsidRPr="006160DA">
        <w:rPr>
          <w:rFonts w:ascii="Times New Roman" w:eastAsia="TimesNewRoman" w:hAnsi="Times New Roman" w:cs="Times New Roman"/>
          <w:szCs w:val="20"/>
        </w:rPr>
        <w:t xml:space="preserve"> </w:t>
      </w:r>
      <w:r w:rsidRPr="006160DA">
        <w:rPr>
          <w:rFonts w:ascii="Times New Roman" w:eastAsia="TimesNewRoman" w:hAnsi="Times New Roman" w:cs="Times New Roman"/>
          <w:szCs w:val="20"/>
        </w:rPr>
        <w:t>the finally selected model.</w:t>
      </w:r>
    </w:p>
    <w:p w14:paraId="70DDB158" w14:textId="3122E39D" w:rsidR="00A62BF6" w:rsidRPr="006160DA" w:rsidRDefault="007F7AC1"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OFV, objective function value; ALP, alkaline phosphatase; AST, aspartate transaminase; ALT, alanine transaminase; CrCL, creatinine clearance; BMI, body mass index; </w:t>
      </w:r>
      <w:r w:rsidRPr="006160DA">
        <w:rPr>
          <w:rFonts w:ascii="Times New Roman" w:eastAsia="TimesNewRoman" w:hAnsi="Times New Roman" w:cs="Times New Roman"/>
          <w:szCs w:val="20"/>
        </w:rPr>
        <w:lastRenderedPageBreak/>
        <w:t>BSA, body surface area; GFR, glomerular filtration rate; 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 distribution volume of the peripheral compartment;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 movement rate between the central and peripheral compartments; K</w:t>
      </w:r>
      <w:r w:rsidRPr="006160DA">
        <w:rPr>
          <w:rFonts w:ascii="Times New Roman" w:eastAsia="TimesNewRoman" w:hAnsi="Times New Roman" w:cs="Times New Roman"/>
          <w:szCs w:val="20"/>
          <w:vertAlign w:val="subscript"/>
        </w:rPr>
        <w:t>a</w:t>
      </w:r>
      <w:r w:rsidRPr="006160DA">
        <w:rPr>
          <w:rFonts w:ascii="Times New Roman" w:eastAsia="TimesNewRoman" w:hAnsi="Times New Roman" w:cs="Times New Roman"/>
          <w:szCs w:val="20"/>
        </w:rPr>
        <w:t>, absorption rate constant from morniflumate dosing depot to depot 2.</w:t>
      </w:r>
    </w:p>
    <w:p w14:paraId="72414591" w14:textId="678FCE5E" w:rsidR="00A62BF6" w:rsidRPr="006160DA" w:rsidRDefault="00A62BF6" w:rsidP="006160DA">
      <w:pPr>
        <w:spacing w:line="480" w:lineRule="auto"/>
        <w:ind w:firstLineChars="50" w:firstLine="100"/>
        <w:rPr>
          <w:rFonts w:ascii="Times New Roman" w:eastAsia="TimesNewRoman" w:hAnsi="Times New Roman" w:cs="Times New Roman"/>
          <w:szCs w:val="20"/>
        </w:rPr>
        <w:sectPr w:rsidR="00A62BF6" w:rsidRPr="006160DA" w:rsidSect="008B0A42">
          <w:pgSz w:w="16838" w:h="11906" w:orient="landscape"/>
          <w:pgMar w:top="1440" w:right="1701" w:bottom="1440" w:left="1440" w:header="851" w:footer="992" w:gutter="0"/>
          <w:lnNumType w:countBy="1" w:restart="continuous"/>
          <w:cols w:space="425"/>
          <w:docGrid w:linePitch="360"/>
        </w:sectPr>
      </w:pPr>
    </w:p>
    <w:p w14:paraId="6BB293CB" w14:textId="77777777" w:rsidR="000A675E" w:rsidRPr="006160DA" w:rsidRDefault="000B7BE3"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lastRenderedPageBreak/>
        <w:t>Table S</w:t>
      </w:r>
      <w:r w:rsidR="00FF62F0" w:rsidRPr="006160DA">
        <w:rPr>
          <w:rFonts w:ascii="Times New Roman" w:eastAsia="TimesNewRoman" w:hAnsi="Times New Roman" w:cs="Times New Roman"/>
          <w:b/>
          <w:bCs/>
          <w:szCs w:val="20"/>
        </w:rPr>
        <w:t>5</w:t>
      </w:r>
      <w:r w:rsidRPr="006160DA">
        <w:rPr>
          <w:rFonts w:ascii="Times New Roman" w:eastAsia="TimesNewRoman" w:hAnsi="Times New Roman" w:cs="Times New Roman"/>
          <w:szCs w:val="20"/>
        </w:rPr>
        <w:t xml:space="preserve">. </w:t>
      </w:r>
      <w:r w:rsidR="000A675E" w:rsidRPr="006160DA">
        <w:rPr>
          <w:rFonts w:ascii="Times New Roman" w:eastAsia="TimesNewRoman" w:hAnsi="Times New Roman" w:cs="Times New Roman"/>
          <w:szCs w:val="20"/>
        </w:rPr>
        <w:t>Bootstrap results of the finally established population pharmacokinetic model for morniflumate</w:t>
      </w:r>
      <w:r w:rsidR="00110B70" w:rsidRPr="006160DA">
        <w:rPr>
          <w:rFonts w:ascii="Times New Roman" w:eastAsia="TimesNewRoman" w:hAnsi="Times New Roman" w:cs="Times New Roman"/>
          <w:szCs w:val="20"/>
        </w:rPr>
        <w:t>.</w:t>
      </w:r>
    </w:p>
    <w:tbl>
      <w:tblPr>
        <w:tblW w:w="5000" w:type="pct"/>
        <w:tblCellMar>
          <w:left w:w="0" w:type="dxa"/>
          <w:right w:w="0" w:type="dxa"/>
        </w:tblCellMar>
        <w:tblLook w:val="0600" w:firstRow="0" w:lastRow="0" w:firstColumn="0" w:lastColumn="0" w:noHBand="1" w:noVBand="1"/>
      </w:tblPr>
      <w:tblGrid>
        <w:gridCol w:w="3139"/>
        <w:gridCol w:w="2641"/>
        <w:gridCol w:w="2641"/>
        <w:gridCol w:w="2641"/>
        <w:gridCol w:w="2635"/>
      </w:tblGrid>
      <w:tr w:rsidR="00BA3755" w:rsidRPr="006160DA" w14:paraId="734BB7C6" w14:textId="77777777" w:rsidTr="000A675E">
        <w:trPr>
          <w:trHeight w:val="358"/>
        </w:trPr>
        <w:tc>
          <w:tcPr>
            <w:tcW w:w="1146" w:type="pct"/>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3CDCD14D"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Parameter</w:t>
            </w:r>
          </w:p>
        </w:tc>
        <w:tc>
          <w:tcPr>
            <w:tcW w:w="1927"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7E5648DE"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Final model</w:t>
            </w:r>
          </w:p>
        </w:tc>
        <w:tc>
          <w:tcPr>
            <w:tcW w:w="1927"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4F365AF1"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Bootstrap (</w:t>
            </w:r>
            <w:r w:rsidRPr="006160DA">
              <w:rPr>
                <w:rFonts w:ascii="Times New Roman" w:eastAsia="TimesNewRoman" w:hAnsi="Times New Roman" w:cs="Times New Roman"/>
                <w:b/>
                <w:bCs/>
                <w:i/>
                <w:iCs/>
                <w:szCs w:val="20"/>
              </w:rPr>
              <w:t>n</w:t>
            </w:r>
            <w:r w:rsidRPr="006160DA">
              <w:rPr>
                <w:rFonts w:ascii="Times New Roman" w:eastAsia="TimesNewRoman" w:hAnsi="Times New Roman" w:cs="Times New Roman"/>
                <w:b/>
                <w:bCs/>
                <w:szCs w:val="20"/>
              </w:rPr>
              <w:t xml:space="preserve"> = 1000)</w:t>
            </w:r>
          </w:p>
        </w:tc>
      </w:tr>
      <w:tr w:rsidR="00BA3755" w:rsidRPr="006160DA" w14:paraId="75A07F46" w14:textId="77777777" w:rsidTr="000A675E">
        <w:trPr>
          <w:trHeight w:val="368"/>
        </w:trPr>
        <w:tc>
          <w:tcPr>
            <w:tcW w:w="1146" w:type="pct"/>
            <w:vMerge/>
            <w:tcBorders>
              <w:top w:val="single" w:sz="8" w:space="0" w:color="000000"/>
              <w:left w:val="nil"/>
              <w:bottom w:val="single" w:sz="8" w:space="0" w:color="000000"/>
              <w:right w:val="nil"/>
            </w:tcBorders>
            <w:hideMark/>
          </w:tcPr>
          <w:p w14:paraId="3AD61A2C" w14:textId="77777777" w:rsidR="000A675E" w:rsidRPr="006160DA" w:rsidRDefault="000A675E" w:rsidP="006160DA">
            <w:pPr>
              <w:spacing w:line="480" w:lineRule="auto"/>
              <w:rPr>
                <w:rFonts w:ascii="Times New Roman" w:eastAsia="TimesNewRoman" w:hAnsi="Times New Roman" w:cs="Times New Roman"/>
                <w:szCs w:val="20"/>
              </w:rPr>
            </w:pPr>
          </w:p>
        </w:tc>
        <w:tc>
          <w:tcPr>
            <w:tcW w:w="964"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42B6CB8C"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Estimate</w:t>
            </w:r>
          </w:p>
        </w:tc>
        <w:tc>
          <w:tcPr>
            <w:tcW w:w="964"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79AB9139"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95% confidence interval</w:t>
            </w:r>
          </w:p>
        </w:tc>
        <w:tc>
          <w:tcPr>
            <w:tcW w:w="964"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45EF2FF8"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Median</w:t>
            </w:r>
          </w:p>
        </w:tc>
        <w:tc>
          <w:tcPr>
            <w:tcW w:w="964"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hideMark/>
          </w:tcPr>
          <w:p w14:paraId="0410051B"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95% confidence interval</w:t>
            </w:r>
          </w:p>
        </w:tc>
      </w:tr>
      <w:tr w:rsidR="00BA3755" w:rsidRPr="006160DA" w14:paraId="22E6C38E" w14:textId="77777777" w:rsidTr="000A675E">
        <w:trPr>
          <w:trHeight w:val="358"/>
        </w:trPr>
        <w:tc>
          <w:tcPr>
            <w:tcW w:w="1146" w:type="pct"/>
            <w:tcBorders>
              <w:top w:val="single" w:sz="8" w:space="0" w:color="000000"/>
              <w:left w:val="nil"/>
              <w:bottom w:val="nil"/>
              <w:right w:val="nil"/>
            </w:tcBorders>
            <w:shd w:val="clear" w:color="auto" w:fill="auto"/>
            <w:tcMar>
              <w:top w:w="10" w:type="dxa"/>
              <w:left w:w="10" w:type="dxa"/>
              <w:bottom w:w="0" w:type="dxa"/>
              <w:right w:w="10" w:type="dxa"/>
            </w:tcMar>
            <w:hideMark/>
          </w:tcPr>
          <w:p w14:paraId="293F8F8D"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tvV</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(L)</w:t>
            </w:r>
          </w:p>
        </w:tc>
        <w:tc>
          <w:tcPr>
            <w:tcW w:w="964" w:type="pct"/>
            <w:tcBorders>
              <w:top w:val="single" w:sz="8" w:space="0" w:color="000000"/>
              <w:left w:val="nil"/>
              <w:bottom w:val="nil"/>
              <w:right w:val="nil"/>
            </w:tcBorders>
            <w:shd w:val="clear" w:color="auto" w:fill="auto"/>
            <w:tcMar>
              <w:top w:w="10" w:type="dxa"/>
              <w:left w:w="10" w:type="dxa"/>
              <w:bottom w:w="0" w:type="dxa"/>
              <w:right w:w="10" w:type="dxa"/>
            </w:tcMar>
            <w:hideMark/>
          </w:tcPr>
          <w:p w14:paraId="0672D617"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110.88</w:t>
            </w:r>
          </w:p>
        </w:tc>
        <w:tc>
          <w:tcPr>
            <w:tcW w:w="964" w:type="pct"/>
            <w:tcBorders>
              <w:top w:val="single" w:sz="8" w:space="0" w:color="000000"/>
              <w:left w:val="nil"/>
              <w:bottom w:val="nil"/>
              <w:right w:val="nil"/>
            </w:tcBorders>
            <w:shd w:val="clear" w:color="auto" w:fill="auto"/>
            <w:tcMar>
              <w:top w:w="10" w:type="dxa"/>
              <w:left w:w="10" w:type="dxa"/>
              <w:bottom w:w="0" w:type="dxa"/>
              <w:right w:w="10" w:type="dxa"/>
            </w:tcMar>
            <w:hideMark/>
          </w:tcPr>
          <w:p w14:paraId="7E8BD6DD" w14:textId="6300366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57.81</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163.94</w:t>
            </w:r>
          </w:p>
        </w:tc>
        <w:tc>
          <w:tcPr>
            <w:tcW w:w="964" w:type="pct"/>
            <w:tcBorders>
              <w:top w:val="single" w:sz="8" w:space="0" w:color="000000"/>
              <w:left w:val="nil"/>
              <w:bottom w:val="nil"/>
              <w:right w:val="nil"/>
            </w:tcBorders>
            <w:shd w:val="clear" w:color="auto" w:fill="auto"/>
            <w:tcMar>
              <w:top w:w="10" w:type="dxa"/>
              <w:left w:w="10" w:type="dxa"/>
              <w:bottom w:w="0" w:type="dxa"/>
              <w:right w:w="10" w:type="dxa"/>
            </w:tcMar>
            <w:hideMark/>
          </w:tcPr>
          <w:p w14:paraId="55BEEA6C"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111.22 </w:t>
            </w:r>
          </w:p>
        </w:tc>
        <w:tc>
          <w:tcPr>
            <w:tcW w:w="964" w:type="pct"/>
            <w:tcBorders>
              <w:top w:val="single" w:sz="8" w:space="0" w:color="000000"/>
              <w:left w:val="nil"/>
              <w:bottom w:val="nil"/>
              <w:right w:val="nil"/>
            </w:tcBorders>
            <w:shd w:val="clear" w:color="auto" w:fill="auto"/>
            <w:tcMar>
              <w:top w:w="10" w:type="dxa"/>
              <w:left w:w="10" w:type="dxa"/>
              <w:bottom w:w="0" w:type="dxa"/>
              <w:right w:w="10" w:type="dxa"/>
            </w:tcMar>
            <w:hideMark/>
          </w:tcPr>
          <w:p w14:paraId="1834211B" w14:textId="1A33EAB5"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76.01</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196.56</w:t>
            </w:r>
          </w:p>
        </w:tc>
      </w:tr>
      <w:tr w:rsidR="00BA3755" w:rsidRPr="006160DA" w14:paraId="2E208A6F"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09E8E1A6"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tvCL</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(mL/h)</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6256696"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10.38</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23DD54B2" w14:textId="5F35E0AA"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5.00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15.70</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7D070016"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10.37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09B3A84" w14:textId="30798ACE"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4.26</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16.46</w:t>
            </w:r>
          </w:p>
        </w:tc>
      </w:tr>
      <w:tr w:rsidR="00BA3755" w:rsidRPr="006160DA" w14:paraId="06D231D0"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316B8BCF"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 (L)</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5DF429E"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10033.78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610B66A3" w14:textId="34609649"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8246.46</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11821.09</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D6D60BF"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10099.70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38253795" w14:textId="78722FA1"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8890.48</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11409.34</w:t>
            </w:r>
          </w:p>
        </w:tc>
      </w:tr>
      <w:tr w:rsidR="00BA3755" w:rsidRPr="006160DA" w14:paraId="3C0B1AB1"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48CDB481"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 (L/h)</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6929EB2"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378.36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1DEC060" w14:textId="68DAC930"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300.46</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456.25</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2986CEB6"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383.93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33B4D98F" w14:textId="2C65227C"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310.15</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457.83</w:t>
            </w:r>
          </w:p>
        </w:tc>
      </w:tr>
      <w:tr w:rsidR="00BA3755" w:rsidRPr="006160DA" w14:paraId="06F9F3A7"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110BC6AE"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tvK</w:t>
            </w:r>
            <w:r w:rsidRPr="006160DA">
              <w:rPr>
                <w:rFonts w:ascii="Times New Roman" w:eastAsia="TimesNewRoman" w:hAnsi="Times New Roman" w:cs="Times New Roman"/>
                <w:szCs w:val="20"/>
                <w:vertAlign w:val="subscript"/>
              </w:rPr>
              <w:t>a1</w:t>
            </w:r>
            <w:r w:rsidRPr="006160DA">
              <w:rPr>
                <w:rFonts w:ascii="Times New Roman" w:eastAsia="TimesNewRoman" w:hAnsi="Times New Roman" w:cs="Times New Roman"/>
                <w:szCs w:val="20"/>
              </w:rPr>
              <w:t xml:space="preserve"> (1/h)</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BD1B48A"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9.89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707D5DF" w14:textId="3EE8C60A"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3.84</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15.94</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2A48747"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10.72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CE6A2A3" w14:textId="0302430E"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5.52</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18.99</w:t>
            </w:r>
          </w:p>
        </w:tc>
      </w:tr>
      <w:tr w:rsidR="00BA3755" w:rsidRPr="006160DA" w14:paraId="0E45A4E3"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3E04F621"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tvK</w:t>
            </w:r>
            <w:r w:rsidRPr="006160DA">
              <w:rPr>
                <w:rFonts w:ascii="Times New Roman" w:eastAsia="TimesNewRoman" w:hAnsi="Times New Roman" w:cs="Times New Roman"/>
                <w:szCs w:val="20"/>
                <w:vertAlign w:val="subscript"/>
              </w:rPr>
              <w:t>a2</w:t>
            </w:r>
            <w:r w:rsidRPr="006160DA">
              <w:rPr>
                <w:rFonts w:ascii="Times New Roman" w:eastAsia="TimesNewRoman" w:hAnsi="Times New Roman" w:cs="Times New Roman"/>
                <w:szCs w:val="20"/>
              </w:rPr>
              <w:t xml:space="preserve"> (1/h)</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F632D1F"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22.79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7AC6F5FE" w14:textId="08D32643"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16.90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28.69</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3DD81B84"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21.44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26A475BD" w14:textId="276F9855"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12.24</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44.32</w:t>
            </w:r>
          </w:p>
        </w:tc>
      </w:tr>
      <w:tr w:rsidR="00BA3755" w:rsidRPr="006160DA" w14:paraId="06C6A7FD"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20D3480C"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tvK</w:t>
            </w:r>
            <w:r w:rsidRPr="006160DA">
              <w:rPr>
                <w:rFonts w:ascii="Times New Roman" w:eastAsia="TimesNewRoman" w:hAnsi="Times New Roman" w:cs="Times New Roman"/>
                <w:szCs w:val="20"/>
                <w:vertAlign w:val="subscript"/>
              </w:rPr>
              <w:t>a3</w:t>
            </w:r>
            <w:r w:rsidRPr="006160DA">
              <w:rPr>
                <w:rFonts w:ascii="Times New Roman" w:eastAsia="TimesNewRoman" w:hAnsi="Times New Roman" w:cs="Times New Roman"/>
                <w:szCs w:val="20"/>
              </w:rPr>
              <w:t xml:space="preserve"> (1/h)</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647FB4F2"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23.71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24D97C9" w14:textId="7F33C3FE"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18.14</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29.27</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5C4B4C3"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22.76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26578644" w14:textId="7FF2D108"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12.38</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49.08</w:t>
            </w:r>
          </w:p>
        </w:tc>
      </w:tr>
      <w:tr w:rsidR="00BA3755" w:rsidRPr="006160DA" w14:paraId="2E7EDB6D"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0E273AC1"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tvK</w:t>
            </w:r>
            <w:r w:rsidRPr="006160DA">
              <w:rPr>
                <w:rFonts w:ascii="Times New Roman" w:eastAsia="TimesNewRoman" w:hAnsi="Times New Roman" w:cs="Times New Roman"/>
                <w:szCs w:val="20"/>
                <w:vertAlign w:val="subscript"/>
              </w:rPr>
              <w:t>a4</w:t>
            </w:r>
            <w:r w:rsidRPr="006160DA">
              <w:rPr>
                <w:rFonts w:ascii="Times New Roman" w:eastAsia="TimesNewRoman" w:hAnsi="Times New Roman" w:cs="Times New Roman"/>
                <w:szCs w:val="20"/>
              </w:rPr>
              <w:t xml:space="preserve"> (1/h)</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205A72D"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4.72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7DEB3180" w14:textId="214A1BC4"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2.38</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7.05</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2D6F8A1"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5.20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C0D1F84" w14:textId="3317EB6C"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2.97</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10.71</w:t>
            </w:r>
          </w:p>
        </w:tc>
      </w:tr>
      <w:tr w:rsidR="00BA3755" w:rsidRPr="006160DA" w14:paraId="58717CD6"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53B4C195"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tvK</w:t>
            </w:r>
            <w:r w:rsidRPr="006160DA">
              <w:rPr>
                <w:rFonts w:ascii="Times New Roman" w:eastAsia="TimesNewRoman" w:hAnsi="Times New Roman" w:cs="Times New Roman"/>
                <w:szCs w:val="20"/>
                <w:vertAlign w:val="subscript"/>
              </w:rPr>
              <w:t>a5</w:t>
            </w:r>
            <w:r w:rsidRPr="006160DA">
              <w:rPr>
                <w:rFonts w:ascii="Times New Roman" w:eastAsia="TimesNewRoman" w:hAnsi="Times New Roman" w:cs="Times New Roman"/>
                <w:szCs w:val="20"/>
              </w:rPr>
              <w:t xml:space="preserve"> (1/h)</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8735AED"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0.68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C742238" w14:textId="37AF5112"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0.54</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0.82</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6E519C4D"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0.69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BE62DA2" w14:textId="5BC5FA4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0.60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0.88</w:t>
            </w:r>
          </w:p>
        </w:tc>
      </w:tr>
      <w:tr w:rsidR="00BA3755" w:rsidRPr="006160DA" w14:paraId="78244104"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14CF078B"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dV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/FdBMI</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65612541"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2.37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ADF0C92" w14:textId="551F4E5B"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1.16</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3.58</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39F234B3"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2.47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BDC93F1" w14:textId="2D0DEDB9"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0.88</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3.38</w:t>
            </w:r>
          </w:p>
        </w:tc>
      </w:tr>
      <w:tr w:rsidR="00BA3755" w:rsidRPr="006160DA" w14:paraId="4380F234"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21DF26B3"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el-GR"/>
              </w:rPr>
              <w:lastRenderedPageBreak/>
              <w:t>ε</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8DC5867"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0.30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83823D0" w14:textId="0A65A4EE"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0.27</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0.34</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6CC2A579"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0.31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252F4AB" w14:textId="78750650"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0.27</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0.34</w:t>
            </w:r>
          </w:p>
        </w:tc>
      </w:tr>
      <w:tr w:rsidR="00BA3755" w:rsidRPr="006160DA" w14:paraId="7020C158"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44D88391"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el-GR"/>
              </w:rPr>
              <w:t>ω</w:t>
            </w:r>
            <w:r w:rsidRPr="006160DA">
              <w:rPr>
                <w:rFonts w:ascii="Times New Roman" w:eastAsia="TimesNewRoman" w:hAnsi="Times New Roman" w:cs="Times New Roman"/>
                <w:szCs w:val="20"/>
                <w:vertAlign w:val="superscript"/>
                <w:lang w:val="el-GR"/>
              </w:rPr>
              <w:t>2</w:t>
            </w:r>
            <w:r w:rsidRPr="006160DA">
              <w:rPr>
                <w:rFonts w:ascii="Times New Roman" w:eastAsia="TimesNewRoman" w:hAnsi="Times New Roman" w:cs="Times New Roman"/>
                <w:szCs w:val="20"/>
                <w:vertAlign w:val="subscript"/>
              </w:rPr>
              <w:t>Vp/F</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13C37E1"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0.01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3E388349" w14:textId="3C8032AF"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0.00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0.02</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9116B7A"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0.01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C54E6A2" w14:textId="1D2534B9"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0.01</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0.03</w:t>
            </w:r>
          </w:p>
        </w:tc>
      </w:tr>
      <w:tr w:rsidR="00BA3755" w:rsidRPr="006160DA" w14:paraId="38B8A55C"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33A64DC6"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el-GR"/>
              </w:rPr>
              <w:t>ω</w:t>
            </w:r>
            <w:r w:rsidRPr="006160DA">
              <w:rPr>
                <w:rFonts w:ascii="Times New Roman" w:eastAsia="TimesNewRoman" w:hAnsi="Times New Roman" w:cs="Times New Roman"/>
                <w:szCs w:val="20"/>
                <w:vertAlign w:val="superscript"/>
                <w:lang w:val="el-GR"/>
              </w:rPr>
              <w:t>2</w:t>
            </w:r>
            <w:r w:rsidRPr="006160DA">
              <w:rPr>
                <w:rFonts w:ascii="Times New Roman" w:eastAsia="TimesNewRoman" w:hAnsi="Times New Roman" w:cs="Times New Roman"/>
                <w:szCs w:val="20"/>
                <w:vertAlign w:val="subscript"/>
              </w:rPr>
              <w:t>CLp/F</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E0261B3"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0.35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C6ACF6C" w14:textId="37646C2F"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0.13</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0.58</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78A408F8"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0.37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7F90EC6" w14:textId="22970BC9"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0.13</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0.60</w:t>
            </w:r>
          </w:p>
        </w:tc>
      </w:tr>
      <w:tr w:rsidR="00BA3755" w:rsidRPr="006160DA" w14:paraId="28264220"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1EAC95B0"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el-GR"/>
              </w:rPr>
              <w:t>ω</w:t>
            </w:r>
            <w:r w:rsidRPr="006160DA">
              <w:rPr>
                <w:rFonts w:ascii="Times New Roman" w:eastAsia="TimesNewRoman" w:hAnsi="Times New Roman" w:cs="Times New Roman"/>
                <w:szCs w:val="20"/>
                <w:vertAlign w:val="superscript"/>
                <w:lang w:val="el-GR"/>
              </w:rPr>
              <w:t>2</w:t>
            </w:r>
            <w:r w:rsidRPr="006160DA">
              <w:rPr>
                <w:rFonts w:ascii="Times New Roman" w:eastAsia="TimesNewRoman" w:hAnsi="Times New Roman" w:cs="Times New Roman"/>
                <w:szCs w:val="20"/>
                <w:vertAlign w:val="subscript"/>
              </w:rPr>
              <w:t>Ka1</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DF73D8E"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0.00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71014866" w14:textId="17ABE72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0.00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0.00</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9436CC3"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0.00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AB04A7D" w14:textId="38CF816F"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0.00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0.00</w:t>
            </w:r>
          </w:p>
        </w:tc>
      </w:tr>
      <w:tr w:rsidR="00BA3755" w:rsidRPr="006160DA" w14:paraId="6C407FFC"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5EC39F9D"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el-GR"/>
              </w:rPr>
              <w:t>ω</w:t>
            </w:r>
            <w:r w:rsidRPr="006160DA">
              <w:rPr>
                <w:rFonts w:ascii="Times New Roman" w:eastAsia="TimesNewRoman" w:hAnsi="Times New Roman" w:cs="Times New Roman"/>
                <w:szCs w:val="20"/>
                <w:vertAlign w:val="superscript"/>
                <w:lang w:val="el-GR"/>
              </w:rPr>
              <w:t>2</w:t>
            </w:r>
            <w:r w:rsidRPr="006160DA">
              <w:rPr>
                <w:rFonts w:ascii="Times New Roman" w:eastAsia="TimesNewRoman" w:hAnsi="Times New Roman" w:cs="Times New Roman"/>
                <w:szCs w:val="20"/>
                <w:vertAlign w:val="subscript"/>
              </w:rPr>
              <w:t>Ka2</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1CF29A6"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0.86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37D7016" w14:textId="0BA556FE"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0.78</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0.93</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E41F155"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0.79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2D40E97" w14:textId="610715AE"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0.58</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0.99</w:t>
            </w:r>
          </w:p>
        </w:tc>
      </w:tr>
      <w:tr w:rsidR="00BA3755" w:rsidRPr="006160DA" w14:paraId="6FCE87D3"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017ACB2E"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el-GR"/>
              </w:rPr>
              <w:t>ω</w:t>
            </w:r>
            <w:r w:rsidRPr="006160DA">
              <w:rPr>
                <w:rFonts w:ascii="Times New Roman" w:eastAsia="TimesNewRoman" w:hAnsi="Times New Roman" w:cs="Times New Roman"/>
                <w:szCs w:val="20"/>
                <w:vertAlign w:val="superscript"/>
                <w:lang w:val="el-GR"/>
              </w:rPr>
              <w:t>2</w:t>
            </w:r>
            <w:r w:rsidRPr="006160DA">
              <w:rPr>
                <w:rFonts w:ascii="Times New Roman" w:eastAsia="TimesNewRoman" w:hAnsi="Times New Roman" w:cs="Times New Roman"/>
                <w:szCs w:val="20"/>
                <w:vertAlign w:val="subscript"/>
              </w:rPr>
              <w:t>Ka3</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5ED15516"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0.87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FBA21BC" w14:textId="67D79205"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0.80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0.94</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42ACE816"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0.84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7E507612" w14:textId="5409B38A"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0.73</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0.96</w:t>
            </w:r>
          </w:p>
        </w:tc>
      </w:tr>
      <w:tr w:rsidR="00BA3755" w:rsidRPr="006160DA" w14:paraId="574B0FCA" w14:textId="77777777" w:rsidTr="000A675E">
        <w:trPr>
          <w:trHeight w:val="358"/>
        </w:trPr>
        <w:tc>
          <w:tcPr>
            <w:tcW w:w="1146" w:type="pct"/>
            <w:tcBorders>
              <w:top w:val="nil"/>
              <w:left w:val="nil"/>
              <w:bottom w:val="nil"/>
              <w:right w:val="nil"/>
            </w:tcBorders>
            <w:shd w:val="clear" w:color="auto" w:fill="auto"/>
            <w:tcMar>
              <w:top w:w="10" w:type="dxa"/>
              <w:left w:w="10" w:type="dxa"/>
              <w:bottom w:w="0" w:type="dxa"/>
              <w:right w:w="10" w:type="dxa"/>
            </w:tcMar>
            <w:hideMark/>
          </w:tcPr>
          <w:p w14:paraId="613D8A15"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el-GR"/>
              </w:rPr>
              <w:t>ω</w:t>
            </w:r>
            <w:r w:rsidRPr="006160DA">
              <w:rPr>
                <w:rFonts w:ascii="Times New Roman" w:eastAsia="TimesNewRoman" w:hAnsi="Times New Roman" w:cs="Times New Roman"/>
                <w:szCs w:val="20"/>
                <w:vertAlign w:val="superscript"/>
                <w:lang w:val="el-GR"/>
              </w:rPr>
              <w:t>2</w:t>
            </w:r>
            <w:r w:rsidRPr="006160DA">
              <w:rPr>
                <w:rFonts w:ascii="Times New Roman" w:eastAsia="TimesNewRoman" w:hAnsi="Times New Roman" w:cs="Times New Roman"/>
                <w:szCs w:val="20"/>
                <w:vertAlign w:val="subscript"/>
              </w:rPr>
              <w:t>Ka4</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0E73F25"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0.92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126E170E" w14:textId="13399A4A"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0.30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1.55</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247738CC"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1.07 </w:t>
            </w:r>
          </w:p>
        </w:tc>
        <w:tc>
          <w:tcPr>
            <w:tcW w:w="964" w:type="pct"/>
            <w:tcBorders>
              <w:top w:val="nil"/>
              <w:left w:val="nil"/>
              <w:bottom w:val="nil"/>
              <w:right w:val="nil"/>
            </w:tcBorders>
            <w:shd w:val="clear" w:color="auto" w:fill="auto"/>
            <w:tcMar>
              <w:top w:w="10" w:type="dxa"/>
              <w:left w:w="10" w:type="dxa"/>
              <w:bottom w:w="0" w:type="dxa"/>
              <w:right w:w="10" w:type="dxa"/>
            </w:tcMar>
            <w:hideMark/>
          </w:tcPr>
          <w:p w14:paraId="0CCAB33E" w14:textId="23E0C49A"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0.29</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1.84</w:t>
            </w:r>
          </w:p>
        </w:tc>
      </w:tr>
      <w:tr w:rsidR="00BA3755" w:rsidRPr="006160DA" w14:paraId="7E2EEBC3" w14:textId="77777777" w:rsidTr="000A675E">
        <w:trPr>
          <w:trHeight w:val="411"/>
        </w:trPr>
        <w:tc>
          <w:tcPr>
            <w:tcW w:w="1146" w:type="pct"/>
            <w:tcBorders>
              <w:top w:val="nil"/>
              <w:left w:val="nil"/>
              <w:bottom w:val="single" w:sz="8" w:space="0" w:color="000000"/>
              <w:right w:val="nil"/>
            </w:tcBorders>
            <w:shd w:val="clear" w:color="auto" w:fill="auto"/>
            <w:tcMar>
              <w:top w:w="10" w:type="dxa"/>
              <w:left w:w="10" w:type="dxa"/>
              <w:bottom w:w="0" w:type="dxa"/>
              <w:right w:w="10" w:type="dxa"/>
            </w:tcMar>
            <w:hideMark/>
          </w:tcPr>
          <w:p w14:paraId="75A9900C"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lang w:val="el-GR"/>
              </w:rPr>
              <w:t>ω</w:t>
            </w:r>
            <w:r w:rsidRPr="006160DA">
              <w:rPr>
                <w:rFonts w:ascii="Times New Roman" w:eastAsia="TimesNewRoman" w:hAnsi="Times New Roman" w:cs="Times New Roman"/>
                <w:szCs w:val="20"/>
                <w:vertAlign w:val="superscript"/>
                <w:lang w:val="el-GR"/>
              </w:rPr>
              <w:t>2</w:t>
            </w:r>
            <w:r w:rsidRPr="006160DA">
              <w:rPr>
                <w:rFonts w:ascii="Times New Roman" w:eastAsia="TimesNewRoman" w:hAnsi="Times New Roman" w:cs="Times New Roman"/>
                <w:szCs w:val="20"/>
                <w:vertAlign w:val="subscript"/>
              </w:rPr>
              <w:t>Ka5</w:t>
            </w:r>
          </w:p>
        </w:tc>
        <w:tc>
          <w:tcPr>
            <w:tcW w:w="964" w:type="pct"/>
            <w:tcBorders>
              <w:top w:val="nil"/>
              <w:left w:val="nil"/>
              <w:bottom w:val="single" w:sz="8" w:space="0" w:color="000000"/>
              <w:right w:val="nil"/>
            </w:tcBorders>
            <w:shd w:val="clear" w:color="auto" w:fill="auto"/>
            <w:tcMar>
              <w:top w:w="10" w:type="dxa"/>
              <w:left w:w="10" w:type="dxa"/>
              <w:bottom w:w="0" w:type="dxa"/>
              <w:right w:w="10" w:type="dxa"/>
            </w:tcMar>
            <w:hideMark/>
          </w:tcPr>
          <w:p w14:paraId="05080A22"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0.02 </w:t>
            </w:r>
          </w:p>
        </w:tc>
        <w:tc>
          <w:tcPr>
            <w:tcW w:w="964" w:type="pct"/>
            <w:tcBorders>
              <w:top w:val="nil"/>
              <w:left w:val="nil"/>
              <w:bottom w:val="single" w:sz="8" w:space="0" w:color="000000"/>
              <w:right w:val="nil"/>
            </w:tcBorders>
            <w:shd w:val="clear" w:color="auto" w:fill="auto"/>
            <w:tcMar>
              <w:top w:w="10" w:type="dxa"/>
              <w:left w:w="10" w:type="dxa"/>
              <w:bottom w:w="0" w:type="dxa"/>
              <w:right w:w="10" w:type="dxa"/>
            </w:tcMar>
            <w:hideMark/>
          </w:tcPr>
          <w:p w14:paraId="207971E0" w14:textId="00E318DF"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0.00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0.03</w:t>
            </w:r>
          </w:p>
        </w:tc>
        <w:tc>
          <w:tcPr>
            <w:tcW w:w="964" w:type="pct"/>
            <w:tcBorders>
              <w:top w:val="nil"/>
              <w:left w:val="nil"/>
              <w:bottom w:val="single" w:sz="8" w:space="0" w:color="000000"/>
              <w:right w:val="nil"/>
            </w:tcBorders>
            <w:shd w:val="clear" w:color="auto" w:fill="auto"/>
            <w:tcMar>
              <w:top w:w="10" w:type="dxa"/>
              <w:left w:w="10" w:type="dxa"/>
              <w:bottom w:w="0" w:type="dxa"/>
              <w:right w:w="10" w:type="dxa"/>
            </w:tcMar>
            <w:hideMark/>
          </w:tcPr>
          <w:p w14:paraId="6E1268B4" w14:textId="77777777"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 xml:space="preserve">0.02 </w:t>
            </w:r>
          </w:p>
        </w:tc>
        <w:tc>
          <w:tcPr>
            <w:tcW w:w="964" w:type="pct"/>
            <w:tcBorders>
              <w:top w:val="nil"/>
              <w:left w:val="nil"/>
              <w:bottom w:val="single" w:sz="8" w:space="0" w:color="000000"/>
              <w:right w:val="nil"/>
            </w:tcBorders>
            <w:shd w:val="clear" w:color="auto" w:fill="auto"/>
            <w:tcMar>
              <w:top w:w="10" w:type="dxa"/>
              <w:left w:w="10" w:type="dxa"/>
              <w:bottom w:w="0" w:type="dxa"/>
              <w:right w:w="10" w:type="dxa"/>
            </w:tcMar>
            <w:hideMark/>
          </w:tcPr>
          <w:p w14:paraId="5347A26C" w14:textId="233DDD15"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0.00</w:t>
            </w:r>
            <w:r w:rsidR="008F6798" w:rsidRPr="006160DA">
              <w:rPr>
                <w:rFonts w:ascii="Times New Roman" w:eastAsia="TimesNewRoman" w:hAnsi="Times New Roman" w:cs="Times New Roman"/>
                <w:szCs w:val="20"/>
              </w:rPr>
              <w:t>–</w:t>
            </w:r>
            <w:r w:rsidRPr="006160DA">
              <w:rPr>
                <w:rFonts w:ascii="Times New Roman" w:eastAsia="TimesNewRoman" w:hAnsi="Times New Roman" w:cs="Times New Roman"/>
                <w:szCs w:val="20"/>
              </w:rPr>
              <w:t>0.04</w:t>
            </w:r>
          </w:p>
        </w:tc>
      </w:tr>
    </w:tbl>
    <w:p w14:paraId="696AFB61" w14:textId="2035C728" w:rsidR="000A675E" w:rsidRPr="006160DA" w:rsidRDefault="000A675E" w:rsidP="006160DA">
      <w:pPr>
        <w:spacing w:line="480" w:lineRule="auto"/>
        <w:rPr>
          <w:rFonts w:ascii="Times New Roman" w:eastAsia="TimesNewRoman" w:hAnsi="Times New Roman" w:cs="Times New Roman"/>
          <w:szCs w:val="20"/>
        </w:rPr>
      </w:pPr>
      <w:r w:rsidRPr="006160DA">
        <w:rPr>
          <w:rFonts w:ascii="Times New Roman" w:eastAsia="TimesNewRoman" w:hAnsi="Times New Roman" w:cs="Times New Roman"/>
          <w:szCs w:val="20"/>
        </w:rPr>
        <w:t>tv means for typical value.</w:t>
      </w:r>
    </w:p>
    <w:p w14:paraId="483AB272" w14:textId="17573FB5" w:rsidR="000A675E" w:rsidRPr="006160DA" w:rsidRDefault="000A675E" w:rsidP="006160DA">
      <w:pPr>
        <w:spacing w:line="480" w:lineRule="auto"/>
        <w:rPr>
          <w:rFonts w:ascii="Times New Roman" w:eastAsia="TimesNewRoman" w:hAnsi="Times New Roman" w:cs="Times New Roman"/>
          <w:szCs w:val="20"/>
        </w:rPr>
      </w:pPr>
      <w:proofErr w:type="spellStart"/>
      <w:r w:rsidRPr="006160DA">
        <w:rPr>
          <w:rFonts w:ascii="Times New Roman" w:eastAsia="TimesNewRoman" w:hAnsi="Times New Roman" w:cs="Times New Roman"/>
          <w:szCs w:val="20"/>
        </w:rPr>
        <w:t>dV</w:t>
      </w:r>
      <w:r w:rsidRPr="006160DA">
        <w:rPr>
          <w:rFonts w:ascii="Times New Roman" w:eastAsia="TimesNewRoman" w:hAnsi="Times New Roman" w:cs="Times New Roman"/>
          <w:szCs w:val="20"/>
          <w:vertAlign w:val="subscript"/>
        </w:rPr>
        <w:t>p</w:t>
      </w:r>
      <w:proofErr w:type="spellEnd"/>
      <w:r w:rsidRPr="006160DA">
        <w:rPr>
          <w:rFonts w:ascii="Times New Roman" w:eastAsia="TimesNewRoman" w:hAnsi="Times New Roman" w:cs="Times New Roman"/>
          <w:szCs w:val="20"/>
        </w:rPr>
        <w:t>/</w:t>
      </w:r>
      <w:proofErr w:type="spellStart"/>
      <w:r w:rsidRPr="006160DA">
        <w:rPr>
          <w:rFonts w:ascii="Times New Roman" w:eastAsia="TimesNewRoman" w:hAnsi="Times New Roman" w:cs="Times New Roman"/>
          <w:szCs w:val="20"/>
        </w:rPr>
        <w:t>FdBMI</w:t>
      </w:r>
      <w:proofErr w:type="spellEnd"/>
      <w:r w:rsidRPr="006160DA">
        <w:rPr>
          <w:rFonts w:ascii="Times New Roman" w:eastAsia="TimesNewRoman" w:hAnsi="Times New Roman" w:cs="Times New Roman"/>
          <w:szCs w:val="20"/>
        </w:rPr>
        <w:t xml:space="preserve"> </w:t>
      </w:r>
      <w:r w:rsidR="008F6798" w:rsidRPr="006160DA">
        <w:rPr>
          <w:rFonts w:ascii="Times New Roman" w:eastAsia="TimesNewRoman" w:hAnsi="Times New Roman" w:cs="Times New Roman"/>
          <w:szCs w:val="20"/>
        </w:rPr>
        <w:t xml:space="preserve">represents </w:t>
      </w:r>
      <w:r w:rsidRPr="006160DA">
        <w:rPr>
          <w:rFonts w:ascii="Times New Roman" w:eastAsia="TimesNewRoman" w:hAnsi="Times New Roman" w:cs="Times New Roman"/>
          <w:szCs w:val="20"/>
        </w:rPr>
        <w:t>the correlation between the body mass index and the distribution volume of the peripheral compartment.</w:t>
      </w:r>
    </w:p>
    <w:p w14:paraId="7E0DFCD0" w14:textId="6016E58C" w:rsidR="00FF62F0" w:rsidRPr="006160DA" w:rsidRDefault="000A675E" w:rsidP="006160DA">
      <w:pPr>
        <w:spacing w:line="480" w:lineRule="auto"/>
        <w:rPr>
          <w:rFonts w:ascii="Times New Roman" w:eastAsia="TimesNewRoman" w:hAnsi="Times New Roman" w:cs="Times New Roman"/>
          <w:szCs w:val="20"/>
        </w:rPr>
        <w:sectPr w:rsidR="00FF62F0" w:rsidRPr="006160DA" w:rsidSect="000B7BE3">
          <w:pgSz w:w="16838" w:h="11906" w:orient="landscape"/>
          <w:pgMar w:top="1440" w:right="1701" w:bottom="1440" w:left="1440" w:header="851" w:footer="992" w:gutter="0"/>
          <w:lnNumType w:countBy="1" w:restart="continuous"/>
          <w:cols w:space="425"/>
          <w:docGrid w:linePitch="360"/>
        </w:sectPr>
      </w:pPr>
      <w:r w:rsidRPr="006160DA">
        <w:rPr>
          <w:rFonts w:ascii="Times New Roman" w:eastAsia="TimesNewRoman" w:hAnsi="Times New Roman" w:cs="Times New Roman"/>
          <w:szCs w:val="20"/>
        </w:rPr>
        <w:t>V</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distribution volume of the central compartment; CL</w:t>
      </w:r>
      <w:r w:rsidRPr="006160DA">
        <w:rPr>
          <w:rFonts w:ascii="Times New Roman" w:eastAsia="TimesNewRoman" w:hAnsi="Times New Roman" w:cs="Times New Roman"/>
          <w:szCs w:val="20"/>
          <w:vertAlign w:val="subscript"/>
        </w:rPr>
        <w:t>c</w:t>
      </w:r>
      <w:r w:rsidRPr="006160DA">
        <w:rPr>
          <w:rFonts w:ascii="Times New Roman" w:eastAsia="TimesNewRoman" w:hAnsi="Times New Roman" w:cs="Times New Roman"/>
          <w:szCs w:val="20"/>
        </w:rPr>
        <w:t>/F, clearance from the central compartment; V</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 distribution volume of the peripheral compartment; CL</w:t>
      </w:r>
      <w:r w:rsidRPr="006160DA">
        <w:rPr>
          <w:rFonts w:ascii="Times New Roman" w:eastAsia="TimesNewRoman" w:hAnsi="Times New Roman" w:cs="Times New Roman"/>
          <w:szCs w:val="20"/>
          <w:vertAlign w:val="subscript"/>
        </w:rPr>
        <w:t>p</w:t>
      </w:r>
      <w:r w:rsidRPr="006160DA">
        <w:rPr>
          <w:rFonts w:ascii="Times New Roman" w:eastAsia="TimesNewRoman" w:hAnsi="Times New Roman" w:cs="Times New Roman"/>
          <w:szCs w:val="20"/>
        </w:rPr>
        <w:t>/F, movement rate between the central and peripheral compartments; K</w:t>
      </w:r>
      <w:r w:rsidRPr="006160DA">
        <w:rPr>
          <w:rFonts w:ascii="Times New Roman" w:eastAsia="TimesNewRoman" w:hAnsi="Times New Roman" w:cs="Times New Roman"/>
          <w:szCs w:val="20"/>
          <w:vertAlign w:val="subscript"/>
        </w:rPr>
        <w:t>a1</w:t>
      </w:r>
      <w:r w:rsidRPr="006160DA">
        <w:rPr>
          <w:rFonts w:ascii="Times New Roman" w:eastAsia="TimesNewRoman" w:hAnsi="Times New Roman" w:cs="Times New Roman"/>
          <w:szCs w:val="20"/>
        </w:rPr>
        <w:t>, absorption rate constant from morniflumate dosing depot to depot 2; K</w:t>
      </w:r>
      <w:r w:rsidRPr="006160DA">
        <w:rPr>
          <w:rFonts w:ascii="Times New Roman" w:eastAsia="TimesNewRoman" w:hAnsi="Times New Roman" w:cs="Times New Roman"/>
          <w:szCs w:val="20"/>
          <w:vertAlign w:val="subscript"/>
        </w:rPr>
        <w:t>a2</w:t>
      </w:r>
      <w:r w:rsidRPr="006160DA">
        <w:rPr>
          <w:rFonts w:ascii="Times New Roman" w:eastAsia="TimesNewRoman" w:hAnsi="Times New Roman" w:cs="Times New Roman"/>
          <w:szCs w:val="20"/>
        </w:rPr>
        <w:t>, absorption rate constant from depot 2 to depot 3; K</w:t>
      </w:r>
      <w:r w:rsidRPr="006160DA">
        <w:rPr>
          <w:rFonts w:ascii="Times New Roman" w:eastAsia="TimesNewRoman" w:hAnsi="Times New Roman" w:cs="Times New Roman"/>
          <w:szCs w:val="20"/>
          <w:vertAlign w:val="subscript"/>
        </w:rPr>
        <w:t>a3</w:t>
      </w:r>
      <w:r w:rsidRPr="006160DA">
        <w:rPr>
          <w:rFonts w:ascii="Times New Roman" w:eastAsia="TimesNewRoman" w:hAnsi="Times New Roman" w:cs="Times New Roman"/>
          <w:szCs w:val="20"/>
        </w:rPr>
        <w:t>, absorption rate constant from depot 3 to depot 4; K</w:t>
      </w:r>
      <w:r w:rsidRPr="006160DA">
        <w:rPr>
          <w:rFonts w:ascii="Times New Roman" w:eastAsia="TimesNewRoman" w:hAnsi="Times New Roman" w:cs="Times New Roman"/>
          <w:szCs w:val="20"/>
          <w:vertAlign w:val="subscript"/>
        </w:rPr>
        <w:t>a4</w:t>
      </w:r>
      <w:r w:rsidRPr="006160DA">
        <w:rPr>
          <w:rFonts w:ascii="Times New Roman" w:eastAsia="TimesNewRoman" w:hAnsi="Times New Roman" w:cs="Times New Roman"/>
          <w:szCs w:val="20"/>
        </w:rPr>
        <w:t>, absorption rate constant from depot 4 to depot 5; K</w:t>
      </w:r>
      <w:r w:rsidRPr="006160DA">
        <w:rPr>
          <w:rFonts w:ascii="Times New Roman" w:eastAsia="TimesNewRoman" w:hAnsi="Times New Roman" w:cs="Times New Roman"/>
          <w:szCs w:val="20"/>
          <w:vertAlign w:val="subscript"/>
        </w:rPr>
        <w:t>a5</w:t>
      </w:r>
      <w:r w:rsidRPr="006160DA">
        <w:rPr>
          <w:rFonts w:ascii="Times New Roman" w:eastAsia="TimesNewRoman" w:hAnsi="Times New Roman" w:cs="Times New Roman"/>
          <w:szCs w:val="20"/>
        </w:rPr>
        <w:t xml:space="preserve">, absorption rate constant from depot 5 to </w:t>
      </w:r>
      <w:r w:rsidR="008F6798" w:rsidRPr="006160DA">
        <w:rPr>
          <w:rFonts w:ascii="Times New Roman" w:eastAsia="TimesNewRoman" w:hAnsi="Times New Roman" w:cs="Times New Roman"/>
          <w:szCs w:val="20"/>
        </w:rPr>
        <w:t xml:space="preserve">the </w:t>
      </w:r>
      <w:r w:rsidRPr="006160DA">
        <w:rPr>
          <w:rFonts w:ascii="Times New Roman" w:eastAsia="TimesNewRoman" w:hAnsi="Times New Roman" w:cs="Times New Roman"/>
          <w:szCs w:val="20"/>
        </w:rPr>
        <w:t>central compartment.</w:t>
      </w:r>
    </w:p>
    <w:p w14:paraId="228B0A4C" w14:textId="433336E4" w:rsidR="00A97081" w:rsidRPr="006160DA" w:rsidRDefault="004C620B" w:rsidP="006160DA">
      <w:pPr>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lastRenderedPageBreak/>
        <w:t xml:space="preserve">Supplementary </w:t>
      </w:r>
      <w:r w:rsidR="008A76CB" w:rsidRPr="006160DA">
        <w:rPr>
          <w:rFonts w:ascii="Times New Roman" w:eastAsia="TimesNewRoman" w:hAnsi="Times New Roman" w:cs="Times New Roman"/>
          <w:b/>
          <w:bCs/>
          <w:szCs w:val="20"/>
        </w:rPr>
        <w:t>F</w:t>
      </w:r>
      <w:r w:rsidRPr="006160DA">
        <w:rPr>
          <w:rFonts w:ascii="Times New Roman" w:eastAsia="TimesNewRoman" w:hAnsi="Times New Roman" w:cs="Times New Roman"/>
          <w:b/>
          <w:bCs/>
          <w:szCs w:val="20"/>
        </w:rPr>
        <w:t>igure captions</w:t>
      </w:r>
    </w:p>
    <w:p w14:paraId="0F8C1917" w14:textId="1EEFE209" w:rsidR="004C620B" w:rsidRPr="006160DA" w:rsidRDefault="004C620B" w:rsidP="006160DA">
      <w:pPr>
        <w:wordWrap/>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 xml:space="preserve">Fig. S1. </w:t>
      </w:r>
      <w:r w:rsidR="000A675E" w:rsidRPr="006160DA">
        <w:rPr>
          <w:rFonts w:ascii="Times New Roman" w:eastAsia="TimesNewRoman" w:hAnsi="Times New Roman" w:cs="Times New Roman"/>
          <w:szCs w:val="20"/>
        </w:rPr>
        <w:t>Morniflumate pharmacokinetic profile of healthy Korean males (</w:t>
      </w:r>
      <w:r w:rsidR="000A675E" w:rsidRPr="006160DA">
        <w:rPr>
          <w:rFonts w:ascii="Times New Roman" w:eastAsia="TimesNewRoman" w:hAnsi="Times New Roman" w:cs="Times New Roman"/>
          <w:i/>
          <w:iCs/>
          <w:szCs w:val="20"/>
        </w:rPr>
        <w:t>n</w:t>
      </w:r>
      <w:r w:rsidR="000A675E" w:rsidRPr="006160DA">
        <w:rPr>
          <w:rFonts w:ascii="Times New Roman" w:eastAsia="TimesNewRoman" w:hAnsi="Times New Roman" w:cs="Times New Roman"/>
          <w:szCs w:val="20"/>
        </w:rPr>
        <w:t xml:space="preserve"> = 36) obtained in this bioequivalence study (following a single oral administration of 700 mg of morniflumate). The dots on the graph </w:t>
      </w:r>
      <w:r w:rsidR="008F6798" w:rsidRPr="006160DA">
        <w:rPr>
          <w:rFonts w:ascii="Times New Roman" w:eastAsia="TimesNewRoman" w:hAnsi="Times New Roman" w:cs="Times New Roman"/>
          <w:szCs w:val="20"/>
        </w:rPr>
        <w:t xml:space="preserve">represent </w:t>
      </w:r>
      <w:r w:rsidR="000A675E" w:rsidRPr="006160DA">
        <w:rPr>
          <w:rFonts w:ascii="Times New Roman" w:eastAsia="TimesNewRoman" w:hAnsi="Times New Roman" w:cs="Times New Roman"/>
          <w:szCs w:val="20"/>
        </w:rPr>
        <w:t xml:space="preserve">the mean concentrations of morniflumate in plasma over time, and the vertical bars </w:t>
      </w:r>
      <w:r w:rsidR="008F6798" w:rsidRPr="006160DA">
        <w:rPr>
          <w:rFonts w:ascii="Times New Roman" w:eastAsia="TimesNewRoman" w:hAnsi="Times New Roman" w:cs="Times New Roman"/>
          <w:szCs w:val="20"/>
        </w:rPr>
        <w:t xml:space="preserve">represent </w:t>
      </w:r>
      <w:r w:rsidR="000A675E" w:rsidRPr="006160DA">
        <w:rPr>
          <w:rFonts w:ascii="Times New Roman" w:eastAsia="TimesNewRoman" w:hAnsi="Times New Roman" w:cs="Times New Roman"/>
          <w:szCs w:val="20"/>
        </w:rPr>
        <w:t>the standard deviations.</w:t>
      </w:r>
    </w:p>
    <w:p w14:paraId="0CAB38F6" w14:textId="4D6957F7" w:rsidR="004C620B" w:rsidRPr="006160DA" w:rsidRDefault="004C620B" w:rsidP="006160DA">
      <w:pPr>
        <w:wordWrap/>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 xml:space="preserve">Fig. S2. </w:t>
      </w:r>
      <w:r w:rsidR="000A675E" w:rsidRPr="006160DA">
        <w:rPr>
          <w:rFonts w:ascii="Times New Roman" w:eastAsia="TimesNewRoman" w:hAnsi="Times New Roman" w:cs="Times New Roman"/>
          <w:szCs w:val="20"/>
        </w:rPr>
        <w:t xml:space="preserve">Goodness-of-fit plots of </w:t>
      </w:r>
      <w:r w:rsidR="008F6798" w:rsidRPr="006160DA">
        <w:rPr>
          <w:rFonts w:ascii="Times New Roman" w:eastAsia="TimesNewRoman" w:hAnsi="Times New Roman" w:cs="Times New Roman"/>
          <w:szCs w:val="20"/>
        </w:rPr>
        <w:t xml:space="preserve">the </w:t>
      </w:r>
      <w:r w:rsidR="000A675E" w:rsidRPr="006160DA">
        <w:rPr>
          <w:rFonts w:ascii="Times New Roman" w:eastAsia="TimesNewRoman" w:hAnsi="Times New Roman" w:cs="Times New Roman"/>
          <w:szCs w:val="20"/>
        </w:rPr>
        <w:t xml:space="preserve">final pharmacokinetic model for morniflumate. (A) Population-predicted concentrations (PRED, natural log scale, ng/mL) against observed plasma concentration (DV, natural log scale, ng/mL), (B) </w:t>
      </w:r>
      <w:r w:rsidR="008F6798" w:rsidRPr="006160DA">
        <w:rPr>
          <w:rFonts w:ascii="Times New Roman" w:eastAsia="TimesNewRoman" w:hAnsi="Times New Roman" w:cs="Times New Roman"/>
          <w:szCs w:val="20"/>
        </w:rPr>
        <w:t>individual</w:t>
      </w:r>
      <w:r w:rsidR="000A675E" w:rsidRPr="006160DA">
        <w:rPr>
          <w:rFonts w:ascii="Times New Roman" w:eastAsia="TimesNewRoman" w:hAnsi="Times New Roman" w:cs="Times New Roman"/>
          <w:szCs w:val="20"/>
        </w:rPr>
        <w:t xml:space="preserve">-predicted concentrations (IPRED, natural log scale, ng/mL) against DV, (C) PRED against conditional weighted residuals (CWRES), (D) </w:t>
      </w:r>
      <w:r w:rsidR="008F6798" w:rsidRPr="006160DA">
        <w:rPr>
          <w:rFonts w:ascii="Times New Roman" w:eastAsia="TimesNewRoman" w:hAnsi="Times New Roman" w:cs="Times New Roman"/>
          <w:szCs w:val="20"/>
        </w:rPr>
        <w:t xml:space="preserve">time </w:t>
      </w:r>
      <w:r w:rsidR="000A675E" w:rsidRPr="006160DA">
        <w:rPr>
          <w:rFonts w:ascii="Times New Roman" w:eastAsia="TimesNewRoman" w:hAnsi="Times New Roman" w:cs="Times New Roman"/>
          <w:szCs w:val="20"/>
        </w:rPr>
        <w:t xml:space="preserve">(IVAR, h) against CWRES, (E) </w:t>
      </w:r>
      <w:r w:rsidR="008F6798" w:rsidRPr="006160DA">
        <w:rPr>
          <w:rFonts w:ascii="Times New Roman" w:eastAsia="TimesNewRoman" w:hAnsi="Times New Roman" w:cs="Times New Roman"/>
          <w:szCs w:val="20"/>
        </w:rPr>
        <w:t>quantile-quantile</w:t>
      </w:r>
      <w:r w:rsidR="000A675E" w:rsidRPr="006160DA">
        <w:rPr>
          <w:rFonts w:ascii="Times New Roman" w:eastAsia="TimesNewRoman" w:hAnsi="Times New Roman" w:cs="Times New Roman"/>
          <w:szCs w:val="20"/>
        </w:rPr>
        <w:t xml:space="preserve"> (QQ) plot of CWRES</w:t>
      </w:r>
      <w:r w:rsidR="008F6798" w:rsidRPr="006160DA">
        <w:rPr>
          <w:rFonts w:ascii="Times New Roman" w:eastAsia="TimesNewRoman" w:hAnsi="Times New Roman" w:cs="Times New Roman"/>
          <w:szCs w:val="20"/>
        </w:rPr>
        <w:t xml:space="preserve"> components</w:t>
      </w:r>
      <w:r w:rsidR="000A675E" w:rsidRPr="006160DA">
        <w:rPr>
          <w:rFonts w:ascii="Times New Roman" w:eastAsia="TimesNewRoman" w:hAnsi="Times New Roman" w:cs="Times New Roman"/>
          <w:szCs w:val="20"/>
        </w:rPr>
        <w:t>, and (F) QQ plot of components of weighted residuals (WRES).</w:t>
      </w:r>
    </w:p>
    <w:p w14:paraId="1FB4F249" w14:textId="021748C9" w:rsidR="004C620B" w:rsidRPr="006160DA" w:rsidRDefault="004C620B" w:rsidP="006160DA">
      <w:pPr>
        <w:wordWrap/>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 xml:space="preserve">Fig. S3. </w:t>
      </w:r>
      <w:r w:rsidR="000A675E" w:rsidRPr="006160DA">
        <w:rPr>
          <w:rFonts w:ascii="Times New Roman" w:eastAsia="TimesNewRoman" w:hAnsi="Times New Roman" w:cs="Times New Roman"/>
          <w:szCs w:val="20"/>
        </w:rPr>
        <w:t xml:space="preserve">Normalized prediction distribution error (NPDE) plots for the population pharmacokinetic model of morniflumate. (A) Quantile-quantile plots of NPDE versus the theoretical N (0, 1) distribution. (B) Histogram </w:t>
      </w:r>
      <w:r w:rsidR="008F6798" w:rsidRPr="006160DA">
        <w:rPr>
          <w:rFonts w:ascii="Times New Roman" w:eastAsia="TimesNewRoman" w:hAnsi="Times New Roman" w:cs="Times New Roman"/>
          <w:szCs w:val="20"/>
        </w:rPr>
        <w:t xml:space="preserve">of </w:t>
      </w:r>
      <w:r w:rsidR="000A675E" w:rsidRPr="006160DA">
        <w:rPr>
          <w:rFonts w:ascii="Times New Roman" w:eastAsia="TimesNewRoman" w:hAnsi="Times New Roman" w:cs="Times New Roman"/>
          <w:szCs w:val="20"/>
        </w:rPr>
        <w:t>the distribution of the NPDE, overlaid with the density of the standard Gaussian distribution. (C) Scatter plot of the time (IVAR, h) versus NPDE. (D) Scatterplot of predicted concentrations (DV, ng/mL) versus NPDE</w:t>
      </w:r>
      <w:r w:rsidR="007446F1" w:rsidRPr="006160DA">
        <w:rPr>
          <w:rFonts w:ascii="Times New Roman" w:eastAsia="TimesNewRoman" w:hAnsi="Times New Roman" w:cs="Times New Roman"/>
          <w:szCs w:val="20"/>
        </w:rPr>
        <w:t>.</w:t>
      </w:r>
    </w:p>
    <w:p w14:paraId="7BBFA7D8" w14:textId="24823A08" w:rsidR="004C620B" w:rsidRPr="006160DA" w:rsidRDefault="004C620B" w:rsidP="006160DA">
      <w:pPr>
        <w:wordWrap/>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 xml:space="preserve">Fig. S4. </w:t>
      </w:r>
      <w:r w:rsidR="000A675E" w:rsidRPr="006160DA">
        <w:rPr>
          <w:rFonts w:ascii="Times New Roman" w:eastAsia="TimesNewRoman" w:hAnsi="Times New Roman" w:cs="Times New Roman"/>
          <w:szCs w:val="20"/>
        </w:rPr>
        <w:t xml:space="preserve">Fitting of previously reported pharmacokinetic data following morniflumate exposure to the finally established model visual predictive check as external validation. </w:t>
      </w:r>
      <w:r w:rsidR="008F6798" w:rsidRPr="006160DA">
        <w:rPr>
          <w:rFonts w:ascii="Times New Roman" w:eastAsia="TimesNewRoman" w:hAnsi="Times New Roman" w:cs="Times New Roman"/>
          <w:szCs w:val="20"/>
        </w:rPr>
        <w:t xml:space="preserve">The dots represent the observed </w:t>
      </w:r>
      <w:r w:rsidR="000A675E" w:rsidRPr="006160DA">
        <w:rPr>
          <w:rFonts w:ascii="Times New Roman" w:eastAsia="TimesNewRoman" w:hAnsi="Times New Roman" w:cs="Times New Roman"/>
          <w:szCs w:val="20"/>
        </w:rPr>
        <w:t>mean concentrations after oral administration of 700 mg morniflumate. The 95</w:t>
      </w:r>
      <w:r w:rsidR="000A675E" w:rsidRPr="006160DA">
        <w:rPr>
          <w:rFonts w:ascii="Times New Roman" w:eastAsia="TimesNewRoman" w:hAnsi="Times New Roman" w:cs="Times New Roman"/>
          <w:szCs w:val="20"/>
          <w:vertAlign w:val="superscript"/>
        </w:rPr>
        <w:t>th</w:t>
      </w:r>
      <w:r w:rsidR="000A675E" w:rsidRPr="006160DA">
        <w:rPr>
          <w:rFonts w:ascii="Times New Roman" w:eastAsia="TimesNewRoman" w:hAnsi="Times New Roman" w:cs="Times New Roman"/>
          <w:szCs w:val="20"/>
        </w:rPr>
        <w:t>, 50</w:t>
      </w:r>
      <w:r w:rsidR="000A675E" w:rsidRPr="006160DA">
        <w:rPr>
          <w:rFonts w:ascii="Times New Roman" w:eastAsia="TimesNewRoman" w:hAnsi="Times New Roman" w:cs="Times New Roman"/>
          <w:szCs w:val="20"/>
          <w:vertAlign w:val="superscript"/>
        </w:rPr>
        <w:t>th</w:t>
      </w:r>
      <w:r w:rsidR="000A675E" w:rsidRPr="006160DA">
        <w:rPr>
          <w:rFonts w:ascii="Times New Roman" w:eastAsia="TimesNewRoman" w:hAnsi="Times New Roman" w:cs="Times New Roman"/>
          <w:szCs w:val="20"/>
        </w:rPr>
        <w:t>, and 5</w:t>
      </w:r>
      <w:r w:rsidR="000A675E" w:rsidRPr="006160DA">
        <w:rPr>
          <w:rFonts w:ascii="Times New Roman" w:eastAsia="TimesNewRoman" w:hAnsi="Times New Roman" w:cs="Times New Roman"/>
          <w:szCs w:val="20"/>
          <w:vertAlign w:val="superscript"/>
        </w:rPr>
        <w:t>th</w:t>
      </w:r>
      <w:r w:rsidR="000A675E" w:rsidRPr="006160DA">
        <w:rPr>
          <w:rFonts w:ascii="Times New Roman" w:eastAsia="TimesNewRoman" w:hAnsi="Times New Roman" w:cs="Times New Roman"/>
          <w:szCs w:val="20"/>
        </w:rPr>
        <w:t xml:space="preserve"> percentiles of the predicted concentrations are represented by black dashed lines. The 95% confidence intervals for the predicted 5</w:t>
      </w:r>
      <w:r w:rsidR="000A675E" w:rsidRPr="006160DA">
        <w:rPr>
          <w:rFonts w:ascii="Times New Roman" w:eastAsia="TimesNewRoman" w:hAnsi="Times New Roman" w:cs="Times New Roman"/>
          <w:szCs w:val="20"/>
          <w:vertAlign w:val="superscript"/>
        </w:rPr>
        <w:t>th</w:t>
      </w:r>
      <w:r w:rsidR="000A675E" w:rsidRPr="006160DA">
        <w:rPr>
          <w:rFonts w:ascii="Times New Roman" w:eastAsia="TimesNewRoman" w:hAnsi="Times New Roman" w:cs="Times New Roman"/>
          <w:szCs w:val="20"/>
        </w:rPr>
        <w:t xml:space="preserve"> and 95</w:t>
      </w:r>
      <w:r w:rsidR="000A675E" w:rsidRPr="006160DA">
        <w:rPr>
          <w:rFonts w:ascii="Times New Roman" w:eastAsia="TimesNewRoman" w:hAnsi="Times New Roman" w:cs="Times New Roman"/>
          <w:szCs w:val="20"/>
          <w:vertAlign w:val="superscript"/>
        </w:rPr>
        <w:t>th</w:t>
      </w:r>
      <w:r w:rsidR="000A675E" w:rsidRPr="006160DA">
        <w:rPr>
          <w:rFonts w:ascii="Times New Roman" w:eastAsia="TimesNewRoman" w:hAnsi="Times New Roman" w:cs="Times New Roman"/>
          <w:szCs w:val="20"/>
        </w:rPr>
        <w:t xml:space="preserve"> percentiles are represented by the </w:t>
      </w:r>
      <w:r w:rsidR="00FC6D94" w:rsidRPr="006160DA">
        <w:rPr>
          <w:rFonts w:ascii="Times New Roman" w:eastAsia="TimesNewRoman" w:hAnsi="Times New Roman" w:cs="Times New Roman"/>
          <w:szCs w:val="20"/>
        </w:rPr>
        <w:t>blue-shaded</w:t>
      </w:r>
      <w:r w:rsidR="000A675E" w:rsidRPr="006160DA">
        <w:rPr>
          <w:rFonts w:ascii="Times New Roman" w:eastAsia="TimesNewRoman" w:hAnsi="Times New Roman" w:cs="Times New Roman"/>
          <w:szCs w:val="20"/>
        </w:rPr>
        <w:t xml:space="preserve"> regions. The 95% </w:t>
      </w:r>
      <w:r w:rsidR="006900D0" w:rsidRPr="006160DA">
        <w:rPr>
          <w:rFonts w:ascii="Times New Roman" w:eastAsia="TimesNewRoman" w:hAnsi="Times New Roman" w:cs="Times New Roman"/>
          <w:szCs w:val="20"/>
        </w:rPr>
        <w:t xml:space="preserve">confidence intervals </w:t>
      </w:r>
      <w:r w:rsidR="000A675E" w:rsidRPr="006160DA">
        <w:rPr>
          <w:rFonts w:ascii="Times New Roman" w:eastAsia="TimesNewRoman" w:hAnsi="Times New Roman" w:cs="Times New Roman"/>
          <w:szCs w:val="20"/>
        </w:rPr>
        <w:t>for the predicted 50</w:t>
      </w:r>
      <w:r w:rsidR="000A675E" w:rsidRPr="006160DA">
        <w:rPr>
          <w:rFonts w:ascii="Times New Roman" w:eastAsia="TimesNewRoman" w:hAnsi="Times New Roman" w:cs="Times New Roman"/>
          <w:szCs w:val="20"/>
          <w:vertAlign w:val="superscript"/>
        </w:rPr>
        <w:t>th</w:t>
      </w:r>
      <w:r w:rsidR="000A675E" w:rsidRPr="006160DA">
        <w:rPr>
          <w:rFonts w:ascii="Times New Roman" w:eastAsia="TimesNewRoman" w:hAnsi="Times New Roman" w:cs="Times New Roman"/>
          <w:szCs w:val="20"/>
        </w:rPr>
        <w:t xml:space="preserve"> percentiles are represented by the </w:t>
      </w:r>
      <w:r w:rsidR="00FC6D94" w:rsidRPr="006160DA">
        <w:rPr>
          <w:rFonts w:ascii="Times New Roman" w:eastAsia="TimesNewRoman" w:hAnsi="Times New Roman" w:cs="Times New Roman"/>
          <w:szCs w:val="20"/>
        </w:rPr>
        <w:t>red-shaded</w:t>
      </w:r>
      <w:r w:rsidR="000A675E" w:rsidRPr="006160DA">
        <w:rPr>
          <w:rFonts w:ascii="Times New Roman" w:eastAsia="TimesNewRoman" w:hAnsi="Times New Roman" w:cs="Times New Roman"/>
          <w:szCs w:val="20"/>
        </w:rPr>
        <w:t xml:space="preserve"> regions</w:t>
      </w:r>
      <w:r w:rsidR="00F63D39" w:rsidRPr="006160DA">
        <w:rPr>
          <w:rFonts w:ascii="Times New Roman" w:eastAsia="TimesNewRoman" w:hAnsi="Times New Roman" w:cs="Times New Roman"/>
          <w:szCs w:val="20"/>
        </w:rPr>
        <w:t>.</w:t>
      </w:r>
    </w:p>
    <w:p w14:paraId="1421BFE6" w14:textId="33D36016" w:rsidR="00400407" w:rsidRPr="006160DA" w:rsidRDefault="004C620B" w:rsidP="006160DA">
      <w:pPr>
        <w:wordWrap/>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t xml:space="preserve">Fig. S5. </w:t>
      </w:r>
      <w:r w:rsidR="000A675E" w:rsidRPr="006160DA">
        <w:rPr>
          <w:rFonts w:ascii="Times New Roman" w:eastAsia="TimesNewRoman" w:hAnsi="Times New Roman" w:cs="Times New Roman"/>
          <w:szCs w:val="20"/>
        </w:rPr>
        <w:t>Model prediction result of leukotriene B</w:t>
      </w:r>
      <w:r w:rsidR="000A675E" w:rsidRPr="006160DA">
        <w:rPr>
          <w:rFonts w:ascii="Times New Roman" w:eastAsia="TimesNewRoman" w:hAnsi="Times New Roman" w:cs="Times New Roman"/>
          <w:szCs w:val="20"/>
          <w:vertAlign w:val="subscript"/>
        </w:rPr>
        <w:t>4</w:t>
      </w:r>
      <w:r w:rsidR="000A675E" w:rsidRPr="006160DA">
        <w:rPr>
          <w:rFonts w:ascii="Times New Roman" w:eastAsia="TimesNewRoman" w:hAnsi="Times New Roman" w:cs="Times New Roman"/>
          <w:szCs w:val="20"/>
        </w:rPr>
        <w:t xml:space="preserve"> </w:t>
      </w:r>
      <w:r w:rsidR="00187945" w:rsidRPr="006160DA">
        <w:rPr>
          <w:rFonts w:ascii="Times New Roman" w:eastAsia="TimesNewRoman" w:hAnsi="Times New Roman" w:cs="Times New Roman"/>
          <w:szCs w:val="20"/>
        </w:rPr>
        <w:t>(LTB</w:t>
      </w:r>
      <w:r w:rsidR="00187945" w:rsidRPr="006160DA">
        <w:rPr>
          <w:rFonts w:ascii="Times New Roman" w:eastAsia="TimesNewRoman" w:hAnsi="Times New Roman" w:cs="Times New Roman"/>
          <w:szCs w:val="20"/>
          <w:vertAlign w:val="subscript"/>
        </w:rPr>
        <w:t>4</w:t>
      </w:r>
      <w:r w:rsidR="00187945" w:rsidRPr="006160DA">
        <w:rPr>
          <w:rFonts w:ascii="Times New Roman" w:eastAsia="TimesNewRoman" w:hAnsi="Times New Roman" w:cs="Times New Roman"/>
          <w:szCs w:val="20"/>
        </w:rPr>
        <w:t xml:space="preserve">) </w:t>
      </w:r>
      <w:r w:rsidR="000A675E" w:rsidRPr="006160DA">
        <w:rPr>
          <w:rFonts w:ascii="Times New Roman" w:eastAsia="TimesNewRoman" w:hAnsi="Times New Roman" w:cs="Times New Roman"/>
          <w:szCs w:val="20"/>
        </w:rPr>
        <w:t xml:space="preserve">synthesis inhibition percent profiles over time after a single oral </w:t>
      </w:r>
      <w:r w:rsidR="00FC6D94" w:rsidRPr="006160DA">
        <w:rPr>
          <w:rFonts w:ascii="Times New Roman" w:eastAsia="TimesNewRoman" w:hAnsi="Times New Roman" w:cs="Times New Roman"/>
          <w:szCs w:val="20"/>
        </w:rPr>
        <w:t xml:space="preserve">administration of </w:t>
      </w:r>
      <w:r w:rsidR="000A675E" w:rsidRPr="006160DA">
        <w:rPr>
          <w:rFonts w:ascii="Times New Roman" w:eastAsia="TimesNewRoman" w:hAnsi="Times New Roman" w:cs="Times New Roman"/>
          <w:szCs w:val="20"/>
        </w:rPr>
        <w:t xml:space="preserve">morniflumate (700 mg). The solid line in the graph </w:t>
      </w:r>
      <w:r w:rsidR="00FC6D94" w:rsidRPr="006160DA">
        <w:rPr>
          <w:rFonts w:ascii="Times New Roman" w:eastAsia="TimesNewRoman" w:hAnsi="Times New Roman" w:cs="Times New Roman"/>
          <w:szCs w:val="20"/>
        </w:rPr>
        <w:t xml:space="preserve">represents </w:t>
      </w:r>
      <w:r w:rsidR="000A675E" w:rsidRPr="006160DA">
        <w:rPr>
          <w:rFonts w:ascii="Times New Roman" w:eastAsia="TimesNewRoman" w:hAnsi="Times New Roman" w:cs="Times New Roman"/>
          <w:szCs w:val="20"/>
        </w:rPr>
        <w:t xml:space="preserve">the predicted </w:t>
      </w:r>
      <w:r w:rsidR="00187945" w:rsidRPr="006160DA">
        <w:rPr>
          <w:rFonts w:ascii="Times New Roman" w:eastAsia="TimesNewRoman" w:hAnsi="Times New Roman" w:cs="Times New Roman"/>
          <w:szCs w:val="20"/>
        </w:rPr>
        <w:t>LTB</w:t>
      </w:r>
      <w:r w:rsidR="00187945" w:rsidRPr="006160DA">
        <w:rPr>
          <w:rFonts w:ascii="Times New Roman" w:eastAsia="TimesNewRoman" w:hAnsi="Times New Roman" w:cs="Times New Roman"/>
          <w:szCs w:val="20"/>
          <w:vertAlign w:val="subscript"/>
        </w:rPr>
        <w:t>4</w:t>
      </w:r>
      <w:r w:rsidR="000A675E" w:rsidRPr="006160DA">
        <w:rPr>
          <w:rFonts w:ascii="Times New Roman" w:eastAsia="TimesNewRoman" w:hAnsi="Times New Roman" w:cs="Times New Roman"/>
          <w:szCs w:val="20"/>
        </w:rPr>
        <w:t xml:space="preserve"> synthesis inhibition based on the population niflumic acid </w:t>
      </w:r>
      <w:r w:rsidR="004828EA" w:rsidRPr="006160DA">
        <w:rPr>
          <w:rFonts w:ascii="Times New Roman" w:eastAsia="TimesNewRoman" w:hAnsi="Times New Roman" w:cs="Times New Roman"/>
          <w:szCs w:val="20"/>
        </w:rPr>
        <w:t xml:space="preserve">mean </w:t>
      </w:r>
      <w:r w:rsidR="000A675E" w:rsidRPr="006160DA">
        <w:rPr>
          <w:rFonts w:ascii="Times New Roman" w:eastAsia="TimesNewRoman" w:hAnsi="Times New Roman" w:cs="Times New Roman"/>
          <w:szCs w:val="20"/>
        </w:rPr>
        <w:t>profiles predicted by the morniflumate-niflumic acid pharmacokinetic model (applying the typical values of the model parameters) extended in this study</w:t>
      </w:r>
      <w:r w:rsidR="00F63D39" w:rsidRPr="006160DA">
        <w:rPr>
          <w:rFonts w:ascii="Times New Roman" w:eastAsia="TimesNewRoman" w:hAnsi="Times New Roman" w:cs="Times New Roman"/>
          <w:szCs w:val="20"/>
        </w:rPr>
        <w:t>.</w:t>
      </w:r>
    </w:p>
    <w:p w14:paraId="10D15B58" w14:textId="38A66A4F" w:rsidR="00444E39" w:rsidRPr="006160DA" w:rsidRDefault="00400407" w:rsidP="006160DA">
      <w:pPr>
        <w:wordWrap/>
        <w:spacing w:line="480" w:lineRule="auto"/>
        <w:rPr>
          <w:rFonts w:ascii="Times New Roman" w:eastAsia="TimesNewRoman" w:hAnsi="Times New Roman" w:cs="Times New Roman"/>
          <w:szCs w:val="20"/>
        </w:rPr>
      </w:pPr>
      <w:r w:rsidRPr="006160DA">
        <w:rPr>
          <w:rFonts w:ascii="Times New Roman" w:eastAsia="TimesNewRoman" w:hAnsi="Times New Roman" w:cs="Times New Roman"/>
          <w:b/>
          <w:bCs/>
          <w:szCs w:val="20"/>
        </w:rPr>
        <w:t xml:space="preserve">Fig. S6. </w:t>
      </w:r>
      <w:r w:rsidRPr="006160DA">
        <w:rPr>
          <w:rFonts w:ascii="Times New Roman" w:eastAsia="TimesNewRoman" w:hAnsi="Times New Roman" w:cs="Times New Roman"/>
          <w:szCs w:val="20"/>
        </w:rPr>
        <w:t xml:space="preserve">Simulation graphs of </w:t>
      </w:r>
      <w:r w:rsidR="00FC6D94" w:rsidRPr="006160DA">
        <w:rPr>
          <w:rFonts w:ascii="Times New Roman" w:eastAsia="TimesNewRoman" w:hAnsi="Times New Roman" w:cs="Times New Roman"/>
          <w:szCs w:val="20"/>
        </w:rPr>
        <w:t xml:space="preserve">the </w:t>
      </w:r>
      <w:r w:rsidRPr="006160DA">
        <w:rPr>
          <w:rFonts w:ascii="Times New Roman" w:eastAsia="TimesNewRoman" w:hAnsi="Times New Roman" w:cs="Times New Roman"/>
          <w:szCs w:val="20"/>
        </w:rPr>
        <w:t xml:space="preserve">pharmacokinetics of the final model for morniflumate according to </w:t>
      </w:r>
      <w:r w:rsidR="00FC6D94" w:rsidRPr="006160DA">
        <w:rPr>
          <w:rFonts w:ascii="Times New Roman" w:eastAsia="TimesNewRoman" w:hAnsi="Times New Roman" w:cs="Times New Roman"/>
          <w:szCs w:val="20"/>
        </w:rPr>
        <w:t xml:space="preserve">the changes in </w:t>
      </w:r>
      <w:r w:rsidR="00FC6D94" w:rsidRPr="006160DA">
        <w:rPr>
          <w:rFonts w:ascii="Times New Roman" w:eastAsia="TimesNewRoman" w:hAnsi="Times New Roman" w:cs="Times New Roman"/>
          <w:szCs w:val="20"/>
        </w:rPr>
        <w:lastRenderedPageBreak/>
        <w:t xml:space="preserve">the </w:t>
      </w:r>
      <w:r w:rsidRPr="006160DA">
        <w:rPr>
          <w:rFonts w:ascii="Times New Roman" w:eastAsia="TimesNewRoman" w:hAnsi="Times New Roman" w:cs="Times New Roman"/>
          <w:szCs w:val="20"/>
        </w:rPr>
        <w:t>body mass index (BMI) [(A) Mean BMI of 22.26 kg/m</w:t>
      </w:r>
      <w:r w:rsidRPr="006160DA">
        <w:rPr>
          <w:rFonts w:ascii="Times New Roman" w:eastAsia="TimesNewRoman" w:hAnsi="Times New Roman" w:cs="Times New Roman"/>
          <w:szCs w:val="20"/>
          <w:vertAlign w:val="superscript"/>
        </w:rPr>
        <w:t>2</w:t>
      </w:r>
      <w:r w:rsidRPr="006160DA">
        <w:rPr>
          <w:rFonts w:ascii="Times New Roman" w:eastAsia="TimesNewRoman" w:hAnsi="Times New Roman" w:cs="Times New Roman"/>
          <w:szCs w:val="20"/>
        </w:rPr>
        <w:t>, (B) Median BMI of 21.89 kg/m</w:t>
      </w:r>
      <w:r w:rsidRPr="006160DA">
        <w:rPr>
          <w:rFonts w:ascii="Times New Roman" w:eastAsia="TimesNewRoman" w:hAnsi="Times New Roman" w:cs="Times New Roman"/>
          <w:szCs w:val="20"/>
          <w:vertAlign w:val="superscript"/>
        </w:rPr>
        <w:t>2</w:t>
      </w:r>
      <w:r w:rsidRPr="006160DA">
        <w:rPr>
          <w:rFonts w:ascii="Times New Roman" w:eastAsia="TimesNewRoman" w:hAnsi="Times New Roman" w:cs="Times New Roman"/>
          <w:szCs w:val="20"/>
        </w:rPr>
        <w:t>, (C) Max BMI of 28.41 kg/m</w:t>
      </w:r>
      <w:r w:rsidRPr="006160DA">
        <w:rPr>
          <w:rFonts w:ascii="Times New Roman" w:eastAsia="TimesNewRoman" w:hAnsi="Times New Roman" w:cs="Times New Roman"/>
          <w:szCs w:val="20"/>
          <w:vertAlign w:val="superscript"/>
        </w:rPr>
        <w:t>2</w:t>
      </w:r>
      <w:r w:rsidRPr="006160DA">
        <w:rPr>
          <w:rFonts w:ascii="Times New Roman" w:eastAsia="TimesNewRoman" w:hAnsi="Times New Roman" w:cs="Times New Roman"/>
          <w:szCs w:val="20"/>
        </w:rPr>
        <w:t>, and (D) Min BMI of 17.36 kg/m</w:t>
      </w:r>
      <w:r w:rsidRPr="006160DA">
        <w:rPr>
          <w:rFonts w:ascii="Times New Roman" w:eastAsia="TimesNewRoman" w:hAnsi="Times New Roman" w:cs="Times New Roman"/>
          <w:szCs w:val="20"/>
          <w:vertAlign w:val="superscript"/>
        </w:rPr>
        <w:t>2</w:t>
      </w:r>
      <w:r w:rsidRPr="006160DA">
        <w:rPr>
          <w:rFonts w:ascii="Times New Roman" w:eastAsia="TimesNewRoman" w:hAnsi="Times New Roman" w:cs="Times New Roman"/>
          <w:szCs w:val="20"/>
        </w:rPr>
        <w:t>]. The 95</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50</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and 5</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xml:space="preserve"> percentiles of the predicted concentrations are represented by </w:t>
      </w:r>
      <w:r w:rsidR="00FC6D94" w:rsidRPr="006160DA">
        <w:rPr>
          <w:rFonts w:ascii="Times New Roman" w:eastAsia="TimesNewRoman" w:hAnsi="Times New Roman" w:cs="Times New Roman"/>
          <w:szCs w:val="20"/>
        </w:rPr>
        <w:t xml:space="preserve">the </w:t>
      </w:r>
      <w:r w:rsidRPr="006160DA">
        <w:rPr>
          <w:rFonts w:ascii="Times New Roman" w:eastAsia="TimesNewRoman" w:hAnsi="Times New Roman" w:cs="Times New Roman"/>
          <w:szCs w:val="20"/>
        </w:rPr>
        <w:t>black dashed lines. The 95% confidence intervals for the predicted 5</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xml:space="preserve"> and 95</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xml:space="preserve"> percentiles are represented by the </w:t>
      </w:r>
      <w:r w:rsidR="00FC6D94" w:rsidRPr="006160DA">
        <w:rPr>
          <w:rFonts w:ascii="Times New Roman" w:eastAsia="TimesNewRoman" w:hAnsi="Times New Roman" w:cs="Times New Roman"/>
          <w:szCs w:val="20"/>
        </w:rPr>
        <w:t>blue-shaded</w:t>
      </w:r>
      <w:r w:rsidRPr="006160DA">
        <w:rPr>
          <w:rFonts w:ascii="Times New Roman" w:eastAsia="TimesNewRoman" w:hAnsi="Times New Roman" w:cs="Times New Roman"/>
          <w:szCs w:val="20"/>
        </w:rPr>
        <w:t xml:space="preserve"> regions. The 95% </w:t>
      </w:r>
      <w:r w:rsidR="008F2514" w:rsidRPr="006160DA">
        <w:rPr>
          <w:rFonts w:ascii="Times New Roman" w:eastAsia="TimesNewRoman" w:hAnsi="Times New Roman" w:cs="Times New Roman"/>
          <w:szCs w:val="20"/>
        </w:rPr>
        <w:t xml:space="preserve">confidence intervals </w:t>
      </w:r>
      <w:r w:rsidRPr="006160DA">
        <w:rPr>
          <w:rFonts w:ascii="Times New Roman" w:eastAsia="TimesNewRoman" w:hAnsi="Times New Roman" w:cs="Times New Roman"/>
          <w:szCs w:val="20"/>
        </w:rPr>
        <w:t>for the predicted 50</w:t>
      </w:r>
      <w:r w:rsidRPr="006160DA">
        <w:rPr>
          <w:rFonts w:ascii="Times New Roman" w:eastAsia="TimesNewRoman" w:hAnsi="Times New Roman" w:cs="Times New Roman"/>
          <w:szCs w:val="20"/>
          <w:vertAlign w:val="superscript"/>
        </w:rPr>
        <w:t>th</w:t>
      </w:r>
      <w:r w:rsidRPr="006160DA">
        <w:rPr>
          <w:rFonts w:ascii="Times New Roman" w:eastAsia="TimesNewRoman" w:hAnsi="Times New Roman" w:cs="Times New Roman"/>
          <w:szCs w:val="20"/>
        </w:rPr>
        <w:t xml:space="preserve"> percentiles are represented by the </w:t>
      </w:r>
      <w:r w:rsidR="00FC6D94" w:rsidRPr="006160DA">
        <w:rPr>
          <w:rFonts w:ascii="Times New Roman" w:eastAsia="TimesNewRoman" w:hAnsi="Times New Roman" w:cs="Times New Roman"/>
          <w:szCs w:val="20"/>
        </w:rPr>
        <w:t>red-shaded</w:t>
      </w:r>
      <w:r w:rsidRPr="006160DA">
        <w:rPr>
          <w:rFonts w:ascii="Times New Roman" w:eastAsia="TimesNewRoman" w:hAnsi="Times New Roman" w:cs="Times New Roman"/>
          <w:szCs w:val="20"/>
        </w:rPr>
        <w:t xml:space="preserve"> regions.</w:t>
      </w:r>
    </w:p>
    <w:p w14:paraId="7E6F8279" w14:textId="77777777" w:rsidR="00D40B12" w:rsidRPr="006160DA" w:rsidRDefault="00D40B12" w:rsidP="006160DA">
      <w:pPr>
        <w:wordWrap/>
        <w:spacing w:line="480" w:lineRule="auto"/>
        <w:jc w:val="center"/>
        <w:rPr>
          <w:rFonts w:ascii="Times New Roman" w:hAnsi="Times New Roman" w:cs="Times New Roman"/>
          <w:b/>
          <w:bCs/>
          <w:szCs w:val="20"/>
        </w:rPr>
        <w:sectPr w:rsidR="00D40B12" w:rsidRPr="006160DA" w:rsidSect="00990474">
          <w:pgSz w:w="12240" w:h="15840" w:code="1"/>
          <w:pgMar w:top="1973" w:right="1440" w:bottom="1440" w:left="1440" w:header="851" w:footer="992" w:gutter="0"/>
          <w:lnNumType w:countBy="1" w:restart="continuous"/>
          <w:cols w:space="425"/>
          <w:docGrid w:linePitch="360"/>
        </w:sectPr>
      </w:pPr>
    </w:p>
    <w:p w14:paraId="06BEB003" w14:textId="77777777" w:rsidR="005F3CD0" w:rsidRPr="006160DA" w:rsidRDefault="005F3CD0" w:rsidP="006160DA">
      <w:pPr>
        <w:wordWrap/>
        <w:spacing w:line="480" w:lineRule="auto"/>
        <w:jc w:val="center"/>
        <w:rPr>
          <w:rFonts w:ascii="Times New Roman" w:hAnsi="Times New Roman" w:cs="Times New Roman"/>
          <w:b/>
          <w:bCs/>
          <w:szCs w:val="20"/>
        </w:rPr>
      </w:pPr>
      <w:r w:rsidRPr="006160DA">
        <w:rPr>
          <w:rFonts w:ascii="Times New Roman" w:hAnsi="Times New Roman" w:cs="Times New Roman"/>
          <w:b/>
          <w:bCs/>
          <w:noProof/>
          <w:szCs w:val="20"/>
        </w:rPr>
        <w:lastRenderedPageBreak/>
        <w:drawing>
          <wp:inline distT="0" distB="0" distL="0" distR="0" wp14:anchorId="28184E3B" wp14:editId="601472C0">
            <wp:extent cx="4500000" cy="3373017"/>
            <wp:effectExtent l="0" t="0" r="0" b="0"/>
            <wp:docPr id="790183364"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00000" cy="3373017"/>
                    </a:xfrm>
                    <a:prstGeom prst="rect">
                      <a:avLst/>
                    </a:prstGeom>
                    <a:noFill/>
                  </pic:spPr>
                </pic:pic>
              </a:graphicData>
            </a:graphic>
          </wp:inline>
        </w:drawing>
      </w:r>
      <w:r w:rsidR="00444E39" w:rsidRPr="006160DA">
        <w:rPr>
          <w:rFonts w:ascii="Times New Roman" w:hAnsi="Times New Roman" w:cs="Times New Roman"/>
          <w:b/>
          <w:bCs/>
          <w:szCs w:val="20"/>
        </w:rPr>
        <w:t xml:space="preserve"> </w:t>
      </w:r>
    </w:p>
    <w:p w14:paraId="38B13F1E" w14:textId="67216222" w:rsidR="004C620B" w:rsidRPr="006160DA" w:rsidRDefault="00444E39" w:rsidP="006160DA">
      <w:pPr>
        <w:wordWrap/>
        <w:spacing w:line="480" w:lineRule="auto"/>
        <w:jc w:val="center"/>
        <w:rPr>
          <w:rFonts w:ascii="Times New Roman" w:hAnsi="Times New Roman" w:cs="Times New Roman"/>
          <w:b/>
          <w:bCs/>
          <w:szCs w:val="20"/>
        </w:rPr>
        <w:sectPr w:rsidR="004C620B" w:rsidRPr="006160DA" w:rsidSect="005F3CD0">
          <w:pgSz w:w="12240" w:h="15840" w:code="1"/>
          <w:pgMar w:top="1973" w:right="1440" w:bottom="1440" w:left="1440" w:header="851" w:footer="992" w:gutter="0"/>
          <w:lnNumType w:countBy="1" w:restart="continuous"/>
          <w:cols w:space="425"/>
          <w:docGrid w:linePitch="360"/>
        </w:sectPr>
      </w:pPr>
      <w:r w:rsidRPr="006160DA">
        <w:rPr>
          <w:rFonts w:ascii="Times New Roman" w:hAnsi="Times New Roman" w:cs="Times New Roman"/>
          <w:b/>
          <w:bCs/>
          <w:szCs w:val="20"/>
        </w:rPr>
        <w:t>Fig. S1</w:t>
      </w:r>
    </w:p>
    <w:p w14:paraId="02CF36DF" w14:textId="34E572EC" w:rsidR="004C620B" w:rsidRPr="006160DA" w:rsidRDefault="005F3CD0" w:rsidP="006160DA">
      <w:pPr>
        <w:wordWrap/>
        <w:spacing w:line="480" w:lineRule="auto"/>
        <w:jc w:val="center"/>
        <w:rPr>
          <w:rFonts w:ascii="Times New Roman" w:hAnsi="Times New Roman" w:cs="Times New Roman"/>
          <w:b/>
          <w:bCs/>
          <w:szCs w:val="20"/>
        </w:rPr>
      </w:pPr>
      <w:r w:rsidRPr="006160DA">
        <w:rPr>
          <w:rFonts w:ascii="Times New Roman" w:hAnsi="Times New Roman" w:cs="Times New Roman"/>
          <w:b/>
          <w:bCs/>
          <w:noProof/>
          <w:szCs w:val="20"/>
        </w:rPr>
        <w:lastRenderedPageBreak/>
        <w:drawing>
          <wp:inline distT="0" distB="0" distL="0" distR="0" wp14:anchorId="4B2C1BAA" wp14:editId="4E589076">
            <wp:extent cx="8280000" cy="5518540"/>
            <wp:effectExtent l="0" t="0" r="6985" b="6350"/>
            <wp:docPr id="1223127398"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280000" cy="5518540"/>
                    </a:xfrm>
                    <a:prstGeom prst="rect">
                      <a:avLst/>
                    </a:prstGeom>
                    <a:noFill/>
                  </pic:spPr>
                </pic:pic>
              </a:graphicData>
            </a:graphic>
          </wp:inline>
        </w:drawing>
      </w:r>
    </w:p>
    <w:p w14:paraId="6278BBBD" w14:textId="77777777" w:rsidR="004C620B" w:rsidRPr="006160DA" w:rsidRDefault="004C620B" w:rsidP="006160DA">
      <w:pPr>
        <w:wordWrap/>
        <w:spacing w:line="480" w:lineRule="auto"/>
        <w:jc w:val="center"/>
        <w:rPr>
          <w:rFonts w:ascii="Times New Roman" w:hAnsi="Times New Roman" w:cs="Times New Roman"/>
          <w:b/>
          <w:bCs/>
          <w:szCs w:val="20"/>
        </w:rPr>
        <w:sectPr w:rsidR="004C620B" w:rsidRPr="006160DA" w:rsidSect="005F3CD0">
          <w:pgSz w:w="15840" w:h="12240" w:orient="landscape" w:code="1"/>
          <w:pgMar w:top="1440" w:right="1973" w:bottom="1440" w:left="1440" w:header="851" w:footer="992" w:gutter="0"/>
          <w:lnNumType w:countBy="1" w:restart="continuous"/>
          <w:cols w:space="425"/>
          <w:docGrid w:linePitch="360"/>
        </w:sectPr>
      </w:pPr>
      <w:r w:rsidRPr="006160DA">
        <w:rPr>
          <w:rFonts w:ascii="Times New Roman" w:hAnsi="Times New Roman" w:cs="Times New Roman"/>
          <w:b/>
          <w:bCs/>
          <w:szCs w:val="20"/>
        </w:rPr>
        <w:lastRenderedPageBreak/>
        <w:t>Fig. S2</w:t>
      </w:r>
    </w:p>
    <w:p w14:paraId="4CC71A61" w14:textId="1A70AB72" w:rsidR="004C620B" w:rsidRPr="006160DA" w:rsidRDefault="005F3CD0" w:rsidP="006160DA">
      <w:pPr>
        <w:wordWrap/>
        <w:spacing w:line="480" w:lineRule="auto"/>
        <w:jc w:val="center"/>
        <w:rPr>
          <w:rFonts w:ascii="Times New Roman" w:hAnsi="Times New Roman" w:cs="Times New Roman"/>
          <w:b/>
          <w:bCs/>
          <w:szCs w:val="20"/>
        </w:rPr>
      </w:pPr>
      <w:r w:rsidRPr="006160DA">
        <w:rPr>
          <w:rFonts w:ascii="Times New Roman" w:hAnsi="Times New Roman" w:cs="Times New Roman"/>
          <w:b/>
          <w:bCs/>
          <w:noProof/>
          <w:szCs w:val="20"/>
        </w:rPr>
        <w:lastRenderedPageBreak/>
        <w:drawing>
          <wp:inline distT="0" distB="0" distL="0" distR="0" wp14:anchorId="31C7BBAE" wp14:editId="6223C587">
            <wp:extent cx="8280000" cy="5149355"/>
            <wp:effectExtent l="0" t="0" r="6985" b="0"/>
            <wp:docPr id="1484510166"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280000" cy="5149355"/>
                    </a:xfrm>
                    <a:prstGeom prst="rect">
                      <a:avLst/>
                    </a:prstGeom>
                    <a:noFill/>
                  </pic:spPr>
                </pic:pic>
              </a:graphicData>
            </a:graphic>
          </wp:inline>
        </w:drawing>
      </w:r>
    </w:p>
    <w:p w14:paraId="0D4BC81E" w14:textId="77777777" w:rsidR="004C620B" w:rsidRPr="006160DA" w:rsidRDefault="004C620B" w:rsidP="006160DA">
      <w:pPr>
        <w:wordWrap/>
        <w:spacing w:line="480" w:lineRule="auto"/>
        <w:jc w:val="center"/>
        <w:rPr>
          <w:rFonts w:ascii="Times New Roman" w:hAnsi="Times New Roman" w:cs="Times New Roman"/>
          <w:b/>
          <w:bCs/>
          <w:szCs w:val="20"/>
        </w:rPr>
        <w:sectPr w:rsidR="004C620B" w:rsidRPr="006160DA" w:rsidSect="00444E39">
          <w:pgSz w:w="15840" w:h="12240" w:orient="landscape" w:code="1"/>
          <w:pgMar w:top="1440" w:right="1973" w:bottom="1440" w:left="1440" w:header="851" w:footer="992" w:gutter="0"/>
          <w:lnNumType w:countBy="1" w:restart="continuous"/>
          <w:cols w:space="425"/>
          <w:docGrid w:linePitch="360"/>
        </w:sectPr>
      </w:pPr>
      <w:r w:rsidRPr="006160DA">
        <w:rPr>
          <w:rFonts w:ascii="Times New Roman" w:hAnsi="Times New Roman" w:cs="Times New Roman"/>
          <w:b/>
          <w:bCs/>
          <w:szCs w:val="20"/>
        </w:rPr>
        <w:t>Fig. S3</w:t>
      </w:r>
    </w:p>
    <w:p w14:paraId="338DA981" w14:textId="5FCEAA16" w:rsidR="00F63D39" w:rsidRPr="006160DA" w:rsidRDefault="005F3CD0" w:rsidP="006160DA">
      <w:pPr>
        <w:wordWrap/>
        <w:spacing w:line="480" w:lineRule="auto"/>
        <w:jc w:val="center"/>
        <w:rPr>
          <w:rFonts w:ascii="Times New Roman" w:hAnsi="Times New Roman" w:cs="Times New Roman"/>
          <w:b/>
          <w:bCs/>
          <w:szCs w:val="20"/>
        </w:rPr>
      </w:pPr>
      <w:r w:rsidRPr="006160DA">
        <w:rPr>
          <w:rFonts w:ascii="Times New Roman" w:hAnsi="Times New Roman" w:cs="Times New Roman"/>
          <w:b/>
          <w:bCs/>
          <w:noProof/>
          <w:szCs w:val="20"/>
        </w:rPr>
        <w:lastRenderedPageBreak/>
        <w:drawing>
          <wp:inline distT="0" distB="0" distL="0" distR="0" wp14:anchorId="422D71DB" wp14:editId="2DBA9F2E">
            <wp:extent cx="4500000" cy="3486229"/>
            <wp:effectExtent l="0" t="0" r="0" b="0"/>
            <wp:docPr id="378261159"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00000" cy="3486229"/>
                    </a:xfrm>
                    <a:prstGeom prst="rect">
                      <a:avLst/>
                    </a:prstGeom>
                    <a:noFill/>
                  </pic:spPr>
                </pic:pic>
              </a:graphicData>
            </a:graphic>
          </wp:inline>
        </w:drawing>
      </w:r>
    </w:p>
    <w:p w14:paraId="3A097F04" w14:textId="7348BF89" w:rsidR="00F63D39" w:rsidRPr="006160DA" w:rsidRDefault="00F63D39" w:rsidP="006160DA">
      <w:pPr>
        <w:wordWrap/>
        <w:spacing w:line="480" w:lineRule="auto"/>
        <w:jc w:val="center"/>
        <w:rPr>
          <w:rFonts w:ascii="Times New Roman" w:hAnsi="Times New Roman" w:cs="Times New Roman"/>
          <w:b/>
          <w:bCs/>
          <w:szCs w:val="20"/>
        </w:rPr>
        <w:sectPr w:rsidR="00F63D39" w:rsidRPr="006160DA" w:rsidSect="00F63D39">
          <w:pgSz w:w="12240" w:h="15840" w:code="1"/>
          <w:pgMar w:top="1440" w:right="1440" w:bottom="1973" w:left="1440" w:header="851" w:footer="992" w:gutter="0"/>
          <w:lnNumType w:countBy="1" w:restart="continuous"/>
          <w:cols w:space="425"/>
          <w:docGrid w:linePitch="360"/>
        </w:sectPr>
      </w:pPr>
      <w:r w:rsidRPr="006160DA">
        <w:rPr>
          <w:rFonts w:ascii="Times New Roman" w:hAnsi="Times New Roman" w:cs="Times New Roman"/>
          <w:b/>
          <w:bCs/>
          <w:szCs w:val="20"/>
        </w:rPr>
        <w:t>Fig. S4</w:t>
      </w:r>
    </w:p>
    <w:p w14:paraId="2F48E850" w14:textId="0828AE7A" w:rsidR="004C620B" w:rsidRPr="006160DA" w:rsidRDefault="005F3CD0" w:rsidP="006160DA">
      <w:pPr>
        <w:wordWrap/>
        <w:spacing w:line="480" w:lineRule="auto"/>
        <w:jc w:val="center"/>
        <w:rPr>
          <w:rFonts w:ascii="Times New Roman" w:hAnsi="Times New Roman" w:cs="Times New Roman"/>
          <w:b/>
          <w:bCs/>
          <w:szCs w:val="20"/>
        </w:rPr>
      </w:pPr>
      <w:r w:rsidRPr="006160DA">
        <w:rPr>
          <w:rFonts w:ascii="Times New Roman" w:hAnsi="Times New Roman" w:cs="Times New Roman"/>
          <w:b/>
          <w:bCs/>
          <w:noProof/>
          <w:szCs w:val="20"/>
        </w:rPr>
        <w:lastRenderedPageBreak/>
        <w:drawing>
          <wp:inline distT="0" distB="0" distL="0" distR="0" wp14:anchorId="1F3DDDA1" wp14:editId="31DBBCE0">
            <wp:extent cx="3960000" cy="3161568"/>
            <wp:effectExtent l="0" t="0" r="2540" b="1270"/>
            <wp:docPr id="1776794740"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60000" cy="3161568"/>
                    </a:xfrm>
                    <a:prstGeom prst="rect">
                      <a:avLst/>
                    </a:prstGeom>
                    <a:noFill/>
                  </pic:spPr>
                </pic:pic>
              </a:graphicData>
            </a:graphic>
          </wp:inline>
        </w:drawing>
      </w:r>
    </w:p>
    <w:p w14:paraId="1B050E7F" w14:textId="12F6B590" w:rsidR="004C620B" w:rsidRPr="006160DA" w:rsidRDefault="00276C93" w:rsidP="006160DA">
      <w:pPr>
        <w:wordWrap/>
        <w:spacing w:line="480" w:lineRule="auto"/>
        <w:jc w:val="center"/>
        <w:rPr>
          <w:rFonts w:ascii="Times New Roman" w:hAnsi="Times New Roman" w:cs="Times New Roman"/>
          <w:b/>
          <w:bCs/>
          <w:szCs w:val="20"/>
        </w:rPr>
        <w:sectPr w:rsidR="004C620B" w:rsidRPr="006160DA" w:rsidSect="005F3CD0">
          <w:pgSz w:w="12240" w:h="15840" w:code="1"/>
          <w:pgMar w:top="1973" w:right="1440" w:bottom="1440" w:left="1440" w:header="851" w:footer="992" w:gutter="0"/>
          <w:lnNumType w:countBy="1" w:restart="continuous"/>
          <w:cols w:space="425"/>
          <w:docGrid w:linePitch="360"/>
        </w:sectPr>
      </w:pPr>
      <w:r w:rsidRPr="006160DA">
        <w:rPr>
          <w:rFonts w:ascii="Times New Roman" w:hAnsi="Times New Roman" w:cs="Times New Roman"/>
          <w:b/>
          <w:bCs/>
          <w:szCs w:val="20"/>
        </w:rPr>
        <w:t xml:space="preserve"> Fig. S</w:t>
      </w:r>
      <w:r w:rsidR="00F63D39" w:rsidRPr="006160DA">
        <w:rPr>
          <w:rFonts w:ascii="Times New Roman" w:hAnsi="Times New Roman" w:cs="Times New Roman"/>
          <w:b/>
          <w:bCs/>
          <w:szCs w:val="20"/>
        </w:rPr>
        <w:t>5</w:t>
      </w:r>
    </w:p>
    <w:p w14:paraId="2E807419" w14:textId="2F80E7DC" w:rsidR="00F34A3A" w:rsidRPr="006160DA" w:rsidRDefault="008E7BD2" w:rsidP="006160DA">
      <w:pPr>
        <w:wordWrap/>
        <w:spacing w:line="480" w:lineRule="auto"/>
        <w:jc w:val="center"/>
        <w:rPr>
          <w:rFonts w:ascii="Times New Roman" w:hAnsi="Times New Roman" w:cs="Times New Roman"/>
          <w:b/>
          <w:bCs/>
          <w:szCs w:val="20"/>
        </w:rPr>
      </w:pPr>
      <w:r w:rsidRPr="006160DA">
        <w:rPr>
          <w:rFonts w:ascii="Times New Roman" w:hAnsi="Times New Roman" w:cs="Times New Roman"/>
          <w:b/>
          <w:bCs/>
          <w:noProof/>
          <w:szCs w:val="20"/>
        </w:rPr>
        <w:lastRenderedPageBreak/>
        <w:drawing>
          <wp:inline distT="0" distB="0" distL="0" distR="0" wp14:anchorId="1AA55777" wp14:editId="0A9E1331">
            <wp:extent cx="6350400" cy="5003178"/>
            <wp:effectExtent l="0" t="0" r="0" b="635"/>
            <wp:docPr id="436819290"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68279" cy="5017264"/>
                    </a:xfrm>
                    <a:prstGeom prst="rect">
                      <a:avLst/>
                    </a:prstGeom>
                    <a:noFill/>
                  </pic:spPr>
                </pic:pic>
              </a:graphicData>
            </a:graphic>
          </wp:inline>
        </w:drawing>
      </w:r>
      <w:r w:rsidR="00276C93" w:rsidRPr="006160DA">
        <w:rPr>
          <w:rFonts w:ascii="Times New Roman" w:hAnsi="Times New Roman" w:cs="Times New Roman"/>
          <w:b/>
          <w:bCs/>
          <w:szCs w:val="20"/>
        </w:rPr>
        <w:t xml:space="preserve"> </w:t>
      </w:r>
    </w:p>
    <w:p w14:paraId="44B87622" w14:textId="70ED2120" w:rsidR="00276C93" w:rsidRPr="006160DA" w:rsidRDefault="00276C93" w:rsidP="006160DA">
      <w:pPr>
        <w:wordWrap/>
        <w:spacing w:line="480" w:lineRule="auto"/>
        <w:jc w:val="center"/>
        <w:rPr>
          <w:rFonts w:ascii="Times New Roman" w:hAnsi="Times New Roman" w:cs="Times New Roman"/>
          <w:b/>
          <w:bCs/>
          <w:szCs w:val="20"/>
        </w:rPr>
        <w:sectPr w:rsidR="00276C93" w:rsidRPr="006160DA" w:rsidSect="00F63D39">
          <w:pgSz w:w="15840" w:h="12240" w:orient="landscape" w:code="1"/>
          <w:pgMar w:top="1440" w:right="1440" w:bottom="1440" w:left="1973" w:header="851" w:footer="992" w:gutter="0"/>
          <w:lnNumType w:countBy="1" w:restart="continuous"/>
          <w:cols w:space="425"/>
          <w:docGrid w:linePitch="360"/>
        </w:sectPr>
      </w:pPr>
      <w:r w:rsidRPr="006160DA">
        <w:rPr>
          <w:rFonts w:ascii="Times New Roman" w:hAnsi="Times New Roman" w:cs="Times New Roman"/>
          <w:b/>
          <w:bCs/>
          <w:szCs w:val="20"/>
        </w:rPr>
        <w:t>Fig. S6</w:t>
      </w:r>
    </w:p>
    <w:p w14:paraId="051E779B" w14:textId="77777777" w:rsidR="00A57C04" w:rsidRPr="006160DA" w:rsidRDefault="00A57C04" w:rsidP="006160DA">
      <w:pPr>
        <w:wordWrap/>
        <w:spacing w:line="480" w:lineRule="auto"/>
        <w:rPr>
          <w:rFonts w:ascii="Times New Roman" w:eastAsia="TimesNewRoman" w:hAnsi="Times New Roman" w:cs="Times New Roman"/>
          <w:b/>
          <w:bCs/>
          <w:szCs w:val="20"/>
        </w:rPr>
      </w:pPr>
      <w:r w:rsidRPr="006160DA">
        <w:rPr>
          <w:rFonts w:ascii="Times New Roman" w:eastAsia="TimesNewRoman" w:hAnsi="Times New Roman" w:cs="Times New Roman"/>
          <w:b/>
          <w:bCs/>
          <w:szCs w:val="20"/>
        </w:rPr>
        <w:lastRenderedPageBreak/>
        <w:t>References</w:t>
      </w:r>
    </w:p>
    <w:p w14:paraId="4666395A" w14:textId="77777777" w:rsidR="009E0179" w:rsidRPr="006160DA" w:rsidRDefault="009E0179" w:rsidP="006160DA">
      <w:pPr>
        <w:wordWrap/>
        <w:spacing w:line="480" w:lineRule="auto"/>
        <w:rPr>
          <w:rFonts w:ascii="Times New Roman" w:eastAsia="TimesNewRoman" w:hAnsi="Times New Roman" w:cs="Times New Roman"/>
          <w:b/>
          <w:bCs/>
          <w:szCs w:val="20"/>
        </w:rPr>
      </w:pPr>
    </w:p>
    <w:p w14:paraId="2BFB48A6" w14:textId="77777777" w:rsidR="006160DA" w:rsidRPr="006160DA" w:rsidRDefault="00A57C04" w:rsidP="006160DA">
      <w:pPr>
        <w:pStyle w:val="EndNoteBibliography"/>
        <w:spacing w:after="0" w:line="480" w:lineRule="auto"/>
        <w:jc w:val="both"/>
        <w:rPr>
          <w:rFonts w:ascii="Times New Roman" w:hAnsi="Times New Roman" w:cs="Times New Roman"/>
        </w:rPr>
      </w:pPr>
      <w:r w:rsidRPr="006160DA">
        <w:rPr>
          <w:rFonts w:ascii="Times New Roman" w:hAnsi="Times New Roman" w:cs="Times New Roman"/>
          <w:b/>
          <w:bCs/>
          <w:szCs w:val="20"/>
        </w:rPr>
        <w:fldChar w:fldCharType="begin"/>
      </w:r>
      <w:r w:rsidRPr="006160DA">
        <w:rPr>
          <w:rFonts w:ascii="Times New Roman" w:hAnsi="Times New Roman" w:cs="Times New Roman"/>
          <w:b/>
          <w:bCs/>
          <w:szCs w:val="20"/>
        </w:rPr>
        <w:instrText xml:space="preserve"> ADDIN EN.REFLIST </w:instrText>
      </w:r>
      <w:r w:rsidRPr="006160DA">
        <w:rPr>
          <w:rFonts w:ascii="Times New Roman" w:hAnsi="Times New Roman" w:cs="Times New Roman"/>
          <w:b/>
          <w:bCs/>
          <w:szCs w:val="20"/>
        </w:rPr>
        <w:fldChar w:fldCharType="separate"/>
      </w:r>
      <w:r w:rsidR="006160DA" w:rsidRPr="006160DA">
        <w:rPr>
          <w:rFonts w:ascii="Times New Roman" w:hAnsi="Times New Roman" w:cs="Times New Roman"/>
        </w:rPr>
        <w:t>Al-Naamani N, Maarouf O, Wilt J, D’Ovidio F, Sonett J, Arcasoy S, Nickolas T, Lederer D, Kawut S (2008) 25: the Modification of Diet in Renal Disease (MDRD) formula predicts kidney failure after lung transplantation. J Heart Lung Transplant 27: S69</w:t>
      </w:r>
    </w:p>
    <w:p w14:paraId="0224271E" w14:textId="77777777" w:rsidR="006160DA" w:rsidRPr="006160DA" w:rsidRDefault="006160DA" w:rsidP="006160DA">
      <w:pPr>
        <w:pStyle w:val="EndNoteBibliography"/>
        <w:spacing w:after="0" w:line="480" w:lineRule="auto"/>
        <w:jc w:val="both"/>
        <w:rPr>
          <w:rFonts w:ascii="Times New Roman" w:hAnsi="Times New Roman" w:cs="Times New Roman"/>
        </w:rPr>
      </w:pPr>
      <w:r w:rsidRPr="006160DA">
        <w:rPr>
          <w:rFonts w:ascii="Times New Roman" w:hAnsi="Times New Roman" w:cs="Times New Roman"/>
        </w:rPr>
        <w:t>El Edelbi R, Lindemalm S, Eksborg S (2012) Estimation of body surface area in various childhood ages–validation of the Mosteller formula. Acta Paediatr 101: 540-544</w:t>
      </w:r>
    </w:p>
    <w:p w14:paraId="542F5A22" w14:textId="77777777" w:rsidR="006160DA" w:rsidRPr="006160DA" w:rsidRDefault="006160DA" w:rsidP="006160DA">
      <w:pPr>
        <w:pStyle w:val="EndNoteBibliography"/>
        <w:spacing w:after="0" w:line="480" w:lineRule="auto"/>
        <w:jc w:val="both"/>
        <w:rPr>
          <w:rFonts w:ascii="Times New Roman" w:hAnsi="Times New Roman" w:cs="Times New Roman"/>
        </w:rPr>
      </w:pPr>
      <w:r w:rsidRPr="006160DA">
        <w:rPr>
          <w:rFonts w:ascii="Times New Roman" w:hAnsi="Times New Roman" w:cs="Times New Roman"/>
        </w:rPr>
        <w:t>Hermsen ED, Maiefski MM, Florescu MC, Qiu F, Rupp ME (2009) Comparison of the modification of diet in renal disease and Cockcroft‐Gault equations for dosing antimicrobials. Pharmacotherapy 29: 649-655</w:t>
      </w:r>
    </w:p>
    <w:p w14:paraId="3C083A2E" w14:textId="2A0BFAF7" w:rsidR="006900A2" w:rsidRPr="006160DA" w:rsidRDefault="006160DA" w:rsidP="006160DA">
      <w:pPr>
        <w:pStyle w:val="EndNoteBibliography"/>
        <w:spacing w:line="480" w:lineRule="auto"/>
        <w:jc w:val="both"/>
        <w:rPr>
          <w:rFonts w:ascii="Times New Roman" w:hAnsi="Times New Roman" w:cs="Times New Roman"/>
          <w:b/>
          <w:bCs/>
          <w:szCs w:val="20"/>
        </w:rPr>
      </w:pPr>
      <w:r w:rsidRPr="006160DA">
        <w:rPr>
          <w:rFonts w:ascii="Times New Roman" w:hAnsi="Times New Roman" w:cs="Times New Roman"/>
        </w:rPr>
        <w:t>Hotta M, Li Y, Anme T, Ushijima H (2005) Risk factors for low Kaup index among children in rural ethnic minority areas of Yunnan, China. Pediatr Int 47: 147-153</w:t>
      </w:r>
      <w:r w:rsidR="00A57C04" w:rsidRPr="006160DA">
        <w:rPr>
          <w:rFonts w:ascii="Times New Roman" w:hAnsi="Times New Roman" w:cs="Times New Roman"/>
          <w:b/>
          <w:bCs/>
          <w:szCs w:val="20"/>
        </w:rPr>
        <w:fldChar w:fldCharType="end"/>
      </w:r>
    </w:p>
    <w:sectPr w:rsidR="006900A2" w:rsidRPr="006160DA" w:rsidSect="00D977FF">
      <w:pgSz w:w="12240" w:h="15840" w:code="1"/>
      <w:pgMar w:top="1973" w:right="1440" w:bottom="1440" w:left="1440"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95DB4" w14:textId="77777777" w:rsidR="00A26621" w:rsidRDefault="00A26621" w:rsidP="0099356C">
      <w:pPr>
        <w:spacing w:after="0" w:line="240" w:lineRule="auto"/>
      </w:pPr>
      <w:r>
        <w:separator/>
      </w:r>
    </w:p>
  </w:endnote>
  <w:endnote w:type="continuationSeparator" w:id="0">
    <w:p w14:paraId="423347DD" w14:textId="77777777" w:rsidR="00A26621" w:rsidRDefault="00A26621" w:rsidP="009935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TimesNewRoman">
    <w:altName w:val="맑은 고딕"/>
    <w:panose1 w:val="00000000000000000000"/>
    <w:charset w:val="81"/>
    <w:family w:val="auto"/>
    <w:notTrueType/>
    <w:pitch w:val="default"/>
    <w:sig w:usb0="00000003" w:usb1="09060000" w:usb2="00000010"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4032384"/>
      <w:docPartObj>
        <w:docPartGallery w:val="Page Numbers (Bottom of Page)"/>
        <w:docPartUnique/>
      </w:docPartObj>
    </w:sdtPr>
    <w:sdtContent>
      <w:p w14:paraId="4A5A4867" w14:textId="66F02623" w:rsidR="0099356C" w:rsidRDefault="0099356C">
        <w:pPr>
          <w:pStyle w:val="a6"/>
          <w:jc w:val="center"/>
        </w:pPr>
        <w:r>
          <w:fldChar w:fldCharType="begin"/>
        </w:r>
        <w:r>
          <w:instrText>PAGE   \* MERGEFORMAT</w:instrText>
        </w:r>
        <w:r>
          <w:fldChar w:fldCharType="separate"/>
        </w:r>
        <w:r w:rsidR="00097FCC" w:rsidRPr="00097FCC">
          <w:rPr>
            <w:noProof/>
            <w:lang w:val="ko-KR"/>
          </w:rPr>
          <w:t>21</w:t>
        </w:r>
        <w:r>
          <w:fldChar w:fldCharType="end"/>
        </w:r>
      </w:p>
    </w:sdtContent>
  </w:sdt>
  <w:p w14:paraId="0F108389" w14:textId="77777777" w:rsidR="0099356C" w:rsidRDefault="0099356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9A930" w14:textId="77777777" w:rsidR="00A26621" w:rsidRDefault="00A26621" w:rsidP="0099356C">
      <w:pPr>
        <w:spacing w:after="0" w:line="240" w:lineRule="auto"/>
      </w:pPr>
      <w:r>
        <w:separator/>
      </w:r>
    </w:p>
  </w:footnote>
  <w:footnote w:type="continuationSeparator" w:id="0">
    <w:p w14:paraId="5427BFE7" w14:textId="77777777" w:rsidR="00A26621" w:rsidRDefault="00A26621" w:rsidP="009935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unyn-Schmied Arch Pharma&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epra9pfpafdvefwtnp902bww09a2p9prvv&quot;&gt;My EndNote Library&lt;record-ids&gt;&lt;item&gt;22&lt;/item&gt;&lt;item&gt;23&lt;/item&gt;&lt;item&gt;24&lt;/item&gt;&lt;item&gt;25&lt;/item&gt;&lt;/record-ids&gt;&lt;/item&gt;&lt;/Libraries&gt;"/>
  </w:docVars>
  <w:rsids>
    <w:rsidRoot w:val="00A97081"/>
    <w:rsid w:val="00000D9C"/>
    <w:rsid w:val="000020D5"/>
    <w:rsid w:val="000020D6"/>
    <w:rsid w:val="000063D3"/>
    <w:rsid w:val="00006DBA"/>
    <w:rsid w:val="00007985"/>
    <w:rsid w:val="00010CCC"/>
    <w:rsid w:val="000134C2"/>
    <w:rsid w:val="00013862"/>
    <w:rsid w:val="00013EF3"/>
    <w:rsid w:val="00022D5C"/>
    <w:rsid w:val="00026340"/>
    <w:rsid w:val="0002680B"/>
    <w:rsid w:val="00027F67"/>
    <w:rsid w:val="00033CBF"/>
    <w:rsid w:val="000403E9"/>
    <w:rsid w:val="000430D4"/>
    <w:rsid w:val="0004670E"/>
    <w:rsid w:val="000544DC"/>
    <w:rsid w:val="0005479A"/>
    <w:rsid w:val="00060D72"/>
    <w:rsid w:val="000616D1"/>
    <w:rsid w:val="00065537"/>
    <w:rsid w:val="0007237C"/>
    <w:rsid w:val="00072D01"/>
    <w:rsid w:val="00097FCC"/>
    <w:rsid w:val="000A3608"/>
    <w:rsid w:val="000A61ED"/>
    <w:rsid w:val="000A675E"/>
    <w:rsid w:val="000A7124"/>
    <w:rsid w:val="000A762D"/>
    <w:rsid w:val="000A7D76"/>
    <w:rsid w:val="000B56A4"/>
    <w:rsid w:val="000B5D58"/>
    <w:rsid w:val="000B7BE3"/>
    <w:rsid w:val="000C1967"/>
    <w:rsid w:val="000C2303"/>
    <w:rsid w:val="000E4393"/>
    <w:rsid w:val="000F1F3B"/>
    <w:rsid w:val="000F37ED"/>
    <w:rsid w:val="000F4ECF"/>
    <w:rsid w:val="001065CD"/>
    <w:rsid w:val="00110B70"/>
    <w:rsid w:val="00112A64"/>
    <w:rsid w:val="00117575"/>
    <w:rsid w:val="00130DE4"/>
    <w:rsid w:val="00144EBF"/>
    <w:rsid w:val="001456C8"/>
    <w:rsid w:val="00146917"/>
    <w:rsid w:val="00151386"/>
    <w:rsid w:val="00156D6D"/>
    <w:rsid w:val="00157498"/>
    <w:rsid w:val="001726FD"/>
    <w:rsid w:val="00173278"/>
    <w:rsid w:val="00187945"/>
    <w:rsid w:val="00190290"/>
    <w:rsid w:val="00195147"/>
    <w:rsid w:val="001A34AA"/>
    <w:rsid w:val="001A5812"/>
    <w:rsid w:val="001A6ACB"/>
    <w:rsid w:val="001A7D4D"/>
    <w:rsid w:val="001B694F"/>
    <w:rsid w:val="001B7A43"/>
    <w:rsid w:val="001C45F8"/>
    <w:rsid w:val="001F5909"/>
    <w:rsid w:val="001F66D2"/>
    <w:rsid w:val="00212C52"/>
    <w:rsid w:val="0021363E"/>
    <w:rsid w:val="002155EF"/>
    <w:rsid w:val="00223782"/>
    <w:rsid w:val="00223A20"/>
    <w:rsid w:val="00226400"/>
    <w:rsid w:val="00227A80"/>
    <w:rsid w:val="002308B9"/>
    <w:rsid w:val="00230D6B"/>
    <w:rsid w:val="00236B2E"/>
    <w:rsid w:val="00261D69"/>
    <w:rsid w:val="00263842"/>
    <w:rsid w:val="00275D55"/>
    <w:rsid w:val="00276C93"/>
    <w:rsid w:val="00286399"/>
    <w:rsid w:val="002872BE"/>
    <w:rsid w:val="00287EC6"/>
    <w:rsid w:val="0029039B"/>
    <w:rsid w:val="002918B1"/>
    <w:rsid w:val="002943D0"/>
    <w:rsid w:val="00295A2A"/>
    <w:rsid w:val="002A3120"/>
    <w:rsid w:val="002B5FAF"/>
    <w:rsid w:val="002C1621"/>
    <w:rsid w:val="002C38D5"/>
    <w:rsid w:val="002C4A4E"/>
    <w:rsid w:val="002C7A58"/>
    <w:rsid w:val="002D38A2"/>
    <w:rsid w:val="002D66D2"/>
    <w:rsid w:val="002D72B4"/>
    <w:rsid w:val="002D72EF"/>
    <w:rsid w:val="002F3E1D"/>
    <w:rsid w:val="00306147"/>
    <w:rsid w:val="00325744"/>
    <w:rsid w:val="00335980"/>
    <w:rsid w:val="00343E8F"/>
    <w:rsid w:val="003547B7"/>
    <w:rsid w:val="003556C8"/>
    <w:rsid w:val="00355FCD"/>
    <w:rsid w:val="00356336"/>
    <w:rsid w:val="00357E34"/>
    <w:rsid w:val="00370E1F"/>
    <w:rsid w:val="00372E9B"/>
    <w:rsid w:val="00383AA0"/>
    <w:rsid w:val="0039090F"/>
    <w:rsid w:val="00395922"/>
    <w:rsid w:val="00396D51"/>
    <w:rsid w:val="003A0FF8"/>
    <w:rsid w:val="003A2CBB"/>
    <w:rsid w:val="003B3F63"/>
    <w:rsid w:val="003B63DA"/>
    <w:rsid w:val="003C1032"/>
    <w:rsid w:val="003C15BF"/>
    <w:rsid w:val="003C4A98"/>
    <w:rsid w:val="003C5BDB"/>
    <w:rsid w:val="003D5F9A"/>
    <w:rsid w:val="003E5CE3"/>
    <w:rsid w:val="003E625C"/>
    <w:rsid w:val="003F2FEE"/>
    <w:rsid w:val="003F5A4F"/>
    <w:rsid w:val="00400407"/>
    <w:rsid w:val="00407C37"/>
    <w:rsid w:val="00407EA7"/>
    <w:rsid w:val="00414299"/>
    <w:rsid w:val="00425269"/>
    <w:rsid w:val="004435CB"/>
    <w:rsid w:val="00444E39"/>
    <w:rsid w:val="00450C5F"/>
    <w:rsid w:val="004627EF"/>
    <w:rsid w:val="00470464"/>
    <w:rsid w:val="00471615"/>
    <w:rsid w:val="00475519"/>
    <w:rsid w:val="004828EA"/>
    <w:rsid w:val="00484D4D"/>
    <w:rsid w:val="004A1DF6"/>
    <w:rsid w:val="004A24FE"/>
    <w:rsid w:val="004A4BF6"/>
    <w:rsid w:val="004A60E2"/>
    <w:rsid w:val="004B067E"/>
    <w:rsid w:val="004B18DE"/>
    <w:rsid w:val="004B37CE"/>
    <w:rsid w:val="004B5976"/>
    <w:rsid w:val="004B67BB"/>
    <w:rsid w:val="004C620B"/>
    <w:rsid w:val="004D32B6"/>
    <w:rsid w:val="004D49E7"/>
    <w:rsid w:val="004E140A"/>
    <w:rsid w:val="004E14CE"/>
    <w:rsid w:val="004E2496"/>
    <w:rsid w:val="004E35EF"/>
    <w:rsid w:val="004E71EB"/>
    <w:rsid w:val="005032A8"/>
    <w:rsid w:val="00504470"/>
    <w:rsid w:val="00504E8E"/>
    <w:rsid w:val="00505CE3"/>
    <w:rsid w:val="00515286"/>
    <w:rsid w:val="00517EF3"/>
    <w:rsid w:val="00523263"/>
    <w:rsid w:val="0052391F"/>
    <w:rsid w:val="005268D1"/>
    <w:rsid w:val="00527044"/>
    <w:rsid w:val="0053313F"/>
    <w:rsid w:val="005332AB"/>
    <w:rsid w:val="00533D27"/>
    <w:rsid w:val="00542489"/>
    <w:rsid w:val="00543E5A"/>
    <w:rsid w:val="00550DF9"/>
    <w:rsid w:val="00553074"/>
    <w:rsid w:val="00553BFE"/>
    <w:rsid w:val="0057114F"/>
    <w:rsid w:val="00582C76"/>
    <w:rsid w:val="00583497"/>
    <w:rsid w:val="00595CDF"/>
    <w:rsid w:val="005A156D"/>
    <w:rsid w:val="005A25E2"/>
    <w:rsid w:val="005A7908"/>
    <w:rsid w:val="005B3BC6"/>
    <w:rsid w:val="005B43E9"/>
    <w:rsid w:val="005B66E4"/>
    <w:rsid w:val="005C0439"/>
    <w:rsid w:val="005C0F47"/>
    <w:rsid w:val="005C26AA"/>
    <w:rsid w:val="005D3B71"/>
    <w:rsid w:val="005E0719"/>
    <w:rsid w:val="005F2A71"/>
    <w:rsid w:val="005F3CD0"/>
    <w:rsid w:val="005F5F76"/>
    <w:rsid w:val="00603C69"/>
    <w:rsid w:val="00604A23"/>
    <w:rsid w:val="0061059E"/>
    <w:rsid w:val="006106DB"/>
    <w:rsid w:val="00613D38"/>
    <w:rsid w:val="006160DA"/>
    <w:rsid w:val="00616377"/>
    <w:rsid w:val="00616E60"/>
    <w:rsid w:val="00625694"/>
    <w:rsid w:val="00626436"/>
    <w:rsid w:val="0062655C"/>
    <w:rsid w:val="006364E9"/>
    <w:rsid w:val="00641133"/>
    <w:rsid w:val="0064677D"/>
    <w:rsid w:val="00647426"/>
    <w:rsid w:val="00647D7F"/>
    <w:rsid w:val="00650FAF"/>
    <w:rsid w:val="00650FB8"/>
    <w:rsid w:val="00654648"/>
    <w:rsid w:val="00656031"/>
    <w:rsid w:val="0065604D"/>
    <w:rsid w:val="00660CC8"/>
    <w:rsid w:val="00670B6A"/>
    <w:rsid w:val="006741F4"/>
    <w:rsid w:val="006766C4"/>
    <w:rsid w:val="006775B1"/>
    <w:rsid w:val="00680160"/>
    <w:rsid w:val="00687807"/>
    <w:rsid w:val="006900A2"/>
    <w:rsid w:val="006900D0"/>
    <w:rsid w:val="00697146"/>
    <w:rsid w:val="0069756C"/>
    <w:rsid w:val="006A1594"/>
    <w:rsid w:val="006A329D"/>
    <w:rsid w:val="006B1B64"/>
    <w:rsid w:val="006B2CEF"/>
    <w:rsid w:val="006C00ED"/>
    <w:rsid w:val="006C1088"/>
    <w:rsid w:val="006C334D"/>
    <w:rsid w:val="006E43A7"/>
    <w:rsid w:val="006E58BB"/>
    <w:rsid w:val="006F2335"/>
    <w:rsid w:val="006F6B89"/>
    <w:rsid w:val="00733AD5"/>
    <w:rsid w:val="00733F24"/>
    <w:rsid w:val="007446F1"/>
    <w:rsid w:val="00745EE5"/>
    <w:rsid w:val="00746F94"/>
    <w:rsid w:val="00747166"/>
    <w:rsid w:val="0074787B"/>
    <w:rsid w:val="00757A58"/>
    <w:rsid w:val="007607A5"/>
    <w:rsid w:val="007673C8"/>
    <w:rsid w:val="00791C74"/>
    <w:rsid w:val="00797EE6"/>
    <w:rsid w:val="007A06F8"/>
    <w:rsid w:val="007B6180"/>
    <w:rsid w:val="007D503B"/>
    <w:rsid w:val="007D5F3B"/>
    <w:rsid w:val="007F25EE"/>
    <w:rsid w:val="007F419F"/>
    <w:rsid w:val="007F7AC1"/>
    <w:rsid w:val="00800CC5"/>
    <w:rsid w:val="00802A01"/>
    <w:rsid w:val="008045C5"/>
    <w:rsid w:val="00813DED"/>
    <w:rsid w:val="00815423"/>
    <w:rsid w:val="008173E0"/>
    <w:rsid w:val="0082404D"/>
    <w:rsid w:val="00834249"/>
    <w:rsid w:val="008353FE"/>
    <w:rsid w:val="0083744D"/>
    <w:rsid w:val="0086237A"/>
    <w:rsid w:val="008672F6"/>
    <w:rsid w:val="00867AD5"/>
    <w:rsid w:val="00873B88"/>
    <w:rsid w:val="008873FF"/>
    <w:rsid w:val="00887AD3"/>
    <w:rsid w:val="0089042B"/>
    <w:rsid w:val="008A2454"/>
    <w:rsid w:val="008A2C9E"/>
    <w:rsid w:val="008A60E1"/>
    <w:rsid w:val="008A76CB"/>
    <w:rsid w:val="008B0A42"/>
    <w:rsid w:val="008B5F70"/>
    <w:rsid w:val="008B7F07"/>
    <w:rsid w:val="008C108B"/>
    <w:rsid w:val="008C5673"/>
    <w:rsid w:val="008D2AAF"/>
    <w:rsid w:val="008E1678"/>
    <w:rsid w:val="008E7BD2"/>
    <w:rsid w:val="008F2514"/>
    <w:rsid w:val="008F3FD1"/>
    <w:rsid w:val="008F623D"/>
    <w:rsid w:val="008F6798"/>
    <w:rsid w:val="009015AB"/>
    <w:rsid w:val="00905C60"/>
    <w:rsid w:val="00912188"/>
    <w:rsid w:val="00926D6C"/>
    <w:rsid w:val="00927825"/>
    <w:rsid w:val="009319A9"/>
    <w:rsid w:val="0093501C"/>
    <w:rsid w:val="009457DF"/>
    <w:rsid w:val="00947880"/>
    <w:rsid w:val="0095148B"/>
    <w:rsid w:val="009554C3"/>
    <w:rsid w:val="0096636E"/>
    <w:rsid w:val="0096659A"/>
    <w:rsid w:val="009702D9"/>
    <w:rsid w:val="009756C8"/>
    <w:rsid w:val="009756FE"/>
    <w:rsid w:val="00990474"/>
    <w:rsid w:val="0099356C"/>
    <w:rsid w:val="00996CD1"/>
    <w:rsid w:val="009A2E06"/>
    <w:rsid w:val="009A76E8"/>
    <w:rsid w:val="009B4686"/>
    <w:rsid w:val="009B6390"/>
    <w:rsid w:val="009E0179"/>
    <w:rsid w:val="009E43CA"/>
    <w:rsid w:val="009F4329"/>
    <w:rsid w:val="009F7DE7"/>
    <w:rsid w:val="00A00F7C"/>
    <w:rsid w:val="00A2248E"/>
    <w:rsid w:val="00A23255"/>
    <w:rsid w:val="00A253E8"/>
    <w:rsid w:val="00A255D7"/>
    <w:rsid w:val="00A264BE"/>
    <w:rsid w:val="00A26621"/>
    <w:rsid w:val="00A37DED"/>
    <w:rsid w:val="00A40CE6"/>
    <w:rsid w:val="00A4508B"/>
    <w:rsid w:val="00A56E6E"/>
    <w:rsid w:val="00A5719A"/>
    <w:rsid w:val="00A57C04"/>
    <w:rsid w:val="00A62BF6"/>
    <w:rsid w:val="00A652AA"/>
    <w:rsid w:val="00A674AE"/>
    <w:rsid w:val="00A763F8"/>
    <w:rsid w:val="00A909FD"/>
    <w:rsid w:val="00A9195D"/>
    <w:rsid w:val="00A92BEA"/>
    <w:rsid w:val="00A97081"/>
    <w:rsid w:val="00AA6233"/>
    <w:rsid w:val="00AB0206"/>
    <w:rsid w:val="00AB2F31"/>
    <w:rsid w:val="00AB6ADF"/>
    <w:rsid w:val="00AC6EA1"/>
    <w:rsid w:val="00AD277D"/>
    <w:rsid w:val="00AD2B04"/>
    <w:rsid w:val="00AD672B"/>
    <w:rsid w:val="00AE60A4"/>
    <w:rsid w:val="00AF4494"/>
    <w:rsid w:val="00AF6BE2"/>
    <w:rsid w:val="00AF7BB9"/>
    <w:rsid w:val="00B05F6C"/>
    <w:rsid w:val="00B10895"/>
    <w:rsid w:val="00B160BE"/>
    <w:rsid w:val="00B17978"/>
    <w:rsid w:val="00B2048F"/>
    <w:rsid w:val="00B23A25"/>
    <w:rsid w:val="00B246C5"/>
    <w:rsid w:val="00B570DB"/>
    <w:rsid w:val="00B60C0E"/>
    <w:rsid w:val="00B60DC9"/>
    <w:rsid w:val="00B61F06"/>
    <w:rsid w:val="00B62D01"/>
    <w:rsid w:val="00B65DDD"/>
    <w:rsid w:val="00B70DFE"/>
    <w:rsid w:val="00B717C3"/>
    <w:rsid w:val="00B74BF5"/>
    <w:rsid w:val="00B75238"/>
    <w:rsid w:val="00B77CD6"/>
    <w:rsid w:val="00B82163"/>
    <w:rsid w:val="00B837FC"/>
    <w:rsid w:val="00BA2882"/>
    <w:rsid w:val="00BA3755"/>
    <w:rsid w:val="00BA5236"/>
    <w:rsid w:val="00BA54F7"/>
    <w:rsid w:val="00BB10F2"/>
    <w:rsid w:val="00BB4D44"/>
    <w:rsid w:val="00BC20AC"/>
    <w:rsid w:val="00BC24E1"/>
    <w:rsid w:val="00BC5122"/>
    <w:rsid w:val="00BE2747"/>
    <w:rsid w:val="00BF250B"/>
    <w:rsid w:val="00C003DE"/>
    <w:rsid w:val="00C03761"/>
    <w:rsid w:val="00C133FD"/>
    <w:rsid w:val="00C208BB"/>
    <w:rsid w:val="00C216DE"/>
    <w:rsid w:val="00C2455A"/>
    <w:rsid w:val="00C26EB5"/>
    <w:rsid w:val="00C31363"/>
    <w:rsid w:val="00C35F75"/>
    <w:rsid w:val="00C457E6"/>
    <w:rsid w:val="00C52175"/>
    <w:rsid w:val="00C614D2"/>
    <w:rsid w:val="00C63584"/>
    <w:rsid w:val="00C64EE6"/>
    <w:rsid w:val="00C7074D"/>
    <w:rsid w:val="00C74D0C"/>
    <w:rsid w:val="00C830EF"/>
    <w:rsid w:val="00C8437B"/>
    <w:rsid w:val="00C86B37"/>
    <w:rsid w:val="00CA0D40"/>
    <w:rsid w:val="00CA4AAC"/>
    <w:rsid w:val="00CA6307"/>
    <w:rsid w:val="00CB0DB4"/>
    <w:rsid w:val="00CB5A26"/>
    <w:rsid w:val="00CB5AB1"/>
    <w:rsid w:val="00CB7C1D"/>
    <w:rsid w:val="00CC356F"/>
    <w:rsid w:val="00CD3B30"/>
    <w:rsid w:val="00CD4650"/>
    <w:rsid w:val="00CE15B1"/>
    <w:rsid w:val="00CE4DDC"/>
    <w:rsid w:val="00D268C6"/>
    <w:rsid w:val="00D34030"/>
    <w:rsid w:val="00D35429"/>
    <w:rsid w:val="00D40B12"/>
    <w:rsid w:val="00D40B7E"/>
    <w:rsid w:val="00D453D3"/>
    <w:rsid w:val="00D45A86"/>
    <w:rsid w:val="00D534AE"/>
    <w:rsid w:val="00D614BB"/>
    <w:rsid w:val="00D70EC4"/>
    <w:rsid w:val="00D7737B"/>
    <w:rsid w:val="00D8083D"/>
    <w:rsid w:val="00D879CB"/>
    <w:rsid w:val="00D9099F"/>
    <w:rsid w:val="00D93045"/>
    <w:rsid w:val="00D93A51"/>
    <w:rsid w:val="00D967E7"/>
    <w:rsid w:val="00D977FF"/>
    <w:rsid w:val="00DA4907"/>
    <w:rsid w:val="00DA753D"/>
    <w:rsid w:val="00DB1D1C"/>
    <w:rsid w:val="00DB437A"/>
    <w:rsid w:val="00DD0C44"/>
    <w:rsid w:val="00DD2882"/>
    <w:rsid w:val="00DD34A9"/>
    <w:rsid w:val="00DE5F82"/>
    <w:rsid w:val="00DF165A"/>
    <w:rsid w:val="00DF1BC9"/>
    <w:rsid w:val="00E03CF9"/>
    <w:rsid w:val="00E07ED4"/>
    <w:rsid w:val="00E154B4"/>
    <w:rsid w:val="00E1781B"/>
    <w:rsid w:val="00E202B5"/>
    <w:rsid w:val="00E20B87"/>
    <w:rsid w:val="00E20D85"/>
    <w:rsid w:val="00E30140"/>
    <w:rsid w:val="00E40069"/>
    <w:rsid w:val="00E40AC7"/>
    <w:rsid w:val="00E41DF1"/>
    <w:rsid w:val="00E5647B"/>
    <w:rsid w:val="00E56506"/>
    <w:rsid w:val="00E57562"/>
    <w:rsid w:val="00E57A84"/>
    <w:rsid w:val="00E62F9B"/>
    <w:rsid w:val="00E86570"/>
    <w:rsid w:val="00E87C82"/>
    <w:rsid w:val="00E927CE"/>
    <w:rsid w:val="00E93F86"/>
    <w:rsid w:val="00EA2C0A"/>
    <w:rsid w:val="00EA65E4"/>
    <w:rsid w:val="00EB35AA"/>
    <w:rsid w:val="00EB6B39"/>
    <w:rsid w:val="00ED0D2F"/>
    <w:rsid w:val="00EE2EC6"/>
    <w:rsid w:val="00EE6C98"/>
    <w:rsid w:val="00EF7B99"/>
    <w:rsid w:val="00F04A69"/>
    <w:rsid w:val="00F04FB0"/>
    <w:rsid w:val="00F0602B"/>
    <w:rsid w:val="00F076EB"/>
    <w:rsid w:val="00F17E9B"/>
    <w:rsid w:val="00F247E9"/>
    <w:rsid w:val="00F268B3"/>
    <w:rsid w:val="00F31B67"/>
    <w:rsid w:val="00F32B1A"/>
    <w:rsid w:val="00F32F9A"/>
    <w:rsid w:val="00F34A3A"/>
    <w:rsid w:val="00F5054E"/>
    <w:rsid w:val="00F526C1"/>
    <w:rsid w:val="00F53016"/>
    <w:rsid w:val="00F55662"/>
    <w:rsid w:val="00F60F96"/>
    <w:rsid w:val="00F63D39"/>
    <w:rsid w:val="00F66404"/>
    <w:rsid w:val="00F700E8"/>
    <w:rsid w:val="00F81D1A"/>
    <w:rsid w:val="00F853EF"/>
    <w:rsid w:val="00F924E6"/>
    <w:rsid w:val="00FA34E3"/>
    <w:rsid w:val="00FA5379"/>
    <w:rsid w:val="00FA7974"/>
    <w:rsid w:val="00FC1C1E"/>
    <w:rsid w:val="00FC38AC"/>
    <w:rsid w:val="00FC6D94"/>
    <w:rsid w:val="00FD2475"/>
    <w:rsid w:val="00FD4033"/>
    <w:rsid w:val="00FD4CF1"/>
    <w:rsid w:val="00FE05C2"/>
    <w:rsid w:val="00FE6AA0"/>
    <w:rsid w:val="00FE712F"/>
    <w:rsid w:val="00FF62F0"/>
    <w:rsid w:val="00FF66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0DE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081"/>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4C620B"/>
  </w:style>
  <w:style w:type="character" w:styleId="a4">
    <w:name w:val="Hyperlink"/>
    <w:basedOn w:val="a0"/>
    <w:uiPriority w:val="99"/>
    <w:unhideWhenUsed/>
    <w:rsid w:val="000F1F3B"/>
    <w:rPr>
      <w:color w:val="0563C1" w:themeColor="hyperlink"/>
      <w:u w:val="single"/>
    </w:rPr>
  </w:style>
  <w:style w:type="paragraph" w:customStyle="1" w:styleId="EndNoteBibliographyTitle">
    <w:name w:val="EndNote Bibliography Title"/>
    <w:basedOn w:val="a"/>
    <w:link w:val="EndNoteBibliographyTitleChar"/>
    <w:rsid w:val="000E4393"/>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0E4393"/>
    <w:rPr>
      <w:rFonts w:ascii="맑은 고딕" w:eastAsia="맑은 고딕" w:hAnsi="맑은 고딕"/>
      <w:noProof/>
    </w:rPr>
  </w:style>
  <w:style w:type="paragraph" w:customStyle="1" w:styleId="EndNoteBibliography">
    <w:name w:val="EndNote Bibliography"/>
    <w:basedOn w:val="a"/>
    <w:link w:val="EndNoteBibliographyChar"/>
    <w:rsid w:val="000E4393"/>
    <w:pPr>
      <w:spacing w:line="240" w:lineRule="auto"/>
      <w:jc w:val="center"/>
    </w:pPr>
    <w:rPr>
      <w:rFonts w:ascii="맑은 고딕" w:eastAsia="맑은 고딕" w:hAnsi="맑은 고딕"/>
      <w:noProof/>
    </w:rPr>
  </w:style>
  <w:style w:type="character" w:customStyle="1" w:styleId="EndNoteBibliographyChar">
    <w:name w:val="EndNote Bibliography Char"/>
    <w:basedOn w:val="a0"/>
    <w:link w:val="EndNoteBibliography"/>
    <w:rsid w:val="000E4393"/>
    <w:rPr>
      <w:rFonts w:ascii="맑은 고딕" w:eastAsia="맑은 고딕" w:hAnsi="맑은 고딕"/>
      <w:noProof/>
    </w:rPr>
  </w:style>
  <w:style w:type="paragraph" w:styleId="a5">
    <w:name w:val="header"/>
    <w:basedOn w:val="a"/>
    <w:link w:val="Char"/>
    <w:uiPriority w:val="99"/>
    <w:unhideWhenUsed/>
    <w:rsid w:val="0099356C"/>
    <w:pPr>
      <w:tabs>
        <w:tab w:val="center" w:pos="4513"/>
        <w:tab w:val="right" w:pos="9026"/>
      </w:tabs>
      <w:snapToGrid w:val="0"/>
    </w:pPr>
  </w:style>
  <w:style w:type="character" w:customStyle="1" w:styleId="Char">
    <w:name w:val="머리글 Char"/>
    <w:basedOn w:val="a0"/>
    <w:link w:val="a5"/>
    <w:uiPriority w:val="99"/>
    <w:rsid w:val="0099356C"/>
  </w:style>
  <w:style w:type="paragraph" w:styleId="a6">
    <w:name w:val="footer"/>
    <w:basedOn w:val="a"/>
    <w:link w:val="Char0"/>
    <w:uiPriority w:val="99"/>
    <w:unhideWhenUsed/>
    <w:rsid w:val="0099356C"/>
    <w:pPr>
      <w:tabs>
        <w:tab w:val="center" w:pos="4513"/>
        <w:tab w:val="right" w:pos="9026"/>
      </w:tabs>
      <w:snapToGrid w:val="0"/>
    </w:pPr>
  </w:style>
  <w:style w:type="character" w:customStyle="1" w:styleId="Char0">
    <w:name w:val="바닥글 Char"/>
    <w:basedOn w:val="a0"/>
    <w:link w:val="a6"/>
    <w:uiPriority w:val="99"/>
    <w:rsid w:val="0099356C"/>
  </w:style>
  <w:style w:type="paragraph" w:styleId="a7">
    <w:name w:val="Revision"/>
    <w:hidden/>
    <w:uiPriority w:val="99"/>
    <w:semiHidden/>
    <w:rsid w:val="00E57562"/>
    <w:pPr>
      <w:spacing w:after="0" w:line="240" w:lineRule="auto"/>
      <w:jc w:val="left"/>
    </w:pPr>
  </w:style>
  <w:style w:type="character" w:styleId="a8">
    <w:name w:val="annotation reference"/>
    <w:basedOn w:val="a0"/>
    <w:uiPriority w:val="99"/>
    <w:semiHidden/>
    <w:unhideWhenUsed/>
    <w:rsid w:val="004E71EB"/>
    <w:rPr>
      <w:sz w:val="16"/>
      <w:szCs w:val="16"/>
    </w:rPr>
  </w:style>
  <w:style w:type="paragraph" w:styleId="a9">
    <w:name w:val="annotation text"/>
    <w:basedOn w:val="a"/>
    <w:link w:val="Char1"/>
    <w:uiPriority w:val="99"/>
    <w:semiHidden/>
    <w:unhideWhenUsed/>
    <w:rsid w:val="004E71EB"/>
    <w:pPr>
      <w:spacing w:line="240" w:lineRule="auto"/>
    </w:pPr>
    <w:rPr>
      <w:szCs w:val="20"/>
    </w:rPr>
  </w:style>
  <w:style w:type="character" w:customStyle="1" w:styleId="Char1">
    <w:name w:val="메모 텍스트 Char"/>
    <w:basedOn w:val="a0"/>
    <w:link w:val="a9"/>
    <w:uiPriority w:val="99"/>
    <w:semiHidden/>
    <w:rsid w:val="004E71EB"/>
    <w:rPr>
      <w:szCs w:val="20"/>
    </w:rPr>
  </w:style>
  <w:style w:type="paragraph" w:styleId="aa">
    <w:name w:val="annotation subject"/>
    <w:basedOn w:val="a9"/>
    <w:next w:val="a9"/>
    <w:link w:val="Char2"/>
    <w:uiPriority w:val="99"/>
    <w:semiHidden/>
    <w:unhideWhenUsed/>
    <w:rsid w:val="004E71EB"/>
    <w:rPr>
      <w:b/>
      <w:bCs/>
    </w:rPr>
  </w:style>
  <w:style w:type="character" w:customStyle="1" w:styleId="Char2">
    <w:name w:val="메모 주제 Char"/>
    <w:basedOn w:val="Char1"/>
    <w:link w:val="aa"/>
    <w:uiPriority w:val="99"/>
    <w:semiHidden/>
    <w:rsid w:val="004E71EB"/>
    <w:rPr>
      <w:b/>
      <w:bCs/>
      <w:szCs w:val="20"/>
    </w:rPr>
  </w:style>
  <w:style w:type="paragraph" w:styleId="ab">
    <w:name w:val="Balloon Text"/>
    <w:basedOn w:val="a"/>
    <w:link w:val="Char3"/>
    <w:uiPriority w:val="99"/>
    <w:semiHidden/>
    <w:unhideWhenUsed/>
    <w:rsid w:val="00660CC8"/>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b"/>
    <w:uiPriority w:val="99"/>
    <w:semiHidden/>
    <w:rsid w:val="00660CC8"/>
    <w:rPr>
      <w:rFonts w:asciiTheme="majorHAnsi" w:eastAsiaTheme="majorEastAsia" w:hAnsiTheme="majorHAnsi" w:cstheme="majorBidi"/>
      <w:sz w:val="18"/>
      <w:szCs w:val="18"/>
    </w:rPr>
  </w:style>
  <w:style w:type="paragraph" w:styleId="ac">
    <w:name w:val="List Paragraph"/>
    <w:basedOn w:val="a"/>
    <w:uiPriority w:val="34"/>
    <w:qFormat/>
    <w:rsid w:val="00A5719A"/>
    <w:pPr>
      <w:ind w:leftChars="400" w:left="800"/>
    </w:pPr>
  </w:style>
  <w:style w:type="paragraph" w:styleId="ad">
    <w:name w:val="Normal (Web)"/>
    <w:basedOn w:val="a"/>
    <w:uiPriority w:val="99"/>
    <w:semiHidden/>
    <w:unhideWhenUsed/>
    <w:rsid w:val="00EE2EC6"/>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e">
    <w:name w:val="Unresolved Mention"/>
    <w:basedOn w:val="a0"/>
    <w:uiPriority w:val="99"/>
    <w:semiHidden/>
    <w:unhideWhenUsed/>
    <w:rsid w:val="00A57C04"/>
    <w:rPr>
      <w:color w:val="605E5C"/>
      <w:shd w:val="clear" w:color="auto" w:fill="E1DFDD"/>
    </w:rPr>
  </w:style>
  <w:style w:type="character" w:styleId="af">
    <w:name w:val="Placeholder Text"/>
    <w:basedOn w:val="a0"/>
    <w:uiPriority w:val="99"/>
    <w:semiHidden/>
    <w:rsid w:val="00DD288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93596">
      <w:bodyDiv w:val="1"/>
      <w:marLeft w:val="0"/>
      <w:marRight w:val="0"/>
      <w:marTop w:val="0"/>
      <w:marBottom w:val="0"/>
      <w:divBdr>
        <w:top w:val="none" w:sz="0" w:space="0" w:color="auto"/>
        <w:left w:val="none" w:sz="0" w:space="0" w:color="auto"/>
        <w:bottom w:val="none" w:sz="0" w:space="0" w:color="auto"/>
        <w:right w:val="none" w:sz="0" w:space="0" w:color="auto"/>
      </w:divBdr>
    </w:div>
    <w:div w:id="88696055">
      <w:bodyDiv w:val="1"/>
      <w:marLeft w:val="0"/>
      <w:marRight w:val="0"/>
      <w:marTop w:val="0"/>
      <w:marBottom w:val="0"/>
      <w:divBdr>
        <w:top w:val="none" w:sz="0" w:space="0" w:color="auto"/>
        <w:left w:val="none" w:sz="0" w:space="0" w:color="auto"/>
        <w:bottom w:val="none" w:sz="0" w:space="0" w:color="auto"/>
        <w:right w:val="none" w:sz="0" w:space="0" w:color="auto"/>
      </w:divBdr>
    </w:div>
    <w:div w:id="98372651">
      <w:bodyDiv w:val="1"/>
      <w:marLeft w:val="0"/>
      <w:marRight w:val="0"/>
      <w:marTop w:val="0"/>
      <w:marBottom w:val="0"/>
      <w:divBdr>
        <w:top w:val="none" w:sz="0" w:space="0" w:color="auto"/>
        <w:left w:val="none" w:sz="0" w:space="0" w:color="auto"/>
        <w:bottom w:val="none" w:sz="0" w:space="0" w:color="auto"/>
        <w:right w:val="none" w:sz="0" w:space="0" w:color="auto"/>
      </w:divBdr>
    </w:div>
    <w:div w:id="103765543">
      <w:bodyDiv w:val="1"/>
      <w:marLeft w:val="0"/>
      <w:marRight w:val="0"/>
      <w:marTop w:val="0"/>
      <w:marBottom w:val="0"/>
      <w:divBdr>
        <w:top w:val="none" w:sz="0" w:space="0" w:color="auto"/>
        <w:left w:val="none" w:sz="0" w:space="0" w:color="auto"/>
        <w:bottom w:val="none" w:sz="0" w:space="0" w:color="auto"/>
        <w:right w:val="none" w:sz="0" w:space="0" w:color="auto"/>
      </w:divBdr>
    </w:div>
    <w:div w:id="120193748">
      <w:bodyDiv w:val="1"/>
      <w:marLeft w:val="0"/>
      <w:marRight w:val="0"/>
      <w:marTop w:val="0"/>
      <w:marBottom w:val="0"/>
      <w:divBdr>
        <w:top w:val="none" w:sz="0" w:space="0" w:color="auto"/>
        <w:left w:val="none" w:sz="0" w:space="0" w:color="auto"/>
        <w:bottom w:val="none" w:sz="0" w:space="0" w:color="auto"/>
        <w:right w:val="none" w:sz="0" w:space="0" w:color="auto"/>
      </w:divBdr>
    </w:div>
    <w:div w:id="121772087">
      <w:bodyDiv w:val="1"/>
      <w:marLeft w:val="0"/>
      <w:marRight w:val="0"/>
      <w:marTop w:val="0"/>
      <w:marBottom w:val="0"/>
      <w:divBdr>
        <w:top w:val="none" w:sz="0" w:space="0" w:color="auto"/>
        <w:left w:val="none" w:sz="0" w:space="0" w:color="auto"/>
        <w:bottom w:val="none" w:sz="0" w:space="0" w:color="auto"/>
        <w:right w:val="none" w:sz="0" w:space="0" w:color="auto"/>
      </w:divBdr>
    </w:div>
    <w:div w:id="142091502">
      <w:bodyDiv w:val="1"/>
      <w:marLeft w:val="0"/>
      <w:marRight w:val="0"/>
      <w:marTop w:val="0"/>
      <w:marBottom w:val="0"/>
      <w:divBdr>
        <w:top w:val="none" w:sz="0" w:space="0" w:color="auto"/>
        <w:left w:val="none" w:sz="0" w:space="0" w:color="auto"/>
        <w:bottom w:val="none" w:sz="0" w:space="0" w:color="auto"/>
        <w:right w:val="none" w:sz="0" w:space="0" w:color="auto"/>
      </w:divBdr>
    </w:div>
    <w:div w:id="147985294">
      <w:bodyDiv w:val="1"/>
      <w:marLeft w:val="0"/>
      <w:marRight w:val="0"/>
      <w:marTop w:val="0"/>
      <w:marBottom w:val="0"/>
      <w:divBdr>
        <w:top w:val="none" w:sz="0" w:space="0" w:color="auto"/>
        <w:left w:val="none" w:sz="0" w:space="0" w:color="auto"/>
        <w:bottom w:val="none" w:sz="0" w:space="0" w:color="auto"/>
        <w:right w:val="none" w:sz="0" w:space="0" w:color="auto"/>
      </w:divBdr>
    </w:div>
    <w:div w:id="156583375">
      <w:bodyDiv w:val="1"/>
      <w:marLeft w:val="0"/>
      <w:marRight w:val="0"/>
      <w:marTop w:val="0"/>
      <w:marBottom w:val="0"/>
      <w:divBdr>
        <w:top w:val="none" w:sz="0" w:space="0" w:color="auto"/>
        <w:left w:val="none" w:sz="0" w:space="0" w:color="auto"/>
        <w:bottom w:val="none" w:sz="0" w:space="0" w:color="auto"/>
        <w:right w:val="none" w:sz="0" w:space="0" w:color="auto"/>
      </w:divBdr>
    </w:div>
    <w:div w:id="163277693">
      <w:bodyDiv w:val="1"/>
      <w:marLeft w:val="0"/>
      <w:marRight w:val="0"/>
      <w:marTop w:val="0"/>
      <w:marBottom w:val="0"/>
      <w:divBdr>
        <w:top w:val="none" w:sz="0" w:space="0" w:color="auto"/>
        <w:left w:val="none" w:sz="0" w:space="0" w:color="auto"/>
        <w:bottom w:val="none" w:sz="0" w:space="0" w:color="auto"/>
        <w:right w:val="none" w:sz="0" w:space="0" w:color="auto"/>
      </w:divBdr>
    </w:div>
    <w:div w:id="176116796">
      <w:bodyDiv w:val="1"/>
      <w:marLeft w:val="0"/>
      <w:marRight w:val="0"/>
      <w:marTop w:val="0"/>
      <w:marBottom w:val="0"/>
      <w:divBdr>
        <w:top w:val="none" w:sz="0" w:space="0" w:color="auto"/>
        <w:left w:val="none" w:sz="0" w:space="0" w:color="auto"/>
        <w:bottom w:val="none" w:sz="0" w:space="0" w:color="auto"/>
        <w:right w:val="none" w:sz="0" w:space="0" w:color="auto"/>
      </w:divBdr>
    </w:div>
    <w:div w:id="177816773">
      <w:bodyDiv w:val="1"/>
      <w:marLeft w:val="0"/>
      <w:marRight w:val="0"/>
      <w:marTop w:val="0"/>
      <w:marBottom w:val="0"/>
      <w:divBdr>
        <w:top w:val="none" w:sz="0" w:space="0" w:color="auto"/>
        <w:left w:val="none" w:sz="0" w:space="0" w:color="auto"/>
        <w:bottom w:val="none" w:sz="0" w:space="0" w:color="auto"/>
        <w:right w:val="none" w:sz="0" w:space="0" w:color="auto"/>
      </w:divBdr>
    </w:div>
    <w:div w:id="180434557">
      <w:bodyDiv w:val="1"/>
      <w:marLeft w:val="0"/>
      <w:marRight w:val="0"/>
      <w:marTop w:val="0"/>
      <w:marBottom w:val="0"/>
      <w:divBdr>
        <w:top w:val="none" w:sz="0" w:space="0" w:color="auto"/>
        <w:left w:val="none" w:sz="0" w:space="0" w:color="auto"/>
        <w:bottom w:val="none" w:sz="0" w:space="0" w:color="auto"/>
        <w:right w:val="none" w:sz="0" w:space="0" w:color="auto"/>
      </w:divBdr>
    </w:div>
    <w:div w:id="201407085">
      <w:bodyDiv w:val="1"/>
      <w:marLeft w:val="0"/>
      <w:marRight w:val="0"/>
      <w:marTop w:val="0"/>
      <w:marBottom w:val="0"/>
      <w:divBdr>
        <w:top w:val="none" w:sz="0" w:space="0" w:color="auto"/>
        <w:left w:val="none" w:sz="0" w:space="0" w:color="auto"/>
        <w:bottom w:val="none" w:sz="0" w:space="0" w:color="auto"/>
        <w:right w:val="none" w:sz="0" w:space="0" w:color="auto"/>
      </w:divBdr>
    </w:div>
    <w:div w:id="246421520">
      <w:bodyDiv w:val="1"/>
      <w:marLeft w:val="0"/>
      <w:marRight w:val="0"/>
      <w:marTop w:val="0"/>
      <w:marBottom w:val="0"/>
      <w:divBdr>
        <w:top w:val="none" w:sz="0" w:space="0" w:color="auto"/>
        <w:left w:val="none" w:sz="0" w:space="0" w:color="auto"/>
        <w:bottom w:val="none" w:sz="0" w:space="0" w:color="auto"/>
        <w:right w:val="none" w:sz="0" w:space="0" w:color="auto"/>
      </w:divBdr>
    </w:div>
    <w:div w:id="254826246">
      <w:bodyDiv w:val="1"/>
      <w:marLeft w:val="0"/>
      <w:marRight w:val="0"/>
      <w:marTop w:val="0"/>
      <w:marBottom w:val="0"/>
      <w:divBdr>
        <w:top w:val="none" w:sz="0" w:space="0" w:color="auto"/>
        <w:left w:val="none" w:sz="0" w:space="0" w:color="auto"/>
        <w:bottom w:val="none" w:sz="0" w:space="0" w:color="auto"/>
        <w:right w:val="none" w:sz="0" w:space="0" w:color="auto"/>
      </w:divBdr>
    </w:div>
    <w:div w:id="275841173">
      <w:bodyDiv w:val="1"/>
      <w:marLeft w:val="0"/>
      <w:marRight w:val="0"/>
      <w:marTop w:val="0"/>
      <w:marBottom w:val="0"/>
      <w:divBdr>
        <w:top w:val="none" w:sz="0" w:space="0" w:color="auto"/>
        <w:left w:val="none" w:sz="0" w:space="0" w:color="auto"/>
        <w:bottom w:val="none" w:sz="0" w:space="0" w:color="auto"/>
        <w:right w:val="none" w:sz="0" w:space="0" w:color="auto"/>
      </w:divBdr>
    </w:div>
    <w:div w:id="321206417">
      <w:bodyDiv w:val="1"/>
      <w:marLeft w:val="0"/>
      <w:marRight w:val="0"/>
      <w:marTop w:val="0"/>
      <w:marBottom w:val="0"/>
      <w:divBdr>
        <w:top w:val="none" w:sz="0" w:space="0" w:color="auto"/>
        <w:left w:val="none" w:sz="0" w:space="0" w:color="auto"/>
        <w:bottom w:val="none" w:sz="0" w:space="0" w:color="auto"/>
        <w:right w:val="none" w:sz="0" w:space="0" w:color="auto"/>
      </w:divBdr>
    </w:div>
    <w:div w:id="324482584">
      <w:bodyDiv w:val="1"/>
      <w:marLeft w:val="0"/>
      <w:marRight w:val="0"/>
      <w:marTop w:val="0"/>
      <w:marBottom w:val="0"/>
      <w:divBdr>
        <w:top w:val="none" w:sz="0" w:space="0" w:color="auto"/>
        <w:left w:val="none" w:sz="0" w:space="0" w:color="auto"/>
        <w:bottom w:val="none" w:sz="0" w:space="0" w:color="auto"/>
        <w:right w:val="none" w:sz="0" w:space="0" w:color="auto"/>
      </w:divBdr>
    </w:div>
    <w:div w:id="337315202">
      <w:bodyDiv w:val="1"/>
      <w:marLeft w:val="0"/>
      <w:marRight w:val="0"/>
      <w:marTop w:val="0"/>
      <w:marBottom w:val="0"/>
      <w:divBdr>
        <w:top w:val="none" w:sz="0" w:space="0" w:color="auto"/>
        <w:left w:val="none" w:sz="0" w:space="0" w:color="auto"/>
        <w:bottom w:val="none" w:sz="0" w:space="0" w:color="auto"/>
        <w:right w:val="none" w:sz="0" w:space="0" w:color="auto"/>
      </w:divBdr>
    </w:div>
    <w:div w:id="348681175">
      <w:bodyDiv w:val="1"/>
      <w:marLeft w:val="0"/>
      <w:marRight w:val="0"/>
      <w:marTop w:val="0"/>
      <w:marBottom w:val="0"/>
      <w:divBdr>
        <w:top w:val="none" w:sz="0" w:space="0" w:color="auto"/>
        <w:left w:val="none" w:sz="0" w:space="0" w:color="auto"/>
        <w:bottom w:val="none" w:sz="0" w:space="0" w:color="auto"/>
        <w:right w:val="none" w:sz="0" w:space="0" w:color="auto"/>
      </w:divBdr>
    </w:div>
    <w:div w:id="372773727">
      <w:bodyDiv w:val="1"/>
      <w:marLeft w:val="0"/>
      <w:marRight w:val="0"/>
      <w:marTop w:val="0"/>
      <w:marBottom w:val="0"/>
      <w:divBdr>
        <w:top w:val="none" w:sz="0" w:space="0" w:color="auto"/>
        <w:left w:val="none" w:sz="0" w:space="0" w:color="auto"/>
        <w:bottom w:val="none" w:sz="0" w:space="0" w:color="auto"/>
        <w:right w:val="none" w:sz="0" w:space="0" w:color="auto"/>
      </w:divBdr>
    </w:div>
    <w:div w:id="385834031">
      <w:bodyDiv w:val="1"/>
      <w:marLeft w:val="0"/>
      <w:marRight w:val="0"/>
      <w:marTop w:val="0"/>
      <w:marBottom w:val="0"/>
      <w:divBdr>
        <w:top w:val="none" w:sz="0" w:space="0" w:color="auto"/>
        <w:left w:val="none" w:sz="0" w:space="0" w:color="auto"/>
        <w:bottom w:val="none" w:sz="0" w:space="0" w:color="auto"/>
        <w:right w:val="none" w:sz="0" w:space="0" w:color="auto"/>
      </w:divBdr>
    </w:div>
    <w:div w:id="388966067">
      <w:bodyDiv w:val="1"/>
      <w:marLeft w:val="0"/>
      <w:marRight w:val="0"/>
      <w:marTop w:val="0"/>
      <w:marBottom w:val="0"/>
      <w:divBdr>
        <w:top w:val="none" w:sz="0" w:space="0" w:color="auto"/>
        <w:left w:val="none" w:sz="0" w:space="0" w:color="auto"/>
        <w:bottom w:val="none" w:sz="0" w:space="0" w:color="auto"/>
        <w:right w:val="none" w:sz="0" w:space="0" w:color="auto"/>
      </w:divBdr>
    </w:div>
    <w:div w:id="397168697">
      <w:bodyDiv w:val="1"/>
      <w:marLeft w:val="0"/>
      <w:marRight w:val="0"/>
      <w:marTop w:val="0"/>
      <w:marBottom w:val="0"/>
      <w:divBdr>
        <w:top w:val="none" w:sz="0" w:space="0" w:color="auto"/>
        <w:left w:val="none" w:sz="0" w:space="0" w:color="auto"/>
        <w:bottom w:val="none" w:sz="0" w:space="0" w:color="auto"/>
        <w:right w:val="none" w:sz="0" w:space="0" w:color="auto"/>
      </w:divBdr>
    </w:div>
    <w:div w:id="404182578">
      <w:bodyDiv w:val="1"/>
      <w:marLeft w:val="0"/>
      <w:marRight w:val="0"/>
      <w:marTop w:val="0"/>
      <w:marBottom w:val="0"/>
      <w:divBdr>
        <w:top w:val="none" w:sz="0" w:space="0" w:color="auto"/>
        <w:left w:val="none" w:sz="0" w:space="0" w:color="auto"/>
        <w:bottom w:val="none" w:sz="0" w:space="0" w:color="auto"/>
        <w:right w:val="none" w:sz="0" w:space="0" w:color="auto"/>
      </w:divBdr>
    </w:div>
    <w:div w:id="467094076">
      <w:bodyDiv w:val="1"/>
      <w:marLeft w:val="0"/>
      <w:marRight w:val="0"/>
      <w:marTop w:val="0"/>
      <w:marBottom w:val="0"/>
      <w:divBdr>
        <w:top w:val="none" w:sz="0" w:space="0" w:color="auto"/>
        <w:left w:val="none" w:sz="0" w:space="0" w:color="auto"/>
        <w:bottom w:val="none" w:sz="0" w:space="0" w:color="auto"/>
        <w:right w:val="none" w:sz="0" w:space="0" w:color="auto"/>
      </w:divBdr>
    </w:div>
    <w:div w:id="479466866">
      <w:bodyDiv w:val="1"/>
      <w:marLeft w:val="0"/>
      <w:marRight w:val="0"/>
      <w:marTop w:val="0"/>
      <w:marBottom w:val="0"/>
      <w:divBdr>
        <w:top w:val="none" w:sz="0" w:space="0" w:color="auto"/>
        <w:left w:val="none" w:sz="0" w:space="0" w:color="auto"/>
        <w:bottom w:val="none" w:sz="0" w:space="0" w:color="auto"/>
        <w:right w:val="none" w:sz="0" w:space="0" w:color="auto"/>
      </w:divBdr>
    </w:div>
    <w:div w:id="483395410">
      <w:bodyDiv w:val="1"/>
      <w:marLeft w:val="0"/>
      <w:marRight w:val="0"/>
      <w:marTop w:val="0"/>
      <w:marBottom w:val="0"/>
      <w:divBdr>
        <w:top w:val="none" w:sz="0" w:space="0" w:color="auto"/>
        <w:left w:val="none" w:sz="0" w:space="0" w:color="auto"/>
        <w:bottom w:val="none" w:sz="0" w:space="0" w:color="auto"/>
        <w:right w:val="none" w:sz="0" w:space="0" w:color="auto"/>
      </w:divBdr>
    </w:div>
    <w:div w:id="493033383">
      <w:bodyDiv w:val="1"/>
      <w:marLeft w:val="0"/>
      <w:marRight w:val="0"/>
      <w:marTop w:val="0"/>
      <w:marBottom w:val="0"/>
      <w:divBdr>
        <w:top w:val="none" w:sz="0" w:space="0" w:color="auto"/>
        <w:left w:val="none" w:sz="0" w:space="0" w:color="auto"/>
        <w:bottom w:val="none" w:sz="0" w:space="0" w:color="auto"/>
        <w:right w:val="none" w:sz="0" w:space="0" w:color="auto"/>
      </w:divBdr>
    </w:div>
    <w:div w:id="509100938">
      <w:bodyDiv w:val="1"/>
      <w:marLeft w:val="0"/>
      <w:marRight w:val="0"/>
      <w:marTop w:val="0"/>
      <w:marBottom w:val="0"/>
      <w:divBdr>
        <w:top w:val="none" w:sz="0" w:space="0" w:color="auto"/>
        <w:left w:val="none" w:sz="0" w:space="0" w:color="auto"/>
        <w:bottom w:val="none" w:sz="0" w:space="0" w:color="auto"/>
        <w:right w:val="none" w:sz="0" w:space="0" w:color="auto"/>
      </w:divBdr>
    </w:div>
    <w:div w:id="521017190">
      <w:bodyDiv w:val="1"/>
      <w:marLeft w:val="0"/>
      <w:marRight w:val="0"/>
      <w:marTop w:val="0"/>
      <w:marBottom w:val="0"/>
      <w:divBdr>
        <w:top w:val="none" w:sz="0" w:space="0" w:color="auto"/>
        <w:left w:val="none" w:sz="0" w:space="0" w:color="auto"/>
        <w:bottom w:val="none" w:sz="0" w:space="0" w:color="auto"/>
        <w:right w:val="none" w:sz="0" w:space="0" w:color="auto"/>
      </w:divBdr>
    </w:div>
    <w:div w:id="530340292">
      <w:bodyDiv w:val="1"/>
      <w:marLeft w:val="0"/>
      <w:marRight w:val="0"/>
      <w:marTop w:val="0"/>
      <w:marBottom w:val="0"/>
      <w:divBdr>
        <w:top w:val="none" w:sz="0" w:space="0" w:color="auto"/>
        <w:left w:val="none" w:sz="0" w:space="0" w:color="auto"/>
        <w:bottom w:val="none" w:sz="0" w:space="0" w:color="auto"/>
        <w:right w:val="none" w:sz="0" w:space="0" w:color="auto"/>
      </w:divBdr>
    </w:div>
    <w:div w:id="547111984">
      <w:bodyDiv w:val="1"/>
      <w:marLeft w:val="0"/>
      <w:marRight w:val="0"/>
      <w:marTop w:val="0"/>
      <w:marBottom w:val="0"/>
      <w:divBdr>
        <w:top w:val="none" w:sz="0" w:space="0" w:color="auto"/>
        <w:left w:val="none" w:sz="0" w:space="0" w:color="auto"/>
        <w:bottom w:val="none" w:sz="0" w:space="0" w:color="auto"/>
        <w:right w:val="none" w:sz="0" w:space="0" w:color="auto"/>
      </w:divBdr>
    </w:div>
    <w:div w:id="550071452">
      <w:bodyDiv w:val="1"/>
      <w:marLeft w:val="0"/>
      <w:marRight w:val="0"/>
      <w:marTop w:val="0"/>
      <w:marBottom w:val="0"/>
      <w:divBdr>
        <w:top w:val="none" w:sz="0" w:space="0" w:color="auto"/>
        <w:left w:val="none" w:sz="0" w:space="0" w:color="auto"/>
        <w:bottom w:val="none" w:sz="0" w:space="0" w:color="auto"/>
        <w:right w:val="none" w:sz="0" w:space="0" w:color="auto"/>
      </w:divBdr>
    </w:div>
    <w:div w:id="557713277">
      <w:bodyDiv w:val="1"/>
      <w:marLeft w:val="0"/>
      <w:marRight w:val="0"/>
      <w:marTop w:val="0"/>
      <w:marBottom w:val="0"/>
      <w:divBdr>
        <w:top w:val="none" w:sz="0" w:space="0" w:color="auto"/>
        <w:left w:val="none" w:sz="0" w:space="0" w:color="auto"/>
        <w:bottom w:val="none" w:sz="0" w:space="0" w:color="auto"/>
        <w:right w:val="none" w:sz="0" w:space="0" w:color="auto"/>
      </w:divBdr>
    </w:div>
    <w:div w:id="610939509">
      <w:bodyDiv w:val="1"/>
      <w:marLeft w:val="0"/>
      <w:marRight w:val="0"/>
      <w:marTop w:val="0"/>
      <w:marBottom w:val="0"/>
      <w:divBdr>
        <w:top w:val="none" w:sz="0" w:space="0" w:color="auto"/>
        <w:left w:val="none" w:sz="0" w:space="0" w:color="auto"/>
        <w:bottom w:val="none" w:sz="0" w:space="0" w:color="auto"/>
        <w:right w:val="none" w:sz="0" w:space="0" w:color="auto"/>
      </w:divBdr>
    </w:div>
    <w:div w:id="624043781">
      <w:bodyDiv w:val="1"/>
      <w:marLeft w:val="0"/>
      <w:marRight w:val="0"/>
      <w:marTop w:val="0"/>
      <w:marBottom w:val="0"/>
      <w:divBdr>
        <w:top w:val="none" w:sz="0" w:space="0" w:color="auto"/>
        <w:left w:val="none" w:sz="0" w:space="0" w:color="auto"/>
        <w:bottom w:val="none" w:sz="0" w:space="0" w:color="auto"/>
        <w:right w:val="none" w:sz="0" w:space="0" w:color="auto"/>
      </w:divBdr>
    </w:div>
    <w:div w:id="671418301">
      <w:bodyDiv w:val="1"/>
      <w:marLeft w:val="0"/>
      <w:marRight w:val="0"/>
      <w:marTop w:val="0"/>
      <w:marBottom w:val="0"/>
      <w:divBdr>
        <w:top w:val="none" w:sz="0" w:space="0" w:color="auto"/>
        <w:left w:val="none" w:sz="0" w:space="0" w:color="auto"/>
        <w:bottom w:val="none" w:sz="0" w:space="0" w:color="auto"/>
        <w:right w:val="none" w:sz="0" w:space="0" w:color="auto"/>
      </w:divBdr>
    </w:div>
    <w:div w:id="707143124">
      <w:bodyDiv w:val="1"/>
      <w:marLeft w:val="0"/>
      <w:marRight w:val="0"/>
      <w:marTop w:val="0"/>
      <w:marBottom w:val="0"/>
      <w:divBdr>
        <w:top w:val="none" w:sz="0" w:space="0" w:color="auto"/>
        <w:left w:val="none" w:sz="0" w:space="0" w:color="auto"/>
        <w:bottom w:val="none" w:sz="0" w:space="0" w:color="auto"/>
        <w:right w:val="none" w:sz="0" w:space="0" w:color="auto"/>
      </w:divBdr>
    </w:div>
    <w:div w:id="737871876">
      <w:bodyDiv w:val="1"/>
      <w:marLeft w:val="0"/>
      <w:marRight w:val="0"/>
      <w:marTop w:val="0"/>
      <w:marBottom w:val="0"/>
      <w:divBdr>
        <w:top w:val="none" w:sz="0" w:space="0" w:color="auto"/>
        <w:left w:val="none" w:sz="0" w:space="0" w:color="auto"/>
        <w:bottom w:val="none" w:sz="0" w:space="0" w:color="auto"/>
        <w:right w:val="none" w:sz="0" w:space="0" w:color="auto"/>
      </w:divBdr>
    </w:div>
    <w:div w:id="740371196">
      <w:bodyDiv w:val="1"/>
      <w:marLeft w:val="0"/>
      <w:marRight w:val="0"/>
      <w:marTop w:val="0"/>
      <w:marBottom w:val="0"/>
      <w:divBdr>
        <w:top w:val="none" w:sz="0" w:space="0" w:color="auto"/>
        <w:left w:val="none" w:sz="0" w:space="0" w:color="auto"/>
        <w:bottom w:val="none" w:sz="0" w:space="0" w:color="auto"/>
        <w:right w:val="none" w:sz="0" w:space="0" w:color="auto"/>
      </w:divBdr>
    </w:div>
    <w:div w:id="743993023">
      <w:bodyDiv w:val="1"/>
      <w:marLeft w:val="0"/>
      <w:marRight w:val="0"/>
      <w:marTop w:val="0"/>
      <w:marBottom w:val="0"/>
      <w:divBdr>
        <w:top w:val="none" w:sz="0" w:space="0" w:color="auto"/>
        <w:left w:val="none" w:sz="0" w:space="0" w:color="auto"/>
        <w:bottom w:val="none" w:sz="0" w:space="0" w:color="auto"/>
        <w:right w:val="none" w:sz="0" w:space="0" w:color="auto"/>
      </w:divBdr>
    </w:div>
    <w:div w:id="749041020">
      <w:bodyDiv w:val="1"/>
      <w:marLeft w:val="0"/>
      <w:marRight w:val="0"/>
      <w:marTop w:val="0"/>
      <w:marBottom w:val="0"/>
      <w:divBdr>
        <w:top w:val="none" w:sz="0" w:space="0" w:color="auto"/>
        <w:left w:val="none" w:sz="0" w:space="0" w:color="auto"/>
        <w:bottom w:val="none" w:sz="0" w:space="0" w:color="auto"/>
        <w:right w:val="none" w:sz="0" w:space="0" w:color="auto"/>
      </w:divBdr>
    </w:div>
    <w:div w:id="777914657">
      <w:bodyDiv w:val="1"/>
      <w:marLeft w:val="0"/>
      <w:marRight w:val="0"/>
      <w:marTop w:val="0"/>
      <w:marBottom w:val="0"/>
      <w:divBdr>
        <w:top w:val="none" w:sz="0" w:space="0" w:color="auto"/>
        <w:left w:val="none" w:sz="0" w:space="0" w:color="auto"/>
        <w:bottom w:val="none" w:sz="0" w:space="0" w:color="auto"/>
        <w:right w:val="none" w:sz="0" w:space="0" w:color="auto"/>
      </w:divBdr>
    </w:div>
    <w:div w:id="793989525">
      <w:bodyDiv w:val="1"/>
      <w:marLeft w:val="0"/>
      <w:marRight w:val="0"/>
      <w:marTop w:val="0"/>
      <w:marBottom w:val="0"/>
      <w:divBdr>
        <w:top w:val="none" w:sz="0" w:space="0" w:color="auto"/>
        <w:left w:val="none" w:sz="0" w:space="0" w:color="auto"/>
        <w:bottom w:val="none" w:sz="0" w:space="0" w:color="auto"/>
        <w:right w:val="none" w:sz="0" w:space="0" w:color="auto"/>
      </w:divBdr>
    </w:div>
    <w:div w:id="805123179">
      <w:bodyDiv w:val="1"/>
      <w:marLeft w:val="0"/>
      <w:marRight w:val="0"/>
      <w:marTop w:val="0"/>
      <w:marBottom w:val="0"/>
      <w:divBdr>
        <w:top w:val="none" w:sz="0" w:space="0" w:color="auto"/>
        <w:left w:val="none" w:sz="0" w:space="0" w:color="auto"/>
        <w:bottom w:val="none" w:sz="0" w:space="0" w:color="auto"/>
        <w:right w:val="none" w:sz="0" w:space="0" w:color="auto"/>
      </w:divBdr>
    </w:div>
    <w:div w:id="828055918">
      <w:bodyDiv w:val="1"/>
      <w:marLeft w:val="0"/>
      <w:marRight w:val="0"/>
      <w:marTop w:val="0"/>
      <w:marBottom w:val="0"/>
      <w:divBdr>
        <w:top w:val="none" w:sz="0" w:space="0" w:color="auto"/>
        <w:left w:val="none" w:sz="0" w:space="0" w:color="auto"/>
        <w:bottom w:val="none" w:sz="0" w:space="0" w:color="auto"/>
        <w:right w:val="none" w:sz="0" w:space="0" w:color="auto"/>
      </w:divBdr>
    </w:div>
    <w:div w:id="850946486">
      <w:bodyDiv w:val="1"/>
      <w:marLeft w:val="0"/>
      <w:marRight w:val="0"/>
      <w:marTop w:val="0"/>
      <w:marBottom w:val="0"/>
      <w:divBdr>
        <w:top w:val="none" w:sz="0" w:space="0" w:color="auto"/>
        <w:left w:val="none" w:sz="0" w:space="0" w:color="auto"/>
        <w:bottom w:val="none" w:sz="0" w:space="0" w:color="auto"/>
        <w:right w:val="none" w:sz="0" w:space="0" w:color="auto"/>
      </w:divBdr>
    </w:div>
    <w:div w:id="858394878">
      <w:bodyDiv w:val="1"/>
      <w:marLeft w:val="0"/>
      <w:marRight w:val="0"/>
      <w:marTop w:val="0"/>
      <w:marBottom w:val="0"/>
      <w:divBdr>
        <w:top w:val="none" w:sz="0" w:space="0" w:color="auto"/>
        <w:left w:val="none" w:sz="0" w:space="0" w:color="auto"/>
        <w:bottom w:val="none" w:sz="0" w:space="0" w:color="auto"/>
        <w:right w:val="none" w:sz="0" w:space="0" w:color="auto"/>
      </w:divBdr>
    </w:div>
    <w:div w:id="911695031">
      <w:bodyDiv w:val="1"/>
      <w:marLeft w:val="0"/>
      <w:marRight w:val="0"/>
      <w:marTop w:val="0"/>
      <w:marBottom w:val="0"/>
      <w:divBdr>
        <w:top w:val="none" w:sz="0" w:space="0" w:color="auto"/>
        <w:left w:val="none" w:sz="0" w:space="0" w:color="auto"/>
        <w:bottom w:val="none" w:sz="0" w:space="0" w:color="auto"/>
        <w:right w:val="none" w:sz="0" w:space="0" w:color="auto"/>
      </w:divBdr>
    </w:div>
    <w:div w:id="919561340">
      <w:bodyDiv w:val="1"/>
      <w:marLeft w:val="0"/>
      <w:marRight w:val="0"/>
      <w:marTop w:val="0"/>
      <w:marBottom w:val="0"/>
      <w:divBdr>
        <w:top w:val="none" w:sz="0" w:space="0" w:color="auto"/>
        <w:left w:val="none" w:sz="0" w:space="0" w:color="auto"/>
        <w:bottom w:val="none" w:sz="0" w:space="0" w:color="auto"/>
        <w:right w:val="none" w:sz="0" w:space="0" w:color="auto"/>
      </w:divBdr>
    </w:div>
    <w:div w:id="922298529">
      <w:bodyDiv w:val="1"/>
      <w:marLeft w:val="0"/>
      <w:marRight w:val="0"/>
      <w:marTop w:val="0"/>
      <w:marBottom w:val="0"/>
      <w:divBdr>
        <w:top w:val="none" w:sz="0" w:space="0" w:color="auto"/>
        <w:left w:val="none" w:sz="0" w:space="0" w:color="auto"/>
        <w:bottom w:val="none" w:sz="0" w:space="0" w:color="auto"/>
        <w:right w:val="none" w:sz="0" w:space="0" w:color="auto"/>
      </w:divBdr>
    </w:div>
    <w:div w:id="925072815">
      <w:bodyDiv w:val="1"/>
      <w:marLeft w:val="0"/>
      <w:marRight w:val="0"/>
      <w:marTop w:val="0"/>
      <w:marBottom w:val="0"/>
      <w:divBdr>
        <w:top w:val="none" w:sz="0" w:space="0" w:color="auto"/>
        <w:left w:val="none" w:sz="0" w:space="0" w:color="auto"/>
        <w:bottom w:val="none" w:sz="0" w:space="0" w:color="auto"/>
        <w:right w:val="none" w:sz="0" w:space="0" w:color="auto"/>
      </w:divBdr>
    </w:div>
    <w:div w:id="936250813">
      <w:bodyDiv w:val="1"/>
      <w:marLeft w:val="0"/>
      <w:marRight w:val="0"/>
      <w:marTop w:val="0"/>
      <w:marBottom w:val="0"/>
      <w:divBdr>
        <w:top w:val="none" w:sz="0" w:space="0" w:color="auto"/>
        <w:left w:val="none" w:sz="0" w:space="0" w:color="auto"/>
        <w:bottom w:val="none" w:sz="0" w:space="0" w:color="auto"/>
        <w:right w:val="none" w:sz="0" w:space="0" w:color="auto"/>
      </w:divBdr>
    </w:div>
    <w:div w:id="951744280">
      <w:bodyDiv w:val="1"/>
      <w:marLeft w:val="0"/>
      <w:marRight w:val="0"/>
      <w:marTop w:val="0"/>
      <w:marBottom w:val="0"/>
      <w:divBdr>
        <w:top w:val="none" w:sz="0" w:space="0" w:color="auto"/>
        <w:left w:val="none" w:sz="0" w:space="0" w:color="auto"/>
        <w:bottom w:val="none" w:sz="0" w:space="0" w:color="auto"/>
        <w:right w:val="none" w:sz="0" w:space="0" w:color="auto"/>
      </w:divBdr>
    </w:div>
    <w:div w:id="956906720">
      <w:bodyDiv w:val="1"/>
      <w:marLeft w:val="0"/>
      <w:marRight w:val="0"/>
      <w:marTop w:val="0"/>
      <w:marBottom w:val="0"/>
      <w:divBdr>
        <w:top w:val="none" w:sz="0" w:space="0" w:color="auto"/>
        <w:left w:val="none" w:sz="0" w:space="0" w:color="auto"/>
        <w:bottom w:val="none" w:sz="0" w:space="0" w:color="auto"/>
        <w:right w:val="none" w:sz="0" w:space="0" w:color="auto"/>
      </w:divBdr>
    </w:div>
    <w:div w:id="970942915">
      <w:bodyDiv w:val="1"/>
      <w:marLeft w:val="0"/>
      <w:marRight w:val="0"/>
      <w:marTop w:val="0"/>
      <w:marBottom w:val="0"/>
      <w:divBdr>
        <w:top w:val="none" w:sz="0" w:space="0" w:color="auto"/>
        <w:left w:val="none" w:sz="0" w:space="0" w:color="auto"/>
        <w:bottom w:val="none" w:sz="0" w:space="0" w:color="auto"/>
        <w:right w:val="none" w:sz="0" w:space="0" w:color="auto"/>
      </w:divBdr>
    </w:div>
    <w:div w:id="1052458366">
      <w:bodyDiv w:val="1"/>
      <w:marLeft w:val="0"/>
      <w:marRight w:val="0"/>
      <w:marTop w:val="0"/>
      <w:marBottom w:val="0"/>
      <w:divBdr>
        <w:top w:val="none" w:sz="0" w:space="0" w:color="auto"/>
        <w:left w:val="none" w:sz="0" w:space="0" w:color="auto"/>
        <w:bottom w:val="none" w:sz="0" w:space="0" w:color="auto"/>
        <w:right w:val="none" w:sz="0" w:space="0" w:color="auto"/>
      </w:divBdr>
    </w:div>
    <w:div w:id="1053045592">
      <w:bodyDiv w:val="1"/>
      <w:marLeft w:val="0"/>
      <w:marRight w:val="0"/>
      <w:marTop w:val="0"/>
      <w:marBottom w:val="0"/>
      <w:divBdr>
        <w:top w:val="none" w:sz="0" w:space="0" w:color="auto"/>
        <w:left w:val="none" w:sz="0" w:space="0" w:color="auto"/>
        <w:bottom w:val="none" w:sz="0" w:space="0" w:color="auto"/>
        <w:right w:val="none" w:sz="0" w:space="0" w:color="auto"/>
      </w:divBdr>
    </w:div>
    <w:div w:id="1104690056">
      <w:bodyDiv w:val="1"/>
      <w:marLeft w:val="0"/>
      <w:marRight w:val="0"/>
      <w:marTop w:val="0"/>
      <w:marBottom w:val="0"/>
      <w:divBdr>
        <w:top w:val="none" w:sz="0" w:space="0" w:color="auto"/>
        <w:left w:val="none" w:sz="0" w:space="0" w:color="auto"/>
        <w:bottom w:val="none" w:sz="0" w:space="0" w:color="auto"/>
        <w:right w:val="none" w:sz="0" w:space="0" w:color="auto"/>
      </w:divBdr>
    </w:div>
    <w:div w:id="1113674351">
      <w:bodyDiv w:val="1"/>
      <w:marLeft w:val="0"/>
      <w:marRight w:val="0"/>
      <w:marTop w:val="0"/>
      <w:marBottom w:val="0"/>
      <w:divBdr>
        <w:top w:val="none" w:sz="0" w:space="0" w:color="auto"/>
        <w:left w:val="none" w:sz="0" w:space="0" w:color="auto"/>
        <w:bottom w:val="none" w:sz="0" w:space="0" w:color="auto"/>
        <w:right w:val="none" w:sz="0" w:space="0" w:color="auto"/>
      </w:divBdr>
    </w:div>
    <w:div w:id="1116563378">
      <w:bodyDiv w:val="1"/>
      <w:marLeft w:val="0"/>
      <w:marRight w:val="0"/>
      <w:marTop w:val="0"/>
      <w:marBottom w:val="0"/>
      <w:divBdr>
        <w:top w:val="none" w:sz="0" w:space="0" w:color="auto"/>
        <w:left w:val="none" w:sz="0" w:space="0" w:color="auto"/>
        <w:bottom w:val="none" w:sz="0" w:space="0" w:color="auto"/>
        <w:right w:val="none" w:sz="0" w:space="0" w:color="auto"/>
      </w:divBdr>
    </w:div>
    <w:div w:id="1132672158">
      <w:bodyDiv w:val="1"/>
      <w:marLeft w:val="0"/>
      <w:marRight w:val="0"/>
      <w:marTop w:val="0"/>
      <w:marBottom w:val="0"/>
      <w:divBdr>
        <w:top w:val="none" w:sz="0" w:space="0" w:color="auto"/>
        <w:left w:val="none" w:sz="0" w:space="0" w:color="auto"/>
        <w:bottom w:val="none" w:sz="0" w:space="0" w:color="auto"/>
        <w:right w:val="none" w:sz="0" w:space="0" w:color="auto"/>
      </w:divBdr>
    </w:div>
    <w:div w:id="1157572522">
      <w:bodyDiv w:val="1"/>
      <w:marLeft w:val="0"/>
      <w:marRight w:val="0"/>
      <w:marTop w:val="0"/>
      <w:marBottom w:val="0"/>
      <w:divBdr>
        <w:top w:val="none" w:sz="0" w:space="0" w:color="auto"/>
        <w:left w:val="none" w:sz="0" w:space="0" w:color="auto"/>
        <w:bottom w:val="none" w:sz="0" w:space="0" w:color="auto"/>
        <w:right w:val="none" w:sz="0" w:space="0" w:color="auto"/>
      </w:divBdr>
    </w:div>
    <w:div w:id="1187015344">
      <w:bodyDiv w:val="1"/>
      <w:marLeft w:val="0"/>
      <w:marRight w:val="0"/>
      <w:marTop w:val="0"/>
      <w:marBottom w:val="0"/>
      <w:divBdr>
        <w:top w:val="none" w:sz="0" w:space="0" w:color="auto"/>
        <w:left w:val="none" w:sz="0" w:space="0" w:color="auto"/>
        <w:bottom w:val="none" w:sz="0" w:space="0" w:color="auto"/>
        <w:right w:val="none" w:sz="0" w:space="0" w:color="auto"/>
      </w:divBdr>
    </w:div>
    <w:div w:id="1204053519">
      <w:bodyDiv w:val="1"/>
      <w:marLeft w:val="0"/>
      <w:marRight w:val="0"/>
      <w:marTop w:val="0"/>
      <w:marBottom w:val="0"/>
      <w:divBdr>
        <w:top w:val="none" w:sz="0" w:space="0" w:color="auto"/>
        <w:left w:val="none" w:sz="0" w:space="0" w:color="auto"/>
        <w:bottom w:val="none" w:sz="0" w:space="0" w:color="auto"/>
        <w:right w:val="none" w:sz="0" w:space="0" w:color="auto"/>
      </w:divBdr>
    </w:div>
    <w:div w:id="1210990720">
      <w:bodyDiv w:val="1"/>
      <w:marLeft w:val="0"/>
      <w:marRight w:val="0"/>
      <w:marTop w:val="0"/>
      <w:marBottom w:val="0"/>
      <w:divBdr>
        <w:top w:val="none" w:sz="0" w:space="0" w:color="auto"/>
        <w:left w:val="none" w:sz="0" w:space="0" w:color="auto"/>
        <w:bottom w:val="none" w:sz="0" w:space="0" w:color="auto"/>
        <w:right w:val="none" w:sz="0" w:space="0" w:color="auto"/>
      </w:divBdr>
    </w:div>
    <w:div w:id="1234775191">
      <w:bodyDiv w:val="1"/>
      <w:marLeft w:val="0"/>
      <w:marRight w:val="0"/>
      <w:marTop w:val="0"/>
      <w:marBottom w:val="0"/>
      <w:divBdr>
        <w:top w:val="none" w:sz="0" w:space="0" w:color="auto"/>
        <w:left w:val="none" w:sz="0" w:space="0" w:color="auto"/>
        <w:bottom w:val="none" w:sz="0" w:space="0" w:color="auto"/>
        <w:right w:val="none" w:sz="0" w:space="0" w:color="auto"/>
      </w:divBdr>
    </w:div>
    <w:div w:id="1267420605">
      <w:bodyDiv w:val="1"/>
      <w:marLeft w:val="0"/>
      <w:marRight w:val="0"/>
      <w:marTop w:val="0"/>
      <w:marBottom w:val="0"/>
      <w:divBdr>
        <w:top w:val="none" w:sz="0" w:space="0" w:color="auto"/>
        <w:left w:val="none" w:sz="0" w:space="0" w:color="auto"/>
        <w:bottom w:val="none" w:sz="0" w:space="0" w:color="auto"/>
        <w:right w:val="none" w:sz="0" w:space="0" w:color="auto"/>
      </w:divBdr>
    </w:div>
    <w:div w:id="1268461798">
      <w:bodyDiv w:val="1"/>
      <w:marLeft w:val="0"/>
      <w:marRight w:val="0"/>
      <w:marTop w:val="0"/>
      <w:marBottom w:val="0"/>
      <w:divBdr>
        <w:top w:val="none" w:sz="0" w:space="0" w:color="auto"/>
        <w:left w:val="none" w:sz="0" w:space="0" w:color="auto"/>
        <w:bottom w:val="none" w:sz="0" w:space="0" w:color="auto"/>
        <w:right w:val="none" w:sz="0" w:space="0" w:color="auto"/>
      </w:divBdr>
    </w:div>
    <w:div w:id="1270160843">
      <w:bodyDiv w:val="1"/>
      <w:marLeft w:val="0"/>
      <w:marRight w:val="0"/>
      <w:marTop w:val="0"/>
      <w:marBottom w:val="0"/>
      <w:divBdr>
        <w:top w:val="none" w:sz="0" w:space="0" w:color="auto"/>
        <w:left w:val="none" w:sz="0" w:space="0" w:color="auto"/>
        <w:bottom w:val="none" w:sz="0" w:space="0" w:color="auto"/>
        <w:right w:val="none" w:sz="0" w:space="0" w:color="auto"/>
      </w:divBdr>
    </w:div>
    <w:div w:id="1273125235">
      <w:bodyDiv w:val="1"/>
      <w:marLeft w:val="0"/>
      <w:marRight w:val="0"/>
      <w:marTop w:val="0"/>
      <w:marBottom w:val="0"/>
      <w:divBdr>
        <w:top w:val="none" w:sz="0" w:space="0" w:color="auto"/>
        <w:left w:val="none" w:sz="0" w:space="0" w:color="auto"/>
        <w:bottom w:val="none" w:sz="0" w:space="0" w:color="auto"/>
        <w:right w:val="none" w:sz="0" w:space="0" w:color="auto"/>
      </w:divBdr>
    </w:div>
    <w:div w:id="1279028101">
      <w:bodyDiv w:val="1"/>
      <w:marLeft w:val="0"/>
      <w:marRight w:val="0"/>
      <w:marTop w:val="0"/>
      <w:marBottom w:val="0"/>
      <w:divBdr>
        <w:top w:val="none" w:sz="0" w:space="0" w:color="auto"/>
        <w:left w:val="none" w:sz="0" w:space="0" w:color="auto"/>
        <w:bottom w:val="none" w:sz="0" w:space="0" w:color="auto"/>
        <w:right w:val="none" w:sz="0" w:space="0" w:color="auto"/>
      </w:divBdr>
    </w:div>
    <w:div w:id="1280917391">
      <w:bodyDiv w:val="1"/>
      <w:marLeft w:val="0"/>
      <w:marRight w:val="0"/>
      <w:marTop w:val="0"/>
      <w:marBottom w:val="0"/>
      <w:divBdr>
        <w:top w:val="none" w:sz="0" w:space="0" w:color="auto"/>
        <w:left w:val="none" w:sz="0" w:space="0" w:color="auto"/>
        <w:bottom w:val="none" w:sz="0" w:space="0" w:color="auto"/>
        <w:right w:val="none" w:sz="0" w:space="0" w:color="auto"/>
      </w:divBdr>
    </w:div>
    <w:div w:id="1291741256">
      <w:bodyDiv w:val="1"/>
      <w:marLeft w:val="0"/>
      <w:marRight w:val="0"/>
      <w:marTop w:val="0"/>
      <w:marBottom w:val="0"/>
      <w:divBdr>
        <w:top w:val="none" w:sz="0" w:space="0" w:color="auto"/>
        <w:left w:val="none" w:sz="0" w:space="0" w:color="auto"/>
        <w:bottom w:val="none" w:sz="0" w:space="0" w:color="auto"/>
        <w:right w:val="none" w:sz="0" w:space="0" w:color="auto"/>
      </w:divBdr>
    </w:div>
    <w:div w:id="1293710485">
      <w:bodyDiv w:val="1"/>
      <w:marLeft w:val="0"/>
      <w:marRight w:val="0"/>
      <w:marTop w:val="0"/>
      <w:marBottom w:val="0"/>
      <w:divBdr>
        <w:top w:val="none" w:sz="0" w:space="0" w:color="auto"/>
        <w:left w:val="none" w:sz="0" w:space="0" w:color="auto"/>
        <w:bottom w:val="none" w:sz="0" w:space="0" w:color="auto"/>
        <w:right w:val="none" w:sz="0" w:space="0" w:color="auto"/>
      </w:divBdr>
    </w:div>
    <w:div w:id="1319961793">
      <w:bodyDiv w:val="1"/>
      <w:marLeft w:val="0"/>
      <w:marRight w:val="0"/>
      <w:marTop w:val="0"/>
      <w:marBottom w:val="0"/>
      <w:divBdr>
        <w:top w:val="none" w:sz="0" w:space="0" w:color="auto"/>
        <w:left w:val="none" w:sz="0" w:space="0" w:color="auto"/>
        <w:bottom w:val="none" w:sz="0" w:space="0" w:color="auto"/>
        <w:right w:val="none" w:sz="0" w:space="0" w:color="auto"/>
      </w:divBdr>
    </w:div>
    <w:div w:id="1324433921">
      <w:bodyDiv w:val="1"/>
      <w:marLeft w:val="0"/>
      <w:marRight w:val="0"/>
      <w:marTop w:val="0"/>
      <w:marBottom w:val="0"/>
      <w:divBdr>
        <w:top w:val="none" w:sz="0" w:space="0" w:color="auto"/>
        <w:left w:val="none" w:sz="0" w:space="0" w:color="auto"/>
        <w:bottom w:val="none" w:sz="0" w:space="0" w:color="auto"/>
        <w:right w:val="none" w:sz="0" w:space="0" w:color="auto"/>
      </w:divBdr>
    </w:div>
    <w:div w:id="1356690129">
      <w:bodyDiv w:val="1"/>
      <w:marLeft w:val="0"/>
      <w:marRight w:val="0"/>
      <w:marTop w:val="0"/>
      <w:marBottom w:val="0"/>
      <w:divBdr>
        <w:top w:val="none" w:sz="0" w:space="0" w:color="auto"/>
        <w:left w:val="none" w:sz="0" w:space="0" w:color="auto"/>
        <w:bottom w:val="none" w:sz="0" w:space="0" w:color="auto"/>
        <w:right w:val="none" w:sz="0" w:space="0" w:color="auto"/>
      </w:divBdr>
    </w:div>
    <w:div w:id="1365056680">
      <w:bodyDiv w:val="1"/>
      <w:marLeft w:val="0"/>
      <w:marRight w:val="0"/>
      <w:marTop w:val="0"/>
      <w:marBottom w:val="0"/>
      <w:divBdr>
        <w:top w:val="none" w:sz="0" w:space="0" w:color="auto"/>
        <w:left w:val="none" w:sz="0" w:space="0" w:color="auto"/>
        <w:bottom w:val="none" w:sz="0" w:space="0" w:color="auto"/>
        <w:right w:val="none" w:sz="0" w:space="0" w:color="auto"/>
      </w:divBdr>
    </w:div>
    <w:div w:id="1377386338">
      <w:bodyDiv w:val="1"/>
      <w:marLeft w:val="0"/>
      <w:marRight w:val="0"/>
      <w:marTop w:val="0"/>
      <w:marBottom w:val="0"/>
      <w:divBdr>
        <w:top w:val="none" w:sz="0" w:space="0" w:color="auto"/>
        <w:left w:val="none" w:sz="0" w:space="0" w:color="auto"/>
        <w:bottom w:val="none" w:sz="0" w:space="0" w:color="auto"/>
        <w:right w:val="none" w:sz="0" w:space="0" w:color="auto"/>
      </w:divBdr>
    </w:div>
    <w:div w:id="1378622347">
      <w:bodyDiv w:val="1"/>
      <w:marLeft w:val="0"/>
      <w:marRight w:val="0"/>
      <w:marTop w:val="0"/>
      <w:marBottom w:val="0"/>
      <w:divBdr>
        <w:top w:val="none" w:sz="0" w:space="0" w:color="auto"/>
        <w:left w:val="none" w:sz="0" w:space="0" w:color="auto"/>
        <w:bottom w:val="none" w:sz="0" w:space="0" w:color="auto"/>
        <w:right w:val="none" w:sz="0" w:space="0" w:color="auto"/>
      </w:divBdr>
    </w:div>
    <w:div w:id="1430084986">
      <w:bodyDiv w:val="1"/>
      <w:marLeft w:val="0"/>
      <w:marRight w:val="0"/>
      <w:marTop w:val="0"/>
      <w:marBottom w:val="0"/>
      <w:divBdr>
        <w:top w:val="none" w:sz="0" w:space="0" w:color="auto"/>
        <w:left w:val="none" w:sz="0" w:space="0" w:color="auto"/>
        <w:bottom w:val="none" w:sz="0" w:space="0" w:color="auto"/>
        <w:right w:val="none" w:sz="0" w:space="0" w:color="auto"/>
      </w:divBdr>
    </w:div>
    <w:div w:id="1432892276">
      <w:bodyDiv w:val="1"/>
      <w:marLeft w:val="0"/>
      <w:marRight w:val="0"/>
      <w:marTop w:val="0"/>
      <w:marBottom w:val="0"/>
      <w:divBdr>
        <w:top w:val="none" w:sz="0" w:space="0" w:color="auto"/>
        <w:left w:val="none" w:sz="0" w:space="0" w:color="auto"/>
        <w:bottom w:val="none" w:sz="0" w:space="0" w:color="auto"/>
        <w:right w:val="none" w:sz="0" w:space="0" w:color="auto"/>
      </w:divBdr>
    </w:div>
    <w:div w:id="1454709818">
      <w:bodyDiv w:val="1"/>
      <w:marLeft w:val="0"/>
      <w:marRight w:val="0"/>
      <w:marTop w:val="0"/>
      <w:marBottom w:val="0"/>
      <w:divBdr>
        <w:top w:val="none" w:sz="0" w:space="0" w:color="auto"/>
        <w:left w:val="none" w:sz="0" w:space="0" w:color="auto"/>
        <w:bottom w:val="none" w:sz="0" w:space="0" w:color="auto"/>
        <w:right w:val="none" w:sz="0" w:space="0" w:color="auto"/>
      </w:divBdr>
    </w:div>
    <w:div w:id="1459447480">
      <w:bodyDiv w:val="1"/>
      <w:marLeft w:val="0"/>
      <w:marRight w:val="0"/>
      <w:marTop w:val="0"/>
      <w:marBottom w:val="0"/>
      <w:divBdr>
        <w:top w:val="none" w:sz="0" w:space="0" w:color="auto"/>
        <w:left w:val="none" w:sz="0" w:space="0" w:color="auto"/>
        <w:bottom w:val="none" w:sz="0" w:space="0" w:color="auto"/>
        <w:right w:val="none" w:sz="0" w:space="0" w:color="auto"/>
      </w:divBdr>
    </w:div>
    <w:div w:id="1466046531">
      <w:bodyDiv w:val="1"/>
      <w:marLeft w:val="0"/>
      <w:marRight w:val="0"/>
      <w:marTop w:val="0"/>
      <w:marBottom w:val="0"/>
      <w:divBdr>
        <w:top w:val="none" w:sz="0" w:space="0" w:color="auto"/>
        <w:left w:val="none" w:sz="0" w:space="0" w:color="auto"/>
        <w:bottom w:val="none" w:sz="0" w:space="0" w:color="auto"/>
        <w:right w:val="none" w:sz="0" w:space="0" w:color="auto"/>
      </w:divBdr>
    </w:div>
    <w:div w:id="1512066802">
      <w:bodyDiv w:val="1"/>
      <w:marLeft w:val="0"/>
      <w:marRight w:val="0"/>
      <w:marTop w:val="0"/>
      <w:marBottom w:val="0"/>
      <w:divBdr>
        <w:top w:val="none" w:sz="0" w:space="0" w:color="auto"/>
        <w:left w:val="none" w:sz="0" w:space="0" w:color="auto"/>
        <w:bottom w:val="none" w:sz="0" w:space="0" w:color="auto"/>
        <w:right w:val="none" w:sz="0" w:space="0" w:color="auto"/>
      </w:divBdr>
    </w:div>
    <w:div w:id="1558585274">
      <w:bodyDiv w:val="1"/>
      <w:marLeft w:val="0"/>
      <w:marRight w:val="0"/>
      <w:marTop w:val="0"/>
      <w:marBottom w:val="0"/>
      <w:divBdr>
        <w:top w:val="none" w:sz="0" w:space="0" w:color="auto"/>
        <w:left w:val="none" w:sz="0" w:space="0" w:color="auto"/>
        <w:bottom w:val="none" w:sz="0" w:space="0" w:color="auto"/>
        <w:right w:val="none" w:sz="0" w:space="0" w:color="auto"/>
      </w:divBdr>
    </w:div>
    <w:div w:id="1560241171">
      <w:bodyDiv w:val="1"/>
      <w:marLeft w:val="0"/>
      <w:marRight w:val="0"/>
      <w:marTop w:val="0"/>
      <w:marBottom w:val="0"/>
      <w:divBdr>
        <w:top w:val="none" w:sz="0" w:space="0" w:color="auto"/>
        <w:left w:val="none" w:sz="0" w:space="0" w:color="auto"/>
        <w:bottom w:val="none" w:sz="0" w:space="0" w:color="auto"/>
        <w:right w:val="none" w:sz="0" w:space="0" w:color="auto"/>
      </w:divBdr>
    </w:div>
    <w:div w:id="1564175329">
      <w:bodyDiv w:val="1"/>
      <w:marLeft w:val="0"/>
      <w:marRight w:val="0"/>
      <w:marTop w:val="0"/>
      <w:marBottom w:val="0"/>
      <w:divBdr>
        <w:top w:val="none" w:sz="0" w:space="0" w:color="auto"/>
        <w:left w:val="none" w:sz="0" w:space="0" w:color="auto"/>
        <w:bottom w:val="none" w:sz="0" w:space="0" w:color="auto"/>
        <w:right w:val="none" w:sz="0" w:space="0" w:color="auto"/>
      </w:divBdr>
    </w:div>
    <w:div w:id="1565869966">
      <w:bodyDiv w:val="1"/>
      <w:marLeft w:val="0"/>
      <w:marRight w:val="0"/>
      <w:marTop w:val="0"/>
      <w:marBottom w:val="0"/>
      <w:divBdr>
        <w:top w:val="none" w:sz="0" w:space="0" w:color="auto"/>
        <w:left w:val="none" w:sz="0" w:space="0" w:color="auto"/>
        <w:bottom w:val="none" w:sz="0" w:space="0" w:color="auto"/>
        <w:right w:val="none" w:sz="0" w:space="0" w:color="auto"/>
      </w:divBdr>
    </w:div>
    <w:div w:id="1579363655">
      <w:bodyDiv w:val="1"/>
      <w:marLeft w:val="0"/>
      <w:marRight w:val="0"/>
      <w:marTop w:val="0"/>
      <w:marBottom w:val="0"/>
      <w:divBdr>
        <w:top w:val="none" w:sz="0" w:space="0" w:color="auto"/>
        <w:left w:val="none" w:sz="0" w:space="0" w:color="auto"/>
        <w:bottom w:val="none" w:sz="0" w:space="0" w:color="auto"/>
        <w:right w:val="none" w:sz="0" w:space="0" w:color="auto"/>
      </w:divBdr>
    </w:div>
    <w:div w:id="1611863568">
      <w:bodyDiv w:val="1"/>
      <w:marLeft w:val="0"/>
      <w:marRight w:val="0"/>
      <w:marTop w:val="0"/>
      <w:marBottom w:val="0"/>
      <w:divBdr>
        <w:top w:val="none" w:sz="0" w:space="0" w:color="auto"/>
        <w:left w:val="none" w:sz="0" w:space="0" w:color="auto"/>
        <w:bottom w:val="none" w:sz="0" w:space="0" w:color="auto"/>
        <w:right w:val="none" w:sz="0" w:space="0" w:color="auto"/>
      </w:divBdr>
    </w:div>
    <w:div w:id="1623226062">
      <w:bodyDiv w:val="1"/>
      <w:marLeft w:val="0"/>
      <w:marRight w:val="0"/>
      <w:marTop w:val="0"/>
      <w:marBottom w:val="0"/>
      <w:divBdr>
        <w:top w:val="none" w:sz="0" w:space="0" w:color="auto"/>
        <w:left w:val="none" w:sz="0" w:space="0" w:color="auto"/>
        <w:bottom w:val="none" w:sz="0" w:space="0" w:color="auto"/>
        <w:right w:val="none" w:sz="0" w:space="0" w:color="auto"/>
      </w:divBdr>
    </w:div>
    <w:div w:id="1640456199">
      <w:bodyDiv w:val="1"/>
      <w:marLeft w:val="0"/>
      <w:marRight w:val="0"/>
      <w:marTop w:val="0"/>
      <w:marBottom w:val="0"/>
      <w:divBdr>
        <w:top w:val="none" w:sz="0" w:space="0" w:color="auto"/>
        <w:left w:val="none" w:sz="0" w:space="0" w:color="auto"/>
        <w:bottom w:val="none" w:sz="0" w:space="0" w:color="auto"/>
        <w:right w:val="none" w:sz="0" w:space="0" w:color="auto"/>
      </w:divBdr>
    </w:div>
    <w:div w:id="1656715534">
      <w:bodyDiv w:val="1"/>
      <w:marLeft w:val="0"/>
      <w:marRight w:val="0"/>
      <w:marTop w:val="0"/>
      <w:marBottom w:val="0"/>
      <w:divBdr>
        <w:top w:val="none" w:sz="0" w:space="0" w:color="auto"/>
        <w:left w:val="none" w:sz="0" w:space="0" w:color="auto"/>
        <w:bottom w:val="none" w:sz="0" w:space="0" w:color="auto"/>
        <w:right w:val="none" w:sz="0" w:space="0" w:color="auto"/>
      </w:divBdr>
    </w:div>
    <w:div w:id="1661156619">
      <w:bodyDiv w:val="1"/>
      <w:marLeft w:val="0"/>
      <w:marRight w:val="0"/>
      <w:marTop w:val="0"/>
      <w:marBottom w:val="0"/>
      <w:divBdr>
        <w:top w:val="none" w:sz="0" w:space="0" w:color="auto"/>
        <w:left w:val="none" w:sz="0" w:space="0" w:color="auto"/>
        <w:bottom w:val="none" w:sz="0" w:space="0" w:color="auto"/>
        <w:right w:val="none" w:sz="0" w:space="0" w:color="auto"/>
      </w:divBdr>
    </w:div>
    <w:div w:id="1666476471">
      <w:bodyDiv w:val="1"/>
      <w:marLeft w:val="0"/>
      <w:marRight w:val="0"/>
      <w:marTop w:val="0"/>
      <w:marBottom w:val="0"/>
      <w:divBdr>
        <w:top w:val="none" w:sz="0" w:space="0" w:color="auto"/>
        <w:left w:val="none" w:sz="0" w:space="0" w:color="auto"/>
        <w:bottom w:val="none" w:sz="0" w:space="0" w:color="auto"/>
        <w:right w:val="none" w:sz="0" w:space="0" w:color="auto"/>
      </w:divBdr>
    </w:div>
    <w:div w:id="1674717754">
      <w:bodyDiv w:val="1"/>
      <w:marLeft w:val="0"/>
      <w:marRight w:val="0"/>
      <w:marTop w:val="0"/>
      <w:marBottom w:val="0"/>
      <w:divBdr>
        <w:top w:val="none" w:sz="0" w:space="0" w:color="auto"/>
        <w:left w:val="none" w:sz="0" w:space="0" w:color="auto"/>
        <w:bottom w:val="none" w:sz="0" w:space="0" w:color="auto"/>
        <w:right w:val="none" w:sz="0" w:space="0" w:color="auto"/>
      </w:divBdr>
    </w:div>
    <w:div w:id="1694457561">
      <w:bodyDiv w:val="1"/>
      <w:marLeft w:val="0"/>
      <w:marRight w:val="0"/>
      <w:marTop w:val="0"/>
      <w:marBottom w:val="0"/>
      <w:divBdr>
        <w:top w:val="none" w:sz="0" w:space="0" w:color="auto"/>
        <w:left w:val="none" w:sz="0" w:space="0" w:color="auto"/>
        <w:bottom w:val="none" w:sz="0" w:space="0" w:color="auto"/>
        <w:right w:val="none" w:sz="0" w:space="0" w:color="auto"/>
      </w:divBdr>
    </w:div>
    <w:div w:id="1709066684">
      <w:bodyDiv w:val="1"/>
      <w:marLeft w:val="0"/>
      <w:marRight w:val="0"/>
      <w:marTop w:val="0"/>
      <w:marBottom w:val="0"/>
      <w:divBdr>
        <w:top w:val="none" w:sz="0" w:space="0" w:color="auto"/>
        <w:left w:val="none" w:sz="0" w:space="0" w:color="auto"/>
        <w:bottom w:val="none" w:sz="0" w:space="0" w:color="auto"/>
        <w:right w:val="none" w:sz="0" w:space="0" w:color="auto"/>
      </w:divBdr>
    </w:div>
    <w:div w:id="1720209013">
      <w:bodyDiv w:val="1"/>
      <w:marLeft w:val="0"/>
      <w:marRight w:val="0"/>
      <w:marTop w:val="0"/>
      <w:marBottom w:val="0"/>
      <w:divBdr>
        <w:top w:val="none" w:sz="0" w:space="0" w:color="auto"/>
        <w:left w:val="none" w:sz="0" w:space="0" w:color="auto"/>
        <w:bottom w:val="none" w:sz="0" w:space="0" w:color="auto"/>
        <w:right w:val="none" w:sz="0" w:space="0" w:color="auto"/>
      </w:divBdr>
    </w:div>
    <w:div w:id="1722899562">
      <w:bodyDiv w:val="1"/>
      <w:marLeft w:val="0"/>
      <w:marRight w:val="0"/>
      <w:marTop w:val="0"/>
      <w:marBottom w:val="0"/>
      <w:divBdr>
        <w:top w:val="none" w:sz="0" w:space="0" w:color="auto"/>
        <w:left w:val="none" w:sz="0" w:space="0" w:color="auto"/>
        <w:bottom w:val="none" w:sz="0" w:space="0" w:color="auto"/>
        <w:right w:val="none" w:sz="0" w:space="0" w:color="auto"/>
      </w:divBdr>
    </w:div>
    <w:div w:id="1773285974">
      <w:bodyDiv w:val="1"/>
      <w:marLeft w:val="0"/>
      <w:marRight w:val="0"/>
      <w:marTop w:val="0"/>
      <w:marBottom w:val="0"/>
      <w:divBdr>
        <w:top w:val="none" w:sz="0" w:space="0" w:color="auto"/>
        <w:left w:val="none" w:sz="0" w:space="0" w:color="auto"/>
        <w:bottom w:val="none" w:sz="0" w:space="0" w:color="auto"/>
        <w:right w:val="none" w:sz="0" w:space="0" w:color="auto"/>
      </w:divBdr>
    </w:div>
    <w:div w:id="1788281884">
      <w:bodyDiv w:val="1"/>
      <w:marLeft w:val="0"/>
      <w:marRight w:val="0"/>
      <w:marTop w:val="0"/>
      <w:marBottom w:val="0"/>
      <w:divBdr>
        <w:top w:val="none" w:sz="0" w:space="0" w:color="auto"/>
        <w:left w:val="none" w:sz="0" w:space="0" w:color="auto"/>
        <w:bottom w:val="none" w:sz="0" w:space="0" w:color="auto"/>
        <w:right w:val="none" w:sz="0" w:space="0" w:color="auto"/>
      </w:divBdr>
    </w:div>
    <w:div w:id="1806312975">
      <w:bodyDiv w:val="1"/>
      <w:marLeft w:val="0"/>
      <w:marRight w:val="0"/>
      <w:marTop w:val="0"/>
      <w:marBottom w:val="0"/>
      <w:divBdr>
        <w:top w:val="none" w:sz="0" w:space="0" w:color="auto"/>
        <w:left w:val="none" w:sz="0" w:space="0" w:color="auto"/>
        <w:bottom w:val="none" w:sz="0" w:space="0" w:color="auto"/>
        <w:right w:val="none" w:sz="0" w:space="0" w:color="auto"/>
      </w:divBdr>
    </w:div>
    <w:div w:id="1823619597">
      <w:bodyDiv w:val="1"/>
      <w:marLeft w:val="0"/>
      <w:marRight w:val="0"/>
      <w:marTop w:val="0"/>
      <w:marBottom w:val="0"/>
      <w:divBdr>
        <w:top w:val="none" w:sz="0" w:space="0" w:color="auto"/>
        <w:left w:val="none" w:sz="0" w:space="0" w:color="auto"/>
        <w:bottom w:val="none" w:sz="0" w:space="0" w:color="auto"/>
        <w:right w:val="none" w:sz="0" w:space="0" w:color="auto"/>
      </w:divBdr>
    </w:div>
    <w:div w:id="1854613819">
      <w:bodyDiv w:val="1"/>
      <w:marLeft w:val="0"/>
      <w:marRight w:val="0"/>
      <w:marTop w:val="0"/>
      <w:marBottom w:val="0"/>
      <w:divBdr>
        <w:top w:val="none" w:sz="0" w:space="0" w:color="auto"/>
        <w:left w:val="none" w:sz="0" w:space="0" w:color="auto"/>
        <w:bottom w:val="none" w:sz="0" w:space="0" w:color="auto"/>
        <w:right w:val="none" w:sz="0" w:space="0" w:color="auto"/>
      </w:divBdr>
    </w:div>
    <w:div w:id="1856730425">
      <w:bodyDiv w:val="1"/>
      <w:marLeft w:val="0"/>
      <w:marRight w:val="0"/>
      <w:marTop w:val="0"/>
      <w:marBottom w:val="0"/>
      <w:divBdr>
        <w:top w:val="none" w:sz="0" w:space="0" w:color="auto"/>
        <w:left w:val="none" w:sz="0" w:space="0" w:color="auto"/>
        <w:bottom w:val="none" w:sz="0" w:space="0" w:color="auto"/>
        <w:right w:val="none" w:sz="0" w:space="0" w:color="auto"/>
      </w:divBdr>
    </w:div>
    <w:div w:id="1861697105">
      <w:bodyDiv w:val="1"/>
      <w:marLeft w:val="0"/>
      <w:marRight w:val="0"/>
      <w:marTop w:val="0"/>
      <w:marBottom w:val="0"/>
      <w:divBdr>
        <w:top w:val="none" w:sz="0" w:space="0" w:color="auto"/>
        <w:left w:val="none" w:sz="0" w:space="0" w:color="auto"/>
        <w:bottom w:val="none" w:sz="0" w:space="0" w:color="auto"/>
        <w:right w:val="none" w:sz="0" w:space="0" w:color="auto"/>
      </w:divBdr>
    </w:div>
    <w:div w:id="1876698373">
      <w:bodyDiv w:val="1"/>
      <w:marLeft w:val="0"/>
      <w:marRight w:val="0"/>
      <w:marTop w:val="0"/>
      <w:marBottom w:val="0"/>
      <w:divBdr>
        <w:top w:val="none" w:sz="0" w:space="0" w:color="auto"/>
        <w:left w:val="none" w:sz="0" w:space="0" w:color="auto"/>
        <w:bottom w:val="none" w:sz="0" w:space="0" w:color="auto"/>
        <w:right w:val="none" w:sz="0" w:space="0" w:color="auto"/>
      </w:divBdr>
    </w:div>
    <w:div w:id="1886987675">
      <w:bodyDiv w:val="1"/>
      <w:marLeft w:val="0"/>
      <w:marRight w:val="0"/>
      <w:marTop w:val="0"/>
      <w:marBottom w:val="0"/>
      <w:divBdr>
        <w:top w:val="none" w:sz="0" w:space="0" w:color="auto"/>
        <w:left w:val="none" w:sz="0" w:space="0" w:color="auto"/>
        <w:bottom w:val="none" w:sz="0" w:space="0" w:color="auto"/>
        <w:right w:val="none" w:sz="0" w:space="0" w:color="auto"/>
      </w:divBdr>
    </w:div>
    <w:div w:id="1905799325">
      <w:bodyDiv w:val="1"/>
      <w:marLeft w:val="0"/>
      <w:marRight w:val="0"/>
      <w:marTop w:val="0"/>
      <w:marBottom w:val="0"/>
      <w:divBdr>
        <w:top w:val="none" w:sz="0" w:space="0" w:color="auto"/>
        <w:left w:val="none" w:sz="0" w:space="0" w:color="auto"/>
        <w:bottom w:val="none" w:sz="0" w:space="0" w:color="auto"/>
        <w:right w:val="none" w:sz="0" w:space="0" w:color="auto"/>
      </w:divBdr>
    </w:div>
    <w:div w:id="1914004079">
      <w:bodyDiv w:val="1"/>
      <w:marLeft w:val="0"/>
      <w:marRight w:val="0"/>
      <w:marTop w:val="0"/>
      <w:marBottom w:val="0"/>
      <w:divBdr>
        <w:top w:val="none" w:sz="0" w:space="0" w:color="auto"/>
        <w:left w:val="none" w:sz="0" w:space="0" w:color="auto"/>
        <w:bottom w:val="none" w:sz="0" w:space="0" w:color="auto"/>
        <w:right w:val="none" w:sz="0" w:space="0" w:color="auto"/>
      </w:divBdr>
    </w:div>
    <w:div w:id="1927109901">
      <w:bodyDiv w:val="1"/>
      <w:marLeft w:val="0"/>
      <w:marRight w:val="0"/>
      <w:marTop w:val="0"/>
      <w:marBottom w:val="0"/>
      <w:divBdr>
        <w:top w:val="none" w:sz="0" w:space="0" w:color="auto"/>
        <w:left w:val="none" w:sz="0" w:space="0" w:color="auto"/>
        <w:bottom w:val="none" w:sz="0" w:space="0" w:color="auto"/>
        <w:right w:val="none" w:sz="0" w:space="0" w:color="auto"/>
      </w:divBdr>
    </w:div>
    <w:div w:id="1935555304">
      <w:bodyDiv w:val="1"/>
      <w:marLeft w:val="0"/>
      <w:marRight w:val="0"/>
      <w:marTop w:val="0"/>
      <w:marBottom w:val="0"/>
      <w:divBdr>
        <w:top w:val="none" w:sz="0" w:space="0" w:color="auto"/>
        <w:left w:val="none" w:sz="0" w:space="0" w:color="auto"/>
        <w:bottom w:val="none" w:sz="0" w:space="0" w:color="auto"/>
        <w:right w:val="none" w:sz="0" w:space="0" w:color="auto"/>
      </w:divBdr>
    </w:div>
    <w:div w:id="1951084198">
      <w:bodyDiv w:val="1"/>
      <w:marLeft w:val="0"/>
      <w:marRight w:val="0"/>
      <w:marTop w:val="0"/>
      <w:marBottom w:val="0"/>
      <w:divBdr>
        <w:top w:val="none" w:sz="0" w:space="0" w:color="auto"/>
        <w:left w:val="none" w:sz="0" w:space="0" w:color="auto"/>
        <w:bottom w:val="none" w:sz="0" w:space="0" w:color="auto"/>
        <w:right w:val="none" w:sz="0" w:space="0" w:color="auto"/>
      </w:divBdr>
    </w:div>
    <w:div w:id="1992128008">
      <w:bodyDiv w:val="1"/>
      <w:marLeft w:val="0"/>
      <w:marRight w:val="0"/>
      <w:marTop w:val="0"/>
      <w:marBottom w:val="0"/>
      <w:divBdr>
        <w:top w:val="none" w:sz="0" w:space="0" w:color="auto"/>
        <w:left w:val="none" w:sz="0" w:space="0" w:color="auto"/>
        <w:bottom w:val="none" w:sz="0" w:space="0" w:color="auto"/>
        <w:right w:val="none" w:sz="0" w:space="0" w:color="auto"/>
      </w:divBdr>
    </w:div>
    <w:div w:id="2019889128">
      <w:bodyDiv w:val="1"/>
      <w:marLeft w:val="0"/>
      <w:marRight w:val="0"/>
      <w:marTop w:val="0"/>
      <w:marBottom w:val="0"/>
      <w:divBdr>
        <w:top w:val="none" w:sz="0" w:space="0" w:color="auto"/>
        <w:left w:val="none" w:sz="0" w:space="0" w:color="auto"/>
        <w:bottom w:val="none" w:sz="0" w:space="0" w:color="auto"/>
        <w:right w:val="none" w:sz="0" w:space="0" w:color="auto"/>
      </w:divBdr>
    </w:div>
    <w:div w:id="2063018214">
      <w:bodyDiv w:val="1"/>
      <w:marLeft w:val="0"/>
      <w:marRight w:val="0"/>
      <w:marTop w:val="0"/>
      <w:marBottom w:val="0"/>
      <w:divBdr>
        <w:top w:val="none" w:sz="0" w:space="0" w:color="auto"/>
        <w:left w:val="none" w:sz="0" w:space="0" w:color="auto"/>
        <w:bottom w:val="none" w:sz="0" w:space="0" w:color="auto"/>
        <w:right w:val="none" w:sz="0" w:space="0" w:color="auto"/>
      </w:divBdr>
    </w:div>
    <w:div w:id="2101946768">
      <w:bodyDiv w:val="1"/>
      <w:marLeft w:val="0"/>
      <w:marRight w:val="0"/>
      <w:marTop w:val="0"/>
      <w:marBottom w:val="0"/>
      <w:divBdr>
        <w:top w:val="none" w:sz="0" w:space="0" w:color="auto"/>
        <w:left w:val="none" w:sz="0" w:space="0" w:color="auto"/>
        <w:bottom w:val="none" w:sz="0" w:space="0" w:color="auto"/>
        <w:right w:val="none" w:sz="0" w:space="0" w:color="auto"/>
      </w:divBdr>
    </w:div>
    <w:div w:id="2106488516">
      <w:bodyDiv w:val="1"/>
      <w:marLeft w:val="0"/>
      <w:marRight w:val="0"/>
      <w:marTop w:val="0"/>
      <w:marBottom w:val="0"/>
      <w:divBdr>
        <w:top w:val="none" w:sz="0" w:space="0" w:color="auto"/>
        <w:left w:val="none" w:sz="0" w:space="0" w:color="auto"/>
        <w:bottom w:val="none" w:sz="0" w:space="0" w:color="auto"/>
        <w:right w:val="none" w:sz="0" w:space="0" w:color="auto"/>
      </w:divBdr>
    </w:div>
    <w:div w:id="2113891910">
      <w:bodyDiv w:val="1"/>
      <w:marLeft w:val="0"/>
      <w:marRight w:val="0"/>
      <w:marTop w:val="0"/>
      <w:marBottom w:val="0"/>
      <w:divBdr>
        <w:top w:val="none" w:sz="0" w:space="0" w:color="auto"/>
        <w:left w:val="none" w:sz="0" w:space="0" w:color="auto"/>
        <w:bottom w:val="none" w:sz="0" w:space="0" w:color="auto"/>
        <w:right w:val="none" w:sz="0" w:space="0" w:color="auto"/>
      </w:divBdr>
    </w:div>
    <w:div w:id="2133396847">
      <w:bodyDiv w:val="1"/>
      <w:marLeft w:val="0"/>
      <w:marRight w:val="0"/>
      <w:marTop w:val="0"/>
      <w:marBottom w:val="0"/>
      <w:divBdr>
        <w:top w:val="none" w:sz="0" w:space="0" w:color="auto"/>
        <w:left w:val="none" w:sz="0" w:space="0" w:color="auto"/>
        <w:bottom w:val="none" w:sz="0" w:space="0" w:color="auto"/>
        <w:right w:val="none" w:sz="0" w:space="0" w:color="auto"/>
      </w:divBdr>
    </w:div>
    <w:div w:id="2144695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eyb@chonnam.ac.kr"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C2E136-F48A-4AD2-8309-EAC5CB795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3254</Words>
  <Characters>18552</Characters>
  <Application>Microsoft Office Word</Application>
  <DocSecurity>0</DocSecurity>
  <Lines>154</Lines>
  <Paragraphs>43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LinksUpToDate>false</LinksUpToDate>
  <CharactersWithSpaces>21763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2023-07-06T08:06:00Z</dcterms:created>
  <dcterms:modified xsi:type="dcterms:W3CDTF">2023-07-06T08:06:00Z</dcterms:modified>
</cp:coreProperties>
</file>