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>Supplemental Table 1.</w:t>
      </w:r>
      <w:r>
        <w:rPr>
          <w:rFonts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</w:rPr>
        <w:t xml:space="preserve"> </w:t>
      </w:r>
      <w:r>
        <w:rPr>
          <w:rFonts w:ascii="Times New Roman Regular" w:hAnsi="Times New Roman Regular" w:eastAsia="宋体" w:cs="Times New Roman Regular"/>
          <w:color w:val="000000"/>
          <w:kern w:val="0"/>
          <w:sz w:val="24"/>
        </w:rPr>
        <w:t>Univariable and Multivariable analyses for the survival of the whole corhot.</w:t>
      </w:r>
    </w:p>
    <w:tbl>
      <w:tblPr>
        <w:tblStyle w:val="2"/>
        <w:tblW w:w="5594" w:type="pct"/>
        <w:tblInd w:w="-10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932"/>
        <w:gridCol w:w="1736"/>
        <w:gridCol w:w="912"/>
        <w:gridCol w:w="919"/>
        <w:gridCol w:w="1756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4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  <w:tc>
          <w:tcPr>
            <w:tcW w:w="1876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OS</w:t>
            </w:r>
          </w:p>
        </w:tc>
        <w:tc>
          <w:tcPr>
            <w:tcW w:w="189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EFS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Univariate</w:t>
            </w:r>
          </w:p>
        </w:tc>
        <w:tc>
          <w:tcPr>
            <w:tcW w:w="1387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Multivariate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Univariate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Multivariate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</w:t>
            </w:r>
          </w:p>
        </w:tc>
        <w:tc>
          <w:tcPr>
            <w:tcW w:w="91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HR(95%CI)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HR(95%CI)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textAlignment w:val="top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Sex, M/F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0.985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0.698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Age (&lt;50 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000000"/>
                <w:kern w:val="0"/>
                <w:sz w:val="24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≥50)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0.995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0.982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Disease type</w:t>
            </w:r>
          </w:p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(s/t-AML 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000000"/>
                <w:kern w:val="0"/>
                <w:sz w:val="24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de novo)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2.07(1.07-3.99)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0.112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ECOG performance (&lt;3 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000000"/>
                <w:kern w:val="0"/>
                <w:sz w:val="24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≥3)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0.033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Salvage treatment (VAH </w:t>
            </w:r>
            <w:r>
              <w:rPr>
                <w:rStyle w:val="5"/>
                <w:rFonts w:ascii="Times New Roman Regular" w:hAnsi="Times New Roman Regular" w:eastAsia="宋体" w:cs="Times New Roman Regular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VA)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0.52(0.33-0.82)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0.47(0.34-0.66)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Prior to HMAs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0.193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0.594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Prior to HSCT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0.131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BM blasts</w:t>
            </w:r>
          </w:p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(&lt;30% 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000000"/>
                <w:kern w:val="0"/>
                <w:sz w:val="24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≥30%)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0.068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0.029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ELN risk (adverse 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000000"/>
                <w:kern w:val="0"/>
                <w:sz w:val="24"/>
              </w:rPr>
              <w:t>vs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 non-adverse)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0.034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Cytogenetics (adverse vs non-adverse)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0.018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1.63(1.01-2.60)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0.298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1.64(1.16-2.31)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2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Bridge to HSCT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&lt;0.001</w:t>
            </w:r>
          </w:p>
        </w:tc>
        <w:tc>
          <w:tcPr>
            <w:tcW w:w="91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0.29(0.14-0.58)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&lt;0.001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&lt;0.001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0.52(0.34-0.79)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0.003</w:t>
            </w:r>
          </w:p>
        </w:tc>
      </w:tr>
    </w:tbl>
    <w:p>
      <w:pPr>
        <w:numPr>
          <w:ilvl w:val="255"/>
          <w:numId w:val="0"/>
        </w:numPr>
        <w:rPr>
          <w:rFonts w:hint="eastAsia" w:ascii="Times New Roman Regular" w:hAnsi="Times New Roman Regular" w:cs="Times New Roman Regular"/>
          <w:color w:val="231F20"/>
          <w:szCs w:val="21"/>
        </w:rPr>
      </w:pPr>
      <w:r>
        <w:rPr>
          <w:rFonts w:hint="eastAsia" w:ascii="Times New Roman Regular" w:hAnsi="Times New Roman Regular" w:eastAsia="宋体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OS, overall survival; EFS, event-free survival; M/F, male/female; s/t-AML, secondary/therapy acute myeloid leukemia; ECOG, </w:t>
      </w:r>
      <w:r>
        <w:rPr>
          <w:rStyle w:val="4"/>
          <w:rFonts w:hint="eastAsia" w:ascii="Times New Roman Regular" w:hAnsi="Times New Roman Regular" w:eastAsia="宋体" w:cs="Times New Roman Regular"/>
          <w:i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Eastern Cooperative Oncology Group; </w:t>
      </w:r>
      <w:r>
        <w:rPr>
          <w:rFonts w:ascii="Times New Roman Regular" w:hAnsi="Times New Roman Regular" w:eastAsia="sans-serif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VAH, venetoclax + </w:t>
      </w:r>
      <w:r>
        <w:rPr>
          <w:rStyle w:val="4"/>
          <w:rFonts w:hint="eastAsia" w:ascii="Times New Roman Regular" w:hAnsi="Times New Roman Regular" w:eastAsia="宋体" w:cs="Times New Roman Regular"/>
          <w:i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azacitidine </w:t>
      </w:r>
      <w:r>
        <w:rPr>
          <w:rFonts w:ascii="Times New Roman Regular" w:hAnsi="Times New Roman Regular" w:eastAsia="sans-serif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+ </w:t>
      </w:r>
      <w:r>
        <w:rPr>
          <w:rFonts w:hint="eastAsia" w:ascii="Times New Roman Regular" w:hAnsi="Times New Roman Regular" w:eastAsia="宋体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omoharringtonine; </w:t>
      </w:r>
      <w:r>
        <w:rPr>
          <w:rFonts w:hint="eastAsia" w:ascii="Times New Roman Regular" w:hAnsi="Times New Roman Regular" w:eastAsia="宋体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VA, venetoclax + </w:t>
      </w:r>
      <w:r>
        <w:rPr>
          <w:rStyle w:val="4"/>
          <w:rFonts w:hint="eastAsia" w:ascii="Times New Roman Regular" w:hAnsi="Times New Roman Regular" w:eastAsia="宋体" w:cs="Times New Roman Regular"/>
          <w:i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azacitidine</w:t>
      </w:r>
      <w:r>
        <w:rPr>
          <w:rFonts w:ascii="Times New Roman Regular" w:hAnsi="Times New Roman Regular" w:eastAsia="sans-serif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 Regular" w:hAnsi="Times New Roman Regular" w:eastAsia="宋体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HMAs, </w:t>
      </w:r>
      <w:r>
        <w:rPr>
          <w:rFonts w:ascii="Times New Roman Regular" w:hAnsi="Times New Roman Regular" w:eastAsia="sans-serif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hypomethylating agent</w:t>
      </w:r>
      <w:r>
        <w:rPr>
          <w:rFonts w:hint="eastAsia" w:ascii="Times New Roman Regular" w:hAnsi="Times New Roman Regular" w:eastAsia="宋体" w:cs="Times New Roman Regular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s; HSCT, hematopoietic stem cell transplantation; BM, bone marrow; ELN, </w:t>
      </w:r>
      <w:r>
        <w:rPr>
          <w:rFonts w:ascii="Times New Roman Regular" w:hAnsi="Times New Roman Regular" w:eastAsia="宋体" w:cs="Times New Roman Regular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European Leukemia Net</w:t>
      </w:r>
      <w:r>
        <w:rPr>
          <w:rFonts w:hint="eastAsia" w:ascii="Times New Roman Regular" w:hAnsi="Times New Roman Regular" w:eastAsia="宋体" w:cs="Times New Roman Regular"/>
          <w:color w:val="000000"/>
          <w:kern w:val="0"/>
          <w:szCs w:val="21"/>
        </w:rPr>
        <w:t>.</w:t>
      </w:r>
    </w:p>
    <w:p>
      <w:pPr>
        <w:spacing w:line="360" w:lineRule="auto"/>
        <w:rPr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hint="eastAsia" w:ascii="Times New Roman Regular" w:hAnsi="Times New Roman Regular" w:cs="Times New Roman Regular"/>
          <w:b/>
          <w:bCs/>
          <w:sz w:val="24"/>
        </w:rPr>
      </w:pPr>
      <w:r>
        <w:rPr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 xml:space="preserve">Supplemental </w:t>
      </w:r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>Table 2</w:t>
      </w:r>
      <w:r>
        <w:rPr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>.</w:t>
      </w:r>
      <w:r>
        <w:rPr>
          <w:rFonts w:hint="eastAsia" w:ascii="Times New Roman Regular" w:hAnsi="Times New Roman Regular" w:eastAsia="宋体" w:cs="Times New Roman Regular"/>
          <w:color w:val="000000"/>
          <w:kern w:val="0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b/>
          <w:bCs/>
          <w:color w:val="231F20"/>
          <w:sz w:val="24"/>
        </w:rPr>
        <w:t xml:space="preserve">Subgroup analyses of the CRc rate of VAH versus VA based </w:t>
      </w:r>
      <w:r>
        <w:rPr>
          <w:rFonts w:ascii="Times New Roman Regular" w:hAnsi="Times New Roman Regular" w:cs="Times New Roman Regular"/>
          <w:b/>
          <w:bCs/>
          <w:color w:val="231F20"/>
          <w:sz w:val="24"/>
        </w:rPr>
        <w:t xml:space="preserve">on </w:t>
      </w:r>
      <w:r>
        <w:rPr>
          <w:rFonts w:hint="eastAsia" w:ascii="Times New Roman Regular" w:hAnsi="Times New Roman Regular" w:cs="Times New Roman Regular"/>
          <w:b/>
          <w:bCs/>
          <w:color w:val="231F20"/>
          <w:sz w:val="24"/>
        </w:rPr>
        <w:t>genetic patterns.</w:t>
      </w:r>
    </w:p>
    <w:tbl>
      <w:tblPr>
        <w:tblStyle w:val="2"/>
        <w:tblW w:w="7321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1510"/>
        <w:gridCol w:w="1471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1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VA</w:t>
            </w:r>
          </w:p>
        </w:tc>
        <w:tc>
          <w:tcPr>
            <w:tcW w:w="14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VAH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P value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1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(N=149) 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 xml:space="preserve">(N=172) </w:t>
            </w: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i/>
                <w:iCs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4"/>
              </w:rPr>
              <w:t>Gene 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TET2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19/41(46.3)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38/57(66.7)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FLT3-ITD/TKD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14/37(37.8)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28/40(70)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DNMT3A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17/32(53.1)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37/46(80.4)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N/KRAS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7/24(29.2)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15/21(71.4)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RUNX1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10/24(41.7)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25/42(59.5)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ASXL1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13/21(61.9)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25/35(71.4)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IDH1/2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17/23(73.9)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20/28(71.4)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NPM1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19/31(61.3)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17/21(81)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CEBPA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12/19(63.2)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17/23(73.9)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TET1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1/5(20)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7/14(50)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TP53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4/9(44.4)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4/11(36.4)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SRSF2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6/7(85.7)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4/5(80)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color w:val="000000"/>
                <w:kern w:val="0"/>
                <w:sz w:val="24"/>
              </w:rPr>
              <w:t>Co-mutations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DNMT3A+NPM1+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8/16(50)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11/13(84.6)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ASXL1+TET2+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5/8(62.5)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16/21(76.2)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NPM1+FLT3+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8/18(44.4)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6/8(75)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DNMT3A+IDH1/2+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7/10(70)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10/12(83.3)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</w:rPr>
              <w:t>DNMT3A+BCOR+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  <w:t>4/6（66.7%）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  <w:t>8/10（80%）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  <w:t>0.551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NPM1+IDH1/2+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8/10(80)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4/5(80)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BCOR+IDH1/2+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4/4(100)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5/6(83.3)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DNMT3A+FLT3+NPM1+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3/10(30)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4/6(66.7)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4"/>
              </w:rPr>
              <w:t>Genetic pathway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Signaling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20/65(30.8)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44/62(71)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Methylation-related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37/72(51.4)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69/99(69.7)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Spliceosome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10/22(45.5)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11/15(73.3)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Transcription factors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26/51(51)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43/65(66.2)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Tumor suppressor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7/16(43.8)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19/29(65.5)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Chromatin modifiers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22/35(62.9)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37/51(72.5)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4"/>
              </w:rPr>
              <w:t>Cytogenetic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AML-ETO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1/10(10.0)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9/13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(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69.2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complex karotype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4/17(23.5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8/20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(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40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MLL rearrangment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5/9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(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55.6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6/19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(</w:t>
            </w: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31.6</w:t>
            </w:r>
            <w:r>
              <w:rPr>
                <w:rFonts w:ascii="Times New Roman Regular" w:hAnsi="Times New Roman Regular" w:eastAsia="黑体" w:cs="Times New Roman Regular"/>
                <w:color w:val="000000"/>
                <w:kern w:val="0"/>
                <w:sz w:val="24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-5/5q-, -7/7q-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5/8(62.5)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7/18(38.9)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4"/>
              </w:rPr>
              <w:t>0.265</w:t>
            </w:r>
          </w:p>
        </w:tc>
      </w:tr>
    </w:tbl>
    <w:p/>
    <w:p/>
    <w:p/>
    <w:p/>
    <w:p/>
    <w:p/>
    <w:p/>
    <w:p/>
    <w:p/>
    <w:p>
      <w:pPr>
        <w:widowControl/>
        <w:spacing w:line="360" w:lineRule="auto"/>
        <w:rPr>
          <w:rFonts w:ascii="Times New Roman Regular" w:hAnsi="Times New Roman Regular" w:eastAsia="宋体" w:cs="Times New Roman Regular"/>
          <w:color w:val="000000"/>
          <w:kern w:val="0"/>
          <w:sz w:val="24"/>
        </w:rPr>
      </w:pPr>
      <w:r>
        <w:rPr>
          <w:rFonts w:hint="eastAsia" w:ascii="Times New Roman Regular" w:hAnsi="Times New Roman Regular" w:eastAsia="宋体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4096385"/>
            <wp:effectExtent l="0" t="0" r="635" b="8890"/>
            <wp:docPr id="9" name="图片 9" descr="gene co-mutation to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ene co-mutation top 2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</w:rPr>
        <w:t>Figure 1</w:t>
      </w:r>
      <w:r>
        <w:rPr>
          <w:rFonts w:ascii="Times New Roman Regular" w:hAnsi="Times New Roman Regular" w:eastAsia="TimesNewRomanPS-BoldMT" w:cs="Times New Roman Regular"/>
          <w:b/>
          <w:bCs/>
          <w:color w:val="000000"/>
          <w:kern w:val="0"/>
          <w:sz w:val="24"/>
        </w:rPr>
        <w:t>. Analysis</w:t>
      </w:r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 xml:space="preserve"> </w:t>
      </w:r>
      <w:r>
        <w:rPr>
          <w:rFonts w:ascii="Times New Roman Regular" w:hAnsi="Times New Roman Regular" w:eastAsia="TimesNewRomanPS-BoldMT" w:cs="Times New Roman Regular"/>
          <w:b/>
          <w:bCs/>
          <w:color w:val="000000"/>
          <w:kern w:val="0"/>
          <w:sz w:val="24"/>
        </w:rPr>
        <w:t xml:space="preserve">of </w:t>
      </w:r>
      <w:r>
        <w:rPr>
          <w:rFonts w:ascii="Times New Roman Regular" w:hAnsi="Times New Roman Regular" w:eastAsia="宋体" w:cs="Times New Roman Regular"/>
          <w:kern w:val="0"/>
          <w:sz w:val="24"/>
        </w:rPr>
        <w:t xml:space="preserve">pairwise </w:t>
      </w:r>
      <w:r>
        <w:rPr>
          <w:rFonts w:ascii="Times New Roman Regular" w:hAnsi="Times New Roman Regular" w:eastAsia="TimesNewRomanPS-BoldMT" w:cs="Times New Roman Regular"/>
          <w:b/>
          <w:bCs/>
          <w:color w:val="000000"/>
          <w:kern w:val="0"/>
          <w:sz w:val="24"/>
        </w:rPr>
        <w:t xml:space="preserve">co-mutation and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mutual exclusivity</w:t>
      </w:r>
      <w:r>
        <w:rPr>
          <w:rFonts w:ascii="Times New Roman Regular" w:hAnsi="Times New Roman Regular" w:eastAsia="TimesNewRomanPS-BoldMT" w:cs="Times New Roman Regular"/>
          <w:b/>
          <w:bCs/>
          <w:color w:val="000000"/>
          <w:kern w:val="0"/>
          <w:sz w:val="24"/>
        </w:rPr>
        <w:t xml:space="preserve"> in the top 20 most frequently detected gene mutations. </w:t>
      </w:r>
      <w:r>
        <w:rPr>
          <w:rFonts w:ascii="Times New Roman Regular" w:hAnsi="Times New Roman Regular" w:eastAsia="TimesNewRomanPS-BoldMT" w:cs="Times New Roman Regular"/>
          <w:color w:val="000000"/>
          <w:kern w:val="0"/>
          <w:sz w:val="24"/>
        </w:rPr>
        <w:t>Green/blue colours denote preferential co-mutation/high overlap, while pink/red colours indicate mutual exclusivity</w:t>
      </w:r>
      <w:r>
        <w:rPr>
          <w:rFonts w:ascii="Times New Roman Regular" w:hAnsi="Times New Roman Regular" w:eastAsia="宋体" w:cs="Times New Roman Regular"/>
          <w:color w:val="000000"/>
          <w:kern w:val="0"/>
          <w:sz w:val="24"/>
        </w:rPr>
        <w:t xml:space="preserve">. </w:t>
      </w:r>
    </w:p>
    <w:p>
      <w:pPr>
        <w:widowControl/>
        <w:spacing w:line="360" w:lineRule="auto"/>
        <w:rPr>
          <w:rFonts w:ascii="Times New Roman Regular" w:hAnsi="Times New Roman Regular" w:eastAsia="宋体" w:cs="Times New Roman Regular"/>
          <w:color w:val="000000"/>
          <w:kern w:val="0"/>
          <w:sz w:val="24"/>
        </w:rPr>
      </w:pPr>
    </w:p>
    <w:p>
      <w:pPr>
        <w:widowControl/>
        <w:spacing w:line="360" w:lineRule="auto"/>
        <w:rPr>
          <w:rFonts w:hint="eastAsia" w:ascii="Times New Roman Regular" w:hAnsi="Times New Roman Regular" w:eastAsia="宋体" w:cs="Times New Roman Regular"/>
          <w:color w:val="000000"/>
          <w:kern w:val="0"/>
          <w:sz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color w:val="000000"/>
          <w:kern w:val="0"/>
          <w:sz w:val="24"/>
          <w:lang w:eastAsia="zh-CN"/>
        </w:rPr>
        <w:drawing>
          <wp:inline distT="0" distB="0" distL="114300" distR="114300">
            <wp:extent cx="5266690" cy="2633345"/>
            <wp:effectExtent l="0" t="0" r="635" b="5080"/>
            <wp:docPr id="1" name="图片 1" descr="Supplement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Figur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</w:pPr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</w:rPr>
        <w:t xml:space="preserve">Figure </w:t>
      </w:r>
      <w:r>
        <w:rPr>
          <w:rFonts w:hint="eastAsia" w:ascii="Times New Roman Regular" w:hAnsi="Times New Roman Regular" w:cs="Times New Roman Regular"/>
          <w:b/>
          <w:bCs/>
          <w:sz w:val="24"/>
        </w:rPr>
        <w:t>2</w:t>
      </w:r>
      <w:r>
        <w:rPr>
          <w:rFonts w:ascii="Times New Roman Regular" w:hAnsi="Times New Roman Regular" w:cs="Times New Roman Regular"/>
          <w:b/>
          <w:bCs/>
          <w:kern w:val="0"/>
          <w:sz w:val="24"/>
        </w:rPr>
        <w:t xml:space="preserve">. Impact of co-mutations on the CRc rate of </w:t>
      </w:r>
      <w:r>
        <w:rPr>
          <w:rFonts w:ascii="Times New Roman Regular" w:hAnsi="Times New Roman Regular" w:cs="Times New Roman Regular"/>
          <w:b/>
          <w:bCs/>
          <w:color w:val="231F20"/>
          <w:sz w:val="24"/>
        </w:rPr>
        <w:t>VAH versus VA</w:t>
      </w:r>
      <w:r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  <w:t>.</w:t>
      </w:r>
    </w:p>
    <w:p>
      <w:pPr>
        <w:widowControl/>
        <w:spacing w:line="360" w:lineRule="auto"/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</w:pPr>
    </w:p>
    <w:p>
      <w:pPr>
        <w:widowControl/>
        <w:spacing w:line="360" w:lineRule="auto"/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</w:pPr>
    </w:p>
    <w:p>
      <w:pPr>
        <w:widowControl/>
        <w:spacing w:line="360" w:lineRule="auto"/>
        <w:rPr>
          <w:rFonts w:hint="eastAsia" w:ascii="Times New Roman Regular" w:hAnsi="Times New Roman Regular" w:eastAsia="宋体" w:cs="Times New Roman Regular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  <w:drawing>
          <wp:inline distT="0" distB="0" distL="114300" distR="114300">
            <wp:extent cx="5265420" cy="3714750"/>
            <wp:effectExtent l="0" t="0" r="1905" b="0"/>
            <wp:docPr id="2" name="图片 2" descr="S3.forest_c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3.forest_cox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 Regular" w:hAnsi="Times New Roman Regular" w:eastAsia="宋体" w:cs="Times New Roman Regular"/>
          <w:b/>
          <w:bCs/>
          <w:color w:val="000000"/>
          <w:kern w:val="0"/>
          <w:sz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</w:rPr>
        <w:t xml:space="preserve">Figure </w:t>
      </w:r>
      <w:r>
        <w:rPr>
          <w:rFonts w:hint="eastAsia" w:ascii="Times New Roman Regular" w:hAnsi="Times New Roman Regular" w:cs="Times New Roman Regular"/>
          <w:b/>
          <w:bCs/>
          <w:sz w:val="24"/>
        </w:rPr>
        <w:t>3</w:t>
      </w:r>
      <w:r>
        <w:rPr>
          <w:rFonts w:ascii="Times New Roman Regular" w:hAnsi="Times New Roman Regular" w:cs="Times New Roman Regular"/>
          <w:b/>
          <w:bCs/>
          <w:sz w:val="24"/>
        </w:rPr>
        <w:t xml:space="preserve">. </w:t>
      </w:r>
      <w:r>
        <w:rPr>
          <w:rFonts w:ascii="Times New Roman Regular" w:hAnsi="Times New Roman Regular" w:cs="Times New Roman Regular"/>
          <w:b/>
          <w:bCs/>
          <w:color w:val="231F20"/>
          <w:sz w:val="24"/>
        </w:rPr>
        <w:t>Subgroup analyses of the OS of VAH versus VA regimens based on genetic patterns.</w:t>
      </w:r>
    </w:p>
    <w:p>
      <w:pPr>
        <w:widowControl/>
        <w:spacing w:line="360" w:lineRule="auto"/>
        <w:rPr>
          <w:rFonts w:hint="eastAsia" w:ascii="Times New Roman Regular" w:hAnsi="Times New Roman Regular" w:cs="Times New Roman Regular"/>
          <w:b/>
          <w:bCs/>
          <w:color w:val="231F20"/>
          <w:sz w:val="24"/>
          <w:lang w:val="en-US" w:eastAsia="zh-CN"/>
        </w:rPr>
      </w:pPr>
    </w:p>
    <w:p>
      <w:pPr>
        <w:widowControl/>
        <w:spacing w:line="360" w:lineRule="auto"/>
        <w:rPr>
          <w:rFonts w:hint="eastAsia" w:ascii="Times New Roman Regular" w:hAnsi="Times New Roman Regular" w:eastAsia="宋体" w:cs="Times New Roman Regular"/>
          <w:color w:val="000000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NjBiM2Q4N2RjZDZkZDIzMGUxNTMxMjA5MzQyYTMifQ=="/>
  </w:docVars>
  <w:rsids>
    <w:rsidRoot w:val="00000000"/>
    <w:rsid w:val="13C4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2023-06-24T13:50:06Z</dcterms:created>
  <dc:creator>yinzh</dc:creator>
  <cp:lastModifiedBy>可以</cp:lastModifiedBy>
  <dcterms:modified xsi:type="dcterms:W3CDTF">2023-06-24T14:13:07Z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71CB5F8B03BE45038ADC7D34E9795164_12</vt:lpwstr>
  </property>
</Properties>
</file>