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D2204" w14:textId="77777777" w:rsidR="007B1D80" w:rsidRDefault="007B1D80" w:rsidP="007B1D80">
      <w:pPr>
        <w:jc w:val="center"/>
        <w:rPr>
          <w:b/>
          <w:bCs/>
          <w:sz w:val="36"/>
          <w:szCs w:val="32"/>
        </w:rPr>
      </w:pPr>
      <w:r w:rsidRPr="00880A3A">
        <w:rPr>
          <w:b/>
          <w:bCs/>
          <w:sz w:val="36"/>
          <w:szCs w:val="32"/>
        </w:rPr>
        <w:t xml:space="preserve">More than three-fold increase of </w:t>
      </w:r>
      <w:r>
        <w:rPr>
          <w:b/>
          <w:bCs/>
          <w:sz w:val="36"/>
          <w:szCs w:val="32"/>
        </w:rPr>
        <w:t>compound soil and air dryness</w:t>
      </w:r>
      <w:r w:rsidRPr="00880A3A">
        <w:rPr>
          <w:b/>
          <w:bCs/>
          <w:sz w:val="36"/>
          <w:szCs w:val="32"/>
        </w:rPr>
        <w:t xml:space="preserve"> across Europe by end of 21</w:t>
      </w:r>
      <w:r w:rsidRPr="00880A3A">
        <w:rPr>
          <w:b/>
          <w:bCs/>
          <w:sz w:val="36"/>
          <w:szCs w:val="32"/>
          <w:vertAlign w:val="superscript"/>
        </w:rPr>
        <w:t>st</w:t>
      </w:r>
      <w:r>
        <w:rPr>
          <w:b/>
          <w:bCs/>
          <w:sz w:val="36"/>
          <w:szCs w:val="32"/>
        </w:rPr>
        <w:t xml:space="preserve"> </w:t>
      </w:r>
      <w:r w:rsidRPr="00880A3A">
        <w:rPr>
          <w:b/>
          <w:bCs/>
          <w:sz w:val="36"/>
          <w:szCs w:val="32"/>
        </w:rPr>
        <w:t>century</w:t>
      </w:r>
    </w:p>
    <w:p w14:paraId="4CCECB91" w14:textId="77777777" w:rsidR="007B1D80" w:rsidRPr="00FD68E4" w:rsidRDefault="007B1D80" w:rsidP="007B1D80">
      <w:pPr>
        <w:jc w:val="center"/>
      </w:pPr>
      <w:r w:rsidRPr="00FD68E4">
        <w:t>Ankit Shekhar</w:t>
      </w:r>
      <w:r w:rsidRPr="00FD68E4">
        <w:rPr>
          <w:vertAlign w:val="superscript"/>
        </w:rPr>
        <w:t>1</w:t>
      </w:r>
      <w:r w:rsidRPr="00FD68E4">
        <w:t>, Nina Buchmann</w:t>
      </w:r>
      <w:r w:rsidRPr="00FD68E4">
        <w:rPr>
          <w:vertAlign w:val="superscript"/>
        </w:rPr>
        <w:t>1</w:t>
      </w:r>
      <w:r w:rsidRPr="00FD68E4">
        <w:t>, Vincent Humphrey</w:t>
      </w:r>
      <w:r w:rsidRPr="00FD68E4">
        <w:rPr>
          <w:vertAlign w:val="superscript"/>
        </w:rPr>
        <w:t>2</w:t>
      </w:r>
      <w:r w:rsidRPr="00FD68E4">
        <w:t xml:space="preserve"> Mana Gharun</w:t>
      </w:r>
      <w:r w:rsidRPr="00FD68E4">
        <w:rPr>
          <w:vertAlign w:val="superscript"/>
        </w:rPr>
        <w:t>3</w:t>
      </w:r>
    </w:p>
    <w:p w14:paraId="34646AE5" w14:textId="77777777" w:rsidR="007B1D80" w:rsidRPr="00FD68E4" w:rsidRDefault="007B1D80" w:rsidP="007B1D80">
      <w:pPr>
        <w:jc w:val="center"/>
      </w:pPr>
      <w:r w:rsidRPr="00FD68E4">
        <w:rPr>
          <w:vertAlign w:val="superscript"/>
        </w:rPr>
        <w:t>1</w:t>
      </w:r>
      <w:r w:rsidRPr="00FD68E4">
        <w:t xml:space="preserve"> Department of Environmental Systems Science, ETH Zürich, 8092 Zürich, Switzerland</w:t>
      </w:r>
    </w:p>
    <w:p w14:paraId="0B659847" w14:textId="77777777" w:rsidR="007B1D80" w:rsidRPr="00FD68E4" w:rsidRDefault="007B1D80" w:rsidP="007B1D80">
      <w:pPr>
        <w:jc w:val="center"/>
      </w:pPr>
      <w:r w:rsidRPr="00FD68E4">
        <w:rPr>
          <w:vertAlign w:val="superscript"/>
        </w:rPr>
        <w:t>2</w:t>
      </w:r>
      <w:r w:rsidRPr="00FD68E4">
        <w:t xml:space="preserve"> </w:t>
      </w:r>
      <w:r w:rsidRPr="005965A9">
        <w:t xml:space="preserve">Federal Office of Meteorology and Climate </w:t>
      </w:r>
      <w:proofErr w:type="spellStart"/>
      <w:r w:rsidRPr="005965A9">
        <w:t>MeteoSwiss</w:t>
      </w:r>
      <w:proofErr w:type="spellEnd"/>
      <w:r w:rsidRPr="005965A9">
        <w:t>, Zürich, Switzerland</w:t>
      </w:r>
    </w:p>
    <w:p w14:paraId="32D52A22" w14:textId="050CF650" w:rsidR="00FA4450" w:rsidRDefault="007B1D80" w:rsidP="007B1D80">
      <w:pPr>
        <w:jc w:val="center"/>
        <w:rPr>
          <w:szCs w:val="22"/>
        </w:rPr>
      </w:pPr>
      <w:r w:rsidRPr="00FD68E4">
        <w:rPr>
          <w:vertAlign w:val="superscript"/>
        </w:rPr>
        <w:t>3</w:t>
      </w:r>
      <w:r w:rsidRPr="00FD68E4">
        <w:t xml:space="preserve"> Faculty of Geosciences, University of Münster, 48149 Münster, Germany</w:t>
      </w:r>
    </w:p>
    <w:p w14:paraId="2FB2EEE3" w14:textId="77777777" w:rsidR="007B1D80" w:rsidRPr="007B1D80" w:rsidRDefault="007B1D80" w:rsidP="007B1D80">
      <w:pPr>
        <w:jc w:val="center"/>
        <w:rPr>
          <w:szCs w:val="22"/>
        </w:rPr>
      </w:pPr>
    </w:p>
    <w:p w14:paraId="43426DDE" w14:textId="77777777" w:rsidR="00AE1134" w:rsidRPr="001F4BF1" w:rsidRDefault="00000000" w:rsidP="00AE1134">
      <w:pPr>
        <w:pStyle w:val="Heading4"/>
        <w:jc w:val="center"/>
        <w:rPr>
          <w:b/>
          <w:sz w:val="32"/>
          <w:szCs w:val="28"/>
        </w:rPr>
      </w:pPr>
      <w:r w:rsidRPr="001F4BF1">
        <w:rPr>
          <w:b/>
          <w:sz w:val="32"/>
          <w:szCs w:val="28"/>
        </w:rPr>
        <w:t>Supplementary Materials</w:t>
      </w:r>
      <w:bookmarkStart w:id="0" w:name="_kunnq6bqb30k" w:colFirst="0" w:colLast="0"/>
      <w:bookmarkEnd w:id="0"/>
    </w:p>
    <w:p w14:paraId="0794DA43" w14:textId="2059D466" w:rsidR="00F21F42" w:rsidRPr="00AE1134" w:rsidRDefault="00AE1134" w:rsidP="00AE1134">
      <w:pPr>
        <w:pStyle w:val="Heading4"/>
        <w:rPr>
          <w:b/>
          <w:color w:val="auto"/>
        </w:rPr>
      </w:pPr>
      <w:r>
        <w:rPr>
          <w:b/>
          <w:bCs/>
          <w:noProof/>
        </w:rPr>
        <w:drawing>
          <wp:inline distT="0" distB="0" distL="0" distR="0" wp14:anchorId="0277316A" wp14:editId="0990EF65">
            <wp:extent cx="5943600" cy="2863850"/>
            <wp:effectExtent l="0" t="0" r="0" b="6350"/>
            <wp:docPr id="1827976757" name="Picture 3" descr="A close-up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76757" name="Picture 3" descr="A close-up of a map&#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863850"/>
                    </a:xfrm>
                    <a:prstGeom prst="rect">
                      <a:avLst/>
                    </a:prstGeom>
                  </pic:spPr>
                </pic:pic>
              </a:graphicData>
            </a:graphic>
          </wp:inline>
        </w:drawing>
      </w:r>
      <w:r w:rsidR="00361C1D">
        <w:rPr>
          <w:b/>
          <w:bCs/>
        </w:rPr>
        <w:br/>
      </w:r>
      <w:r w:rsidRPr="00E80C79">
        <w:rPr>
          <w:b/>
          <w:bCs/>
        </w:rPr>
        <w:t>Figure S1.</w:t>
      </w:r>
      <w:r w:rsidRPr="00E80C79">
        <w:t xml:space="preserve"> </w:t>
      </w:r>
      <w:r>
        <w:t xml:space="preserve">(a) </w:t>
      </w:r>
      <w:r w:rsidRPr="00E80C79">
        <w:t>Study area separated into Northern Europe (NEU), Central Europe (CEU) and Mediterranean Europe (MED)</w:t>
      </w:r>
      <w:r w:rsidR="00D03DF4">
        <w:fldChar w:fldCharType="begin"/>
      </w:r>
      <w:r w:rsidR="00D03DF4">
        <w:instrText xml:space="preserve"> ADDIN ZOTERO_ITEM CSL_CITATION {"citationID":"Q9YQpXpJ","properties":{"formattedCitation":"\\super 1\\nosupersub{}","plainCitation":"1","noteIndex":0},"citationItems":[{"id":3321,"uris":["http://zotero.org/users/6231861/items/HVYASWVW"],"itemData":{"id":3321,"type":"article-journal","abstract":"&lt;p&gt;In the last decades, the impactful European warm-season droughts have been steadily increasing, substituting other drought types.&lt;/p&gt;","container-title":"Science Advances","DOI":"10.1126/sciadv.abb9668","ISSN":"2375-2548","issue":"6","note":"publisher: American Association for the Advancement of Science","title":"The rise of compound warm-season droughts in Europe","URL":"https://www.science.org/doi/10.1126/sciadv.abb9668","volume":"7","author":[{"family":"Markonis","given":"Yannis"},{"family":"Kumar","given":"Rohini"},{"family":"Hanel","given":"Martin"},{"family":"Rakovec","given":"Oldrich"},{"family":"Máca","given":"Petr"},{"family":"AghaKouchak","given":"Amir"}],"accessed":{"date-parts":[["2022",10,1]]},"issued":{"date-parts":[["2021",2,5]]}}}],"schema":"https://github.com/citation-style-language/schema/raw/master/csl-citation.json"} </w:instrText>
      </w:r>
      <w:r w:rsidR="00D03DF4">
        <w:fldChar w:fldCharType="separate"/>
      </w:r>
      <w:r w:rsidR="00D03DF4" w:rsidRPr="00D03DF4">
        <w:rPr>
          <w:color w:val="000000"/>
          <w:vertAlign w:val="superscript"/>
          <w:lang w:val="en-GB"/>
        </w:rPr>
        <w:t>1</w:t>
      </w:r>
      <w:r w:rsidR="00D03DF4">
        <w:fldChar w:fldCharType="end"/>
      </w:r>
      <w:r w:rsidR="00D03DF4">
        <w:t xml:space="preserve"> </w:t>
      </w:r>
      <w:r>
        <w:t xml:space="preserve">and (b) Land cover of Europe of the year 2021 </w:t>
      </w:r>
      <w:r w:rsidR="00144875">
        <w:t xml:space="preserve">obtained from the </w:t>
      </w:r>
      <w:r>
        <w:t>MODIS land cover data (MCD12Q1 version 6.1)</w:t>
      </w:r>
      <w:r w:rsidR="00D03DF4">
        <w:fldChar w:fldCharType="begin"/>
      </w:r>
      <w:r w:rsidR="00D03DF4">
        <w:instrText xml:space="preserve"> ADDIN ZOTERO_ITEM CSL_CITATION {"citationID":"LzrGE6eT","properties":{"formattedCitation":"\\super 2\\nosupersub{}","plainCitation":"2","noteIndex":0},"citationItems":[{"id":3084,"uris":["http://zotero.org/users/6231861/items/5F9KKS5R"],"itemData":{"id":3084,"type":"article-journal","abstract":"The Mexican transition zone is the area where the Neotropical and Nearctic regions overlap (Figure 4.1). In its broad sense, it comprises southwestern United States, Mexico, and most of Central America (Halffter, 1987; Zunino and Halffter, 1988; Gutiérrez-Velázquez et al., 2013). It is partially coincident with the areas named Megamexico 3 (Rzedowski, 1991) and biotic Mesoamerica (Ríos-Muñoz, 2013). The Mexican transition zone in the strict sense, which is followed in this book, corresponds to the moderate to high elevation highlands of Mexico, Guatemala, Honduras, El Salvador, and Nicaragua (Morrone, 2006, 2010b, 2014b, 2015c; Espinosa Organista et al., 2008).","container-title":"NASA EOSDIS Land Processes DAAC","DOI":"https://doi.org/10.5067/MODIS/MCD12C1.006","title":"MCD12C1 MODIS/Terra+ Aqua Land Cover Type Yearly L3 Global 0.05 Deg CMG V006 [Data set]","URL":"https://lpdaac.usgs.gov/products/mcd12c1v006/","author":[{"family":"Friedl","given":"M"},{"family":"Sulla-Menashe","given":"D"}],"issued":{"date-parts":[["2015"]]}}}],"schema":"https://github.com/citation-style-language/schema/raw/master/csl-citation.json"} </w:instrText>
      </w:r>
      <w:r w:rsidR="00D03DF4">
        <w:fldChar w:fldCharType="separate"/>
      </w:r>
      <w:r w:rsidR="00D03DF4" w:rsidRPr="00D03DF4">
        <w:rPr>
          <w:color w:val="000000"/>
          <w:vertAlign w:val="superscript"/>
          <w:lang w:val="en-GB"/>
        </w:rPr>
        <w:t>2</w:t>
      </w:r>
      <w:r w:rsidR="00D03DF4">
        <w:fldChar w:fldCharType="end"/>
      </w:r>
      <w:r w:rsidR="00144875">
        <w:t>. The land cover code is as per the IGBP (International Geosphere-Biosphere Program) classification. ENF – Evergreen Needleleaf Forest, EBF – Evergreen Broadleaf Forest, DBF – Deciduous Broadleaf Forest, MF – Mixed Forest, CSH – Closed Shrublands, OSH – Open Shrublands, WSA – Wooden Savannas, SAV – Savannas, GRA – Grasslands, WET – Wetlands, CRO – Croplands, URB – Urban &amp; Build-up Area, CNV – Cropland and Natural Vegetation Mosaics.</w:t>
      </w:r>
    </w:p>
    <w:p w14:paraId="132CF067" w14:textId="77777777" w:rsidR="0006529D" w:rsidRPr="0006529D" w:rsidRDefault="0006529D" w:rsidP="0006529D"/>
    <w:p w14:paraId="28B0FFD2" w14:textId="7E4D68E9" w:rsidR="00F21F42" w:rsidRPr="00E80C79" w:rsidRDefault="00B910FB" w:rsidP="00E80C79">
      <w:pPr>
        <w:pStyle w:val="Heading4"/>
      </w:pPr>
      <w:bookmarkStart w:id="1" w:name="_y4paroxihb19" w:colFirst="0" w:colLast="0"/>
      <w:bookmarkStart w:id="2" w:name="_89zqnzk8br9a" w:colFirst="0" w:colLast="0"/>
      <w:bookmarkEnd w:id="1"/>
      <w:bookmarkEnd w:id="2"/>
      <w:r>
        <w:rPr>
          <w:b/>
          <w:bCs/>
          <w:noProof/>
        </w:rPr>
        <w:lastRenderedPageBreak/>
        <w:drawing>
          <wp:inline distT="0" distB="0" distL="0" distR="0" wp14:anchorId="40ED4255" wp14:editId="2AD4F649">
            <wp:extent cx="5943600" cy="2971800"/>
            <wp:effectExtent l="0" t="0" r="0" b="0"/>
            <wp:docPr id="106412049" name="Picture 2" descr="A picture containing text, plot, line, writing impl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2049" name="Picture 2" descr="A picture containing text, plot, line, writing implemen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r w:rsidR="00361C1D">
        <w:rPr>
          <w:b/>
          <w:bCs/>
        </w:rPr>
        <w:br/>
      </w:r>
      <w:r w:rsidRPr="00E80C79">
        <w:rPr>
          <w:b/>
          <w:bCs/>
        </w:rPr>
        <w:t>Figure S2.</w:t>
      </w:r>
      <w:r w:rsidRPr="00E80C79">
        <w:t xml:space="preserve"> Comparison of trend of (a) yearly mean SM and yearly 10th percentile SM (extreme SM threshold), and (b) yearly mean VPD and yearly 90th percentile VPD (extreme VPD threshold).</w:t>
      </w:r>
      <w:r>
        <w:t xml:space="preserve"> The 1:1 line is shown in dashed. </w:t>
      </w:r>
    </w:p>
    <w:p w14:paraId="6CB879FF" w14:textId="56D3C1A7" w:rsidR="00F21F42" w:rsidRDefault="00E13484" w:rsidP="00AC00E7">
      <w:pPr>
        <w:pStyle w:val="Heading4"/>
      </w:pPr>
      <w:bookmarkStart w:id="3" w:name="_u861jv75hmkw" w:colFirst="0" w:colLast="0"/>
      <w:bookmarkEnd w:id="3"/>
      <w:r>
        <w:rPr>
          <w:noProof/>
        </w:rPr>
        <w:drawing>
          <wp:inline distT="0" distB="0" distL="0" distR="0" wp14:anchorId="4E5FC742" wp14:editId="22409E62">
            <wp:extent cx="5943600" cy="3241675"/>
            <wp:effectExtent l="0" t="0" r="0" b="0"/>
            <wp:docPr id="1678970717" name="Picture 1" descr="A picture containing tex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70717" name="Picture 1" descr="A picture containing text, diagram, 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41675"/>
                    </a:xfrm>
                    <a:prstGeom prst="rect">
                      <a:avLst/>
                    </a:prstGeom>
                  </pic:spPr>
                </pic:pic>
              </a:graphicData>
            </a:graphic>
          </wp:inline>
        </w:drawing>
      </w:r>
      <w:bookmarkStart w:id="4" w:name="_f6lln8hb2f0r" w:colFirst="0" w:colLast="0"/>
      <w:bookmarkEnd w:id="4"/>
      <w:r w:rsidR="00361C1D">
        <w:rPr>
          <w:b/>
          <w:bCs/>
        </w:rPr>
        <w:br/>
      </w:r>
      <w:r w:rsidRPr="00AC00E7">
        <w:rPr>
          <w:b/>
          <w:bCs/>
        </w:rPr>
        <w:t>Figure S3.</w:t>
      </w:r>
      <w:r w:rsidRPr="003D7C1B">
        <w:t xml:space="preserve"> Pearson correlation between daily SM and VPD during (a) reference period of 1950-1990 and (b) present period of 1991-2021. </w:t>
      </w:r>
    </w:p>
    <w:p w14:paraId="12026CE2" w14:textId="526DADB7" w:rsidR="00AD0279" w:rsidRDefault="009525B9" w:rsidP="00AD0279">
      <w:r>
        <w:rPr>
          <w:noProof/>
        </w:rPr>
        <w:lastRenderedPageBreak/>
        <w:drawing>
          <wp:inline distT="0" distB="0" distL="0" distR="0" wp14:anchorId="54AE2191" wp14:editId="11934E4A">
            <wp:extent cx="5943600" cy="2363470"/>
            <wp:effectExtent l="0" t="0" r="0" b="0"/>
            <wp:docPr id="1790452019" name="Picture 2"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52019" name="Picture 2" descr="A comparison of a graph&#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363470"/>
                    </a:xfrm>
                    <a:prstGeom prst="rect">
                      <a:avLst/>
                    </a:prstGeom>
                  </pic:spPr>
                </pic:pic>
              </a:graphicData>
            </a:graphic>
          </wp:inline>
        </w:drawing>
      </w:r>
    </w:p>
    <w:p w14:paraId="3947031D" w14:textId="18B83427" w:rsidR="009525B9" w:rsidRPr="009525B9" w:rsidRDefault="009525B9" w:rsidP="00AD0279">
      <w:pPr>
        <w:rPr>
          <w:rFonts w:ascii="Helvetica" w:hAnsi="Helvetica"/>
        </w:rPr>
      </w:pPr>
      <w:r w:rsidRPr="009525B9">
        <w:rPr>
          <w:rFonts w:ascii="Helvetica" w:hAnsi="Helvetica"/>
          <w:b/>
          <w:bCs/>
        </w:rPr>
        <w:t>Figure S4.</w:t>
      </w:r>
      <w:r w:rsidRPr="009525B9">
        <w:rPr>
          <w:rFonts w:ascii="Helvetica" w:hAnsi="Helvetica"/>
        </w:rPr>
        <w:t xml:space="preserve"> Comparison of (a) SM-VPD coupling (as represented by Pearson correlation and coefficient) and (b) probability multiplication factor of co-occurrence of extreme SM and VPD at daily and monthly scale over reference period (1950-1990) and present period (1991-2021).</w:t>
      </w:r>
    </w:p>
    <w:p w14:paraId="1299DAFD" w14:textId="2345F719" w:rsidR="00AD0279" w:rsidRPr="00AD0279" w:rsidRDefault="00A75487" w:rsidP="00AD0279">
      <w:pPr>
        <w:pStyle w:val="Heading4"/>
      </w:pPr>
      <w:bookmarkStart w:id="5" w:name="_o0ej9qriyamx" w:colFirst="0" w:colLast="0"/>
      <w:bookmarkEnd w:id="5"/>
      <w:r>
        <w:rPr>
          <w:noProof/>
        </w:rPr>
        <w:lastRenderedPageBreak/>
        <w:drawing>
          <wp:inline distT="0" distB="0" distL="0" distR="0" wp14:anchorId="6330A089" wp14:editId="68919DD5">
            <wp:extent cx="5057964" cy="2731625"/>
            <wp:effectExtent l="0" t="0" r="0" b="0"/>
            <wp:docPr id="363130787" name="Picture 1" descr="A picture containing map, text, atlas,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30787" name="Picture 1" descr="A picture containing map, text, atlas,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72550" cy="2739502"/>
                    </a:xfrm>
                    <a:prstGeom prst="rect">
                      <a:avLst/>
                    </a:prstGeom>
                  </pic:spPr>
                </pic:pic>
              </a:graphicData>
            </a:graphic>
          </wp:inline>
        </w:drawing>
      </w:r>
      <w:r w:rsidR="00361C1D">
        <w:rPr>
          <w:b/>
          <w:bCs/>
        </w:rPr>
        <w:br/>
      </w:r>
      <w:r w:rsidRPr="00AC00E7">
        <w:rPr>
          <w:b/>
          <w:bCs/>
        </w:rPr>
        <w:t>Figure S</w:t>
      </w:r>
      <w:r w:rsidR="009525B9">
        <w:rPr>
          <w:b/>
          <w:bCs/>
        </w:rPr>
        <w:t>5</w:t>
      </w:r>
      <w:r w:rsidRPr="00AC00E7">
        <w:rPr>
          <w:b/>
          <w:bCs/>
        </w:rPr>
        <w:t>.</w:t>
      </w:r>
      <w:r w:rsidRPr="003D7C1B">
        <w:t xml:space="preserve"> </w:t>
      </w:r>
      <w:r w:rsidR="00236EA2">
        <w:t>P</w:t>
      </w:r>
      <w:r w:rsidR="008B0F73" w:rsidRPr="008B0F73">
        <w:t xml:space="preserve">robability multiplication factor (PMF) of compound extreme dryness during </w:t>
      </w:r>
      <w:r w:rsidRPr="003D7C1B">
        <w:t xml:space="preserve">(a) reference period of 1950-1990 and (b) present period of 1991-2021. </w:t>
      </w:r>
    </w:p>
    <w:p w14:paraId="3767D354" w14:textId="77777777" w:rsidR="00AD0279" w:rsidRDefault="00AD0279" w:rsidP="00AC00E7">
      <w:pPr>
        <w:pStyle w:val="Heading4"/>
        <w:rPr>
          <w:b/>
          <w:bCs/>
        </w:rPr>
      </w:pPr>
    </w:p>
    <w:p w14:paraId="4FA55FD3" w14:textId="089B7BB6" w:rsidR="00AD0279" w:rsidRPr="00AD0279" w:rsidRDefault="00AC00E7" w:rsidP="00062BAD">
      <w:pPr>
        <w:pStyle w:val="Heading4"/>
      </w:pPr>
      <w:r>
        <w:rPr>
          <w:noProof/>
        </w:rPr>
        <w:drawing>
          <wp:inline distT="0" distB="0" distL="0" distR="0" wp14:anchorId="2F0C93A3" wp14:editId="55AE3448">
            <wp:extent cx="3622876" cy="3952263"/>
            <wp:effectExtent l="0" t="0" r="0" b="0"/>
            <wp:docPr id="574064577" name="Picture 2" descr="A map of europe with red and blu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64577" name="Picture 2" descr="A map of europe with red and blue colo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2687" cy="3962966"/>
                    </a:xfrm>
                    <a:prstGeom prst="rect">
                      <a:avLst/>
                    </a:prstGeom>
                  </pic:spPr>
                </pic:pic>
              </a:graphicData>
            </a:graphic>
          </wp:inline>
        </w:drawing>
      </w:r>
      <w:r w:rsidR="00361C1D">
        <w:br/>
      </w:r>
      <w:r w:rsidRPr="00AC00E7">
        <w:rPr>
          <w:b/>
          <w:bCs/>
        </w:rPr>
        <w:t>Figure S</w:t>
      </w:r>
      <w:r w:rsidR="009525B9">
        <w:rPr>
          <w:b/>
          <w:bCs/>
        </w:rPr>
        <w:t>6</w:t>
      </w:r>
      <w:r w:rsidRPr="00AC00E7">
        <w:rPr>
          <w:b/>
          <w:bCs/>
        </w:rPr>
        <w:t>.</w:t>
      </w:r>
      <w:r>
        <w:t xml:space="preserve"> The change in </w:t>
      </w:r>
      <w:bookmarkStart w:id="6" w:name="_8iibnyebcjvm" w:colFirst="0" w:colLast="0"/>
      <w:bookmarkStart w:id="7" w:name="_1423hxfmhir8" w:colFirst="0" w:colLast="0"/>
      <w:bookmarkEnd w:id="6"/>
      <w:bookmarkEnd w:id="7"/>
      <w:r>
        <w:t>the probability of the occurrence of compound extreme dryness (P</w:t>
      </w:r>
      <w:r>
        <w:rPr>
          <w:vertAlign w:val="subscript"/>
        </w:rPr>
        <w:t>CD</w:t>
      </w:r>
      <w:r>
        <w:t>) across Europe due to decreasing SM and/or increasing VPD trend from reference to the present period.</w:t>
      </w:r>
      <w:bookmarkStart w:id="8" w:name="_xvpt9jwqguyy" w:colFirst="0" w:colLast="0"/>
      <w:bookmarkEnd w:id="8"/>
    </w:p>
    <w:p w14:paraId="744480E7" w14:textId="3AC366E6" w:rsidR="00F21F42" w:rsidRDefault="00062BAD" w:rsidP="00062BAD">
      <w:pPr>
        <w:pStyle w:val="Heading4"/>
      </w:pPr>
      <w:r>
        <w:rPr>
          <w:noProof/>
        </w:rPr>
        <w:lastRenderedPageBreak/>
        <w:drawing>
          <wp:inline distT="0" distB="0" distL="0" distR="0" wp14:anchorId="77D1E028" wp14:editId="0A7175CD">
            <wp:extent cx="5943600" cy="3845560"/>
            <wp:effectExtent l="0" t="0" r="0" b="2540"/>
            <wp:docPr id="108178683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86839" name="Picture 3" descr="A graph of different colored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845560"/>
                    </a:xfrm>
                    <a:prstGeom prst="rect">
                      <a:avLst/>
                    </a:prstGeom>
                  </pic:spPr>
                </pic:pic>
              </a:graphicData>
            </a:graphic>
          </wp:inline>
        </w:drawing>
      </w:r>
      <w:bookmarkStart w:id="9" w:name="_o6bl9l9og4ko" w:colFirst="0" w:colLast="0"/>
      <w:bookmarkEnd w:id="9"/>
      <w:r>
        <w:br/>
      </w:r>
      <w:r w:rsidRPr="00062BAD">
        <w:rPr>
          <w:b/>
          <w:bCs/>
        </w:rPr>
        <w:t>Figure S</w:t>
      </w:r>
      <w:r w:rsidR="009525B9">
        <w:rPr>
          <w:b/>
          <w:bCs/>
        </w:rPr>
        <w:t>7</w:t>
      </w:r>
      <w:r w:rsidRPr="00062BAD">
        <w:rPr>
          <w:b/>
          <w:bCs/>
        </w:rPr>
        <w:t>.</w:t>
      </w:r>
      <w:r w:rsidRPr="003D7C1B">
        <w:t xml:space="preserve"> (a) The percent change in 10</w:t>
      </w:r>
      <w:r w:rsidRPr="00062BAD">
        <w:rPr>
          <w:vertAlign w:val="superscript"/>
        </w:rPr>
        <w:t>th</w:t>
      </w:r>
      <w:r>
        <w:t xml:space="preserve"> </w:t>
      </w:r>
      <w:r w:rsidRPr="003D7C1B">
        <w:t>percentile SM threshold (∆SM</w:t>
      </w:r>
      <w:r w:rsidRPr="003D7C1B">
        <w:rPr>
          <w:vertAlign w:val="subscript"/>
        </w:rPr>
        <w:t>10P</w:t>
      </w:r>
      <w:r w:rsidRPr="003D7C1B">
        <w:t>) and (b) 90</w:t>
      </w:r>
      <w:r w:rsidRPr="00062BAD">
        <w:rPr>
          <w:vertAlign w:val="superscript"/>
        </w:rPr>
        <w:t>th</w:t>
      </w:r>
      <w:r>
        <w:t xml:space="preserve"> </w:t>
      </w:r>
      <w:r w:rsidRPr="003D7C1B">
        <w:t>percentile VPD threshold (∆VPD</w:t>
      </w:r>
      <w:r w:rsidRPr="003D7C1B">
        <w:rPr>
          <w:vertAlign w:val="subscript"/>
        </w:rPr>
        <w:t>90P</w:t>
      </w:r>
      <w:r w:rsidRPr="003D7C1B">
        <w:t>) during present period (1991-2021), mid 21</w:t>
      </w:r>
      <w:r w:rsidRPr="00062BAD">
        <w:rPr>
          <w:vertAlign w:val="superscript"/>
        </w:rPr>
        <w:t>st</w:t>
      </w:r>
      <w:r w:rsidRPr="003D7C1B">
        <w:t xml:space="preserve"> century (2030-2065) and late</w:t>
      </w:r>
      <w:r w:rsidR="00361C1D">
        <w:t xml:space="preserve"> </w:t>
      </w:r>
      <w:r w:rsidRPr="003D7C1B">
        <w:t>21</w:t>
      </w:r>
      <w:r w:rsidRPr="00062BAD">
        <w:rPr>
          <w:vertAlign w:val="superscript"/>
        </w:rPr>
        <w:t>st</w:t>
      </w:r>
      <w:r>
        <w:t xml:space="preserve"> </w:t>
      </w:r>
      <w:r w:rsidRPr="003D7C1B">
        <w:t xml:space="preserve">century (2066-2100) compared to reference period (1950-1990). The change is calculated based five RCM simulations- </w:t>
      </w:r>
      <w:r w:rsidRPr="003D7C1B">
        <w:rPr>
          <w:rFonts w:eastAsia="Times New Roman" w:cs="Times New Roman"/>
        </w:rPr>
        <w:t>ALADIN63, HadREM3-GA7-05, RACMO22E, CCLM4-8-17, and HIRHAM5 using the boundary conditions from the MPI-M-MPI-ESM-LR global climate model</w:t>
      </w:r>
      <w:r w:rsidRPr="003D7C1B">
        <w:t xml:space="preserve"> and then averaged.</w:t>
      </w:r>
    </w:p>
    <w:p w14:paraId="04F00791" w14:textId="7D933F52" w:rsidR="00062BAD" w:rsidRDefault="00062BAD" w:rsidP="00062BAD">
      <w:pPr>
        <w:pStyle w:val="Heading4"/>
      </w:pPr>
      <w:r>
        <w:rPr>
          <w:noProof/>
        </w:rPr>
        <w:lastRenderedPageBreak/>
        <w:drawing>
          <wp:inline distT="0" distB="0" distL="0" distR="0" wp14:anchorId="30A772BD" wp14:editId="3E34A7FD">
            <wp:extent cx="5943600" cy="6537960"/>
            <wp:effectExtent l="0" t="0" r="0" b="2540"/>
            <wp:docPr id="564396595" name="Picture 4" descr="A map of europe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96595" name="Picture 4" descr="A map of europe with different colo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537960"/>
                    </a:xfrm>
                    <a:prstGeom prst="rect">
                      <a:avLst/>
                    </a:prstGeom>
                  </pic:spPr>
                </pic:pic>
              </a:graphicData>
            </a:graphic>
          </wp:inline>
        </w:drawing>
      </w:r>
      <w:r>
        <w:br/>
      </w:r>
      <w:r w:rsidRPr="00062BAD">
        <w:rPr>
          <w:b/>
          <w:bCs/>
        </w:rPr>
        <w:t>Figure S</w:t>
      </w:r>
      <w:r w:rsidR="009525B9">
        <w:rPr>
          <w:b/>
          <w:bCs/>
        </w:rPr>
        <w:t>8</w:t>
      </w:r>
      <w:r w:rsidRPr="00062BAD">
        <w:rPr>
          <w:b/>
          <w:bCs/>
        </w:rPr>
        <w:t>.</w:t>
      </w:r>
      <w:r>
        <w:t xml:space="preserve"> (a)</w:t>
      </w:r>
      <w:r w:rsidRPr="003D7C1B">
        <w:t xml:space="preserve"> Projected change in SM</w:t>
      </w:r>
      <w:r w:rsidRPr="003D7C1B">
        <w:rPr>
          <w:vertAlign w:val="subscript"/>
        </w:rPr>
        <w:t>10P</w:t>
      </w:r>
      <w:r w:rsidRPr="003D7C1B">
        <w:t xml:space="preserve"> during mid 21</w:t>
      </w:r>
      <w:r w:rsidRPr="00062BAD">
        <w:rPr>
          <w:vertAlign w:val="superscript"/>
        </w:rPr>
        <w:t>st</w:t>
      </w:r>
      <w:r>
        <w:t xml:space="preserve"> </w:t>
      </w:r>
      <w:r w:rsidRPr="003D7C1B">
        <w:t>century and late 21</w:t>
      </w:r>
      <w:r w:rsidRPr="00062BAD">
        <w:rPr>
          <w:vertAlign w:val="superscript"/>
        </w:rPr>
        <w:t>st</w:t>
      </w:r>
      <w:r>
        <w:t xml:space="preserve"> </w:t>
      </w:r>
      <w:r w:rsidRPr="003D7C1B">
        <w:t>century compared to reference period over Europe</w:t>
      </w:r>
      <w:r>
        <w:t xml:space="preserve"> and</w:t>
      </w:r>
      <w:r w:rsidRPr="003D7C1B">
        <w:t xml:space="preserve"> </w:t>
      </w:r>
      <w:r>
        <w:t>(b) p</w:t>
      </w:r>
      <w:r w:rsidRPr="003D7C1B">
        <w:t>rojected change in VPD</w:t>
      </w:r>
      <w:r w:rsidRPr="003D7C1B">
        <w:rPr>
          <w:vertAlign w:val="subscript"/>
        </w:rPr>
        <w:t>90P</w:t>
      </w:r>
      <w:r w:rsidRPr="003D7C1B">
        <w:t xml:space="preserve"> during mid 21</w:t>
      </w:r>
      <w:r w:rsidRPr="00062BAD">
        <w:rPr>
          <w:vertAlign w:val="superscript"/>
        </w:rPr>
        <w:t>st</w:t>
      </w:r>
      <w:r>
        <w:t xml:space="preserve"> </w:t>
      </w:r>
      <w:r w:rsidRPr="003D7C1B">
        <w:t>century and late 21</w:t>
      </w:r>
      <w:r w:rsidRPr="00062BAD">
        <w:rPr>
          <w:vertAlign w:val="superscript"/>
        </w:rPr>
        <w:t>st</w:t>
      </w:r>
      <w:r>
        <w:t xml:space="preserve"> </w:t>
      </w:r>
      <w:r w:rsidRPr="003D7C1B">
        <w:t>century compared to reference period over Europe.</w:t>
      </w:r>
      <w:r w:rsidRPr="00062BAD">
        <w:t xml:space="preserve"> </w:t>
      </w:r>
      <w:r w:rsidRPr="003D7C1B">
        <w:t xml:space="preserve">The change is calculated based five RCM simulations- </w:t>
      </w:r>
      <w:r w:rsidRPr="003D7C1B">
        <w:rPr>
          <w:rFonts w:eastAsia="Times New Roman" w:cs="Times New Roman"/>
        </w:rPr>
        <w:t>ALADIN63, HadREM3-GA7-05, RACMO22E, CCLM4-8-17, and HIRHAM5 using the boundary conditions from the MPI-M-MPI-ESM-LR global climate model</w:t>
      </w:r>
      <w:r w:rsidRPr="003D7C1B">
        <w:t xml:space="preserve"> and then averaged.</w:t>
      </w:r>
    </w:p>
    <w:p w14:paraId="56791E8C" w14:textId="77777777" w:rsidR="00062BAD" w:rsidRPr="00062BAD" w:rsidRDefault="00062BAD" w:rsidP="00062BAD"/>
    <w:p w14:paraId="7A0DC19C" w14:textId="046611DE" w:rsidR="001F4BF1" w:rsidRPr="001F4BF1" w:rsidRDefault="00037FE7" w:rsidP="001F4BF1">
      <w:pPr>
        <w:pStyle w:val="Heading4"/>
      </w:pPr>
      <w:bookmarkStart w:id="10" w:name="_g51v795o49xg" w:colFirst="0" w:colLast="0"/>
      <w:bookmarkStart w:id="11" w:name="_wvks4oypx1pt" w:colFirst="0" w:colLast="0"/>
      <w:bookmarkEnd w:id="10"/>
      <w:bookmarkEnd w:id="11"/>
      <w:r>
        <w:rPr>
          <w:noProof/>
        </w:rPr>
        <w:lastRenderedPageBreak/>
        <w:drawing>
          <wp:inline distT="0" distB="0" distL="0" distR="0" wp14:anchorId="4BD5802E" wp14:editId="2D5AFE7B">
            <wp:extent cx="3310359" cy="2482769"/>
            <wp:effectExtent l="0" t="0" r="4445" b="0"/>
            <wp:docPr id="845198444" name="Picture 5" descr="A diagram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98444" name="Picture 5" descr="A diagram of different colored shap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7494" cy="2503121"/>
                    </a:xfrm>
                    <a:prstGeom prst="rect">
                      <a:avLst/>
                    </a:prstGeom>
                  </pic:spPr>
                </pic:pic>
              </a:graphicData>
            </a:graphic>
          </wp:inline>
        </w:drawing>
      </w:r>
      <w:r w:rsidR="00062BAD">
        <w:br/>
      </w:r>
      <w:r w:rsidRPr="00037FE7">
        <w:rPr>
          <w:b/>
          <w:bCs/>
        </w:rPr>
        <w:t>Figure S</w:t>
      </w:r>
      <w:r w:rsidR="009525B9">
        <w:rPr>
          <w:b/>
          <w:bCs/>
        </w:rPr>
        <w:t>9</w:t>
      </w:r>
      <w:r w:rsidRPr="00037FE7">
        <w:rPr>
          <w:b/>
          <w:bCs/>
        </w:rPr>
        <w:t>.</w:t>
      </w:r>
      <w:r w:rsidRPr="003D7C1B">
        <w:t xml:space="preserve"> Dependence between SM and VPD </w:t>
      </w:r>
      <w:r>
        <w:t xml:space="preserve">as indicated by the </w:t>
      </w:r>
      <w:r w:rsidRPr="003D7C1B">
        <w:t>Pearson coefficient correlation</w:t>
      </w:r>
      <w:r>
        <w:t xml:space="preserve"> – r(SM,VPD),</w:t>
      </w:r>
      <w:r w:rsidRPr="003D7C1B">
        <w:t xml:space="preserve"> during reference, present and future periods as estimated from output from five RCM models. The correlations between periods were significantly different.</w:t>
      </w:r>
      <w:r w:rsidR="00062BAD" w:rsidRPr="00062BAD">
        <w:t xml:space="preserve"> </w:t>
      </w:r>
      <w:r w:rsidR="00062BAD" w:rsidRPr="003D7C1B">
        <w:t xml:space="preserve">The </w:t>
      </w:r>
      <w:r w:rsidR="00062BAD">
        <w:t>correlation values</w:t>
      </w:r>
      <w:r w:rsidR="00062BAD" w:rsidRPr="003D7C1B">
        <w:t xml:space="preserve"> calculated based five RCM simulations- </w:t>
      </w:r>
      <w:r w:rsidR="00062BAD" w:rsidRPr="003D7C1B">
        <w:rPr>
          <w:rFonts w:eastAsia="Times New Roman" w:cs="Times New Roman"/>
        </w:rPr>
        <w:t>ALADIN63, HadREM3-GA7-05, RACMO22E, CCLM4-8-17, and HIRHAM5 using the boundary conditions from the MPI-M-MPI-ESM-LR global climate model</w:t>
      </w:r>
      <w:r w:rsidR="00062BAD" w:rsidRPr="003D7C1B">
        <w:t xml:space="preserve"> and then averaged.</w:t>
      </w:r>
    </w:p>
    <w:p w14:paraId="59DDA072" w14:textId="236FA0F5" w:rsidR="00AB1E79" w:rsidRPr="00AB1E79" w:rsidRDefault="00984C71" w:rsidP="00AB1E79">
      <w:pPr>
        <w:pStyle w:val="Heading4"/>
      </w:pPr>
      <w:r>
        <w:rPr>
          <w:b/>
          <w:bCs/>
          <w:noProof/>
        </w:rPr>
        <w:drawing>
          <wp:inline distT="0" distB="0" distL="0" distR="0" wp14:anchorId="05117B10" wp14:editId="40CBC395">
            <wp:extent cx="5530126" cy="2488557"/>
            <wp:effectExtent l="0" t="0" r="0" b="1270"/>
            <wp:docPr id="1156313920"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13920" name="Picture 9" descr="A graph of different colored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59209" cy="2501644"/>
                    </a:xfrm>
                    <a:prstGeom prst="rect">
                      <a:avLst/>
                    </a:prstGeom>
                  </pic:spPr>
                </pic:pic>
              </a:graphicData>
            </a:graphic>
          </wp:inline>
        </w:drawing>
      </w:r>
      <w:r w:rsidR="00AB1E79">
        <w:rPr>
          <w:b/>
          <w:bCs/>
        </w:rPr>
        <w:br/>
      </w:r>
      <w:r w:rsidR="00AB1E79" w:rsidRPr="002D347F">
        <w:rPr>
          <w:b/>
          <w:bCs/>
        </w:rPr>
        <w:t xml:space="preserve">Figure </w:t>
      </w:r>
      <w:r w:rsidR="00AB1E79">
        <w:rPr>
          <w:b/>
          <w:bCs/>
        </w:rPr>
        <w:t>S</w:t>
      </w:r>
      <w:r w:rsidR="009525B9">
        <w:rPr>
          <w:b/>
          <w:bCs/>
        </w:rPr>
        <w:t>10</w:t>
      </w:r>
      <w:r w:rsidR="00AB1E79">
        <w:rPr>
          <w:b/>
          <w:bCs/>
        </w:rPr>
        <w:t>.</w:t>
      </w:r>
      <w:r w:rsidR="00AB1E79" w:rsidRPr="00BF70A9">
        <w:t xml:space="preserve"> Relationship of coefficient correlation between daily SM and VPD (x-axis: r(SM,VPD) with probability multiplication factor of compound extreme dryness across </w:t>
      </w:r>
      <w:r w:rsidR="00AB1E79">
        <w:t>Mediterranean Europe (MED), Central Europe (CEU) and Northern Europe (NEU)</w:t>
      </w:r>
      <w:r w:rsidR="00AB1E79" w:rsidRPr="00BF70A9">
        <w:t xml:space="preserve"> during reference period (1950-1990)</w:t>
      </w:r>
      <w:r>
        <w:t xml:space="preserve">, </w:t>
      </w:r>
      <w:r w:rsidR="00AB1E79" w:rsidRPr="00BF70A9">
        <w:t>present period (1991-2021)</w:t>
      </w:r>
      <w:r>
        <w:t>, mid 21</w:t>
      </w:r>
      <w:r w:rsidRPr="00984C71">
        <w:rPr>
          <w:vertAlign w:val="superscript"/>
        </w:rPr>
        <w:t>st</w:t>
      </w:r>
      <w:r>
        <w:t xml:space="preserve"> century (2030-2065) and late 21</w:t>
      </w:r>
      <w:r w:rsidRPr="00984C71">
        <w:rPr>
          <w:vertAlign w:val="superscript"/>
        </w:rPr>
        <w:t>st</w:t>
      </w:r>
      <w:r>
        <w:t xml:space="preserve"> century (2066-2100)</w:t>
      </w:r>
      <w:r w:rsidR="00AB1E79" w:rsidRPr="00BF70A9">
        <w:t>. The curve fitting is done with a locally moving weighted regression (loess</w:t>
      </w:r>
      <w:r w:rsidR="00AB1E79">
        <w:t xml:space="preserve"> with span = 0.</w:t>
      </w:r>
      <w:r>
        <w:t>8</w:t>
      </w:r>
      <w:r w:rsidR="00AB1E79" w:rsidRPr="00BF70A9">
        <w:t>).</w:t>
      </w:r>
      <w:r w:rsidR="00AB1E79">
        <w:t xml:space="preserve"> Each point and error bar represents mean and standard error for a bin of r(SM,VPD) = 0.01.</w:t>
      </w:r>
    </w:p>
    <w:p w14:paraId="56DD0FB3" w14:textId="6DE99E79" w:rsidR="00F21F42" w:rsidRPr="00984C71" w:rsidRDefault="00984C71" w:rsidP="00984C71">
      <w:pPr>
        <w:pStyle w:val="Heading4"/>
      </w:pPr>
      <w:bookmarkStart w:id="12" w:name="_93v7v3641gb" w:colFirst="0" w:colLast="0"/>
      <w:bookmarkEnd w:id="12"/>
      <w:r w:rsidRPr="00984C71">
        <w:rPr>
          <w:noProof/>
        </w:rPr>
        <w:lastRenderedPageBreak/>
        <w:drawing>
          <wp:inline distT="0" distB="0" distL="0" distR="0" wp14:anchorId="76983D5B" wp14:editId="4CF4ADDC">
            <wp:extent cx="5943600" cy="5283200"/>
            <wp:effectExtent l="0" t="0" r="0" b="0"/>
            <wp:docPr id="83151156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11560" name="Picture 10" descr="A graph of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283200"/>
                    </a:xfrm>
                    <a:prstGeom prst="rect">
                      <a:avLst/>
                    </a:prstGeom>
                  </pic:spPr>
                </pic:pic>
              </a:graphicData>
            </a:graphic>
          </wp:inline>
        </w:drawing>
      </w:r>
      <w:bookmarkStart w:id="13" w:name="_u9z29ub1dtk" w:colFirst="0" w:colLast="0"/>
      <w:bookmarkEnd w:id="13"/>
      <w:r>
        <w:br/>
      </w:r>
      <w:r w:rsidRPr="00984C71">
        <w:rPr>
          <w:b/>
          <w:bCs/>
        </w:rPr>
        <w:t>Figure S1</w:t>
      </w:r>
      <w:r w:rsidR="009525B9">
        <w:rPr>
          <w:b/>
          <w:bCs/>
        </w:rPr>
        <w:t>1</w:t>
      </w:r>
      <w:r w:rsidRPr="00984C71">
        <w:rPr>
          <w:b/>
          <w:bCs/>
        </w:rPr>
        <w:t>.</w:t>
      </w:r>
      <w:r w:rsidRPr="00984C71">
        <w:t xml:space="preserve"> (a) Probability of compound dry extremes based on SM and VPD thresholds during the reference period. (b) Change in probability (in terms of number of times) during the present (1991-2021), mid-21st century (2030-2065) and late-21st century (2066-2100) compared to the reference period. (c) Change in probability during the present period compared to the reference period across different 2021 land cover types in Europe based on the RCM ensemble mean.</w:t>
      </w:r>
    </w:p>
    <w:p w14:paraId="049964E9" w14:textId="77777777" w:rsidR="000241BC" w:rsidRDefault="000241BC" w:rsidP="000241BC">
      <w:bookmarkStart w:id="14" w:name="_3mh2xmayi7fo" w:colFirst="0" w:colLast="0"/>
      <w:bookmarkEnd w:id="14"/>
    </w:p>
    <w:p w14:paraId="04B659B2" w14:textId="77777777" w:rsidR="000241BC" w:rsidRDefault="000241BC" w:rsidP="000241BC"/>
    <w:p w14:paraId="0A58B990" w14:textId="77777777" w:rsidR="000241BC" w:rsidRPr="000241BC" w:rsidRDefault="000241BC" w:rsidP="000241BC"/>
    <w:p w14:paraId="3C05E710" w14:textId="77777777" w:rsidR="00D03DF4" w:rsidRDefault="00D03DF4" w:rsidP="00D03DF4"/>
    <w:p w14:paraId="04AAC336" w14:textId="14A57065" w:rsidR="00D03DF4" w:rsidRPr="000241BC" w:rsidRDefault="00D03DF4" w:rsidP="000241BC">
      <w:pPr>
        <w:pStyle w:val="Heading1"/>
      </w:pPr>
      <w:r w:rsidRPr="000241BC">
        <w:lastRenderedPageBreak/>
        <w:t>Reference</w:t>
      </w:r>
    </w:p>
    <w:p w14:paraId="317D17B8" w14:textId="77777777" w:rsidR="00D03DF4" w:rsidRPr="00D03DF4" w:rsidRDefault="00D03DF4" w:rsidP="00D03DF4">
      <w:pPr>
        <w:pStyle w:val="Bibliography"/>
        <w:rPr>
          <w:lang w:val="en-GB"/>
        </w:rPr>
      </w:pPr>
      <w:r>
        <w:fldChar w:fldCharType="begin"/>
      </w:r>
      <w:r>
        <w:instrText xml:space="preserve"> ADDIN ZOTERO_BIBL {"uncited":[],"omitted":[],"custom":[]} CSL_BIBLIOGRAPHY </w:instrText>
      </w:r>
      <w:r>
        <w:fldChar w:fldCharType="separate"/>
      </w:r>
      <w:r w:rsidRPr="00D03DF4">
        <w:rPr>
          <w:lang w:val="en-GB"/>
        </w:rPr>
        <w:t>1.</w:t>
      </w:r>
      <w:r w:rsidRPr="00D03DF4">
        <w:rPr>
          <w:lang w:val="en-GB"/>
        </w:rPr>
        <w:tab/>
        <w:t xml:space="preserve">Markonis, Y. </w:t>
      </w:r>
      <w:r w:rsidRPr="00D03DF4">
        <w:rPr>
          <w:i/>
          <w:iCs/>
          <w:lang w:val="en-GB"/>
        </w:rPr>
        <w:t>et al.</w:t>
      </w:r>
      <w:r w:rsidRPr="00D03DF4">
        <w:rPr>
          <w:lang w:val="en-GB"/>
        </w:rPr>
        <w:t xml:space="preserve"> The rise of compound warm-season droughts in Europe. </w:t>
      </w:r>
      <w:r w:rsidRPr="00D03DF4">
        <w:rPr>
          <w:i/>
          <w:iCs/>
          <w:lang w:val="en-GB"/>
        </w:rPr>
        <w:t>Science Advances</w:t>
      </w:r>
      <w:r w:rsidRPr="00D03DF4">
        <w:rPr>
          <w:lang w:val="en-GB"/>
        </w:rPr>
        <w:t xml:space="preserve"> </w:t>
      </w:r>
      <w:r w:rsidRPr="00D03DF4">
        <w:rPr>
          <w:b/>
          <w:bCs/>
          <w:lang w:val="en-GB"/>
        </w:rPr>
        <w:t>7</w:t>
      </w:r>
      <w:r w:rsidRPr="00D03DF4">
        <w:rPr>
          <w:lang w:val="en-GB"/>
        </w:rPr>
        <w:t>, (2021).</w:t>
      </w:r>
    </w:p>
    <w:p w14:paraId="2703ADD6" w14:textId="77777777" w:rsidR="00D03DF4" w:rsidRPr="00D03DF4" w:rsidRDefault="00D03DF4" w:rsidP="00D03DF4">
      <w:pPr>
        <w:pStyle w:val="Bibliography"/>
        <w:rPr>
          <w:lang w:val="en-GB"/>
        </w:rPr>
      </w:pPr>
      <w:r w:rsidRPr="00D03DF4">
        <w:rPr>
          <w:lang w:val="en-GB"/>
        </w:rPr>
        <w:t>2.</w:t>
      </w:r>
      <w:r w:rsidRPr="00D03DF4">
        <w:rPr>
          <w:lang w:val="en-GB"/>
        </w:rPr>
        <w:tab/>
        <w:t xml:space="preserve">Friedl, M. &amp; Sulla-Menashe, D. MCD12C1 MODIS/Terra+ Aqua Land Cover Type Yearly L3 Global 0.05 Deg CMG V006 [Data set]. </w:t>
      </w:r>
      <w:r w:rsidRPr="00D03DF4">
        <w:rPr>
          <w:i/>
          <w:iCs/>
          <w:lang w:val="en-GB"/>
        </w:rPr>
        <w:t>NASA EOSDIS Land Processes DAAC</w:t>
      </w:r>
      <w:r w:rsidRPr="00D03DF4">
        <w:rPr>
          <w:lang w:val="en-GB"/>
        </w:rPr>
        <w:t xml:space="preserve"> (2015) doi:https://doi.org/10.5067/MODIS/MCD12C1.006.</w:t>
      </w:r>
    </w:p>
    <w:p w14:paraId="0157BC7A" w14:textId="0BE4D400" w:rsidR="00D03DF4" w:rsidRPr="00D03DF4" w:rsidRDefault="00D03DF4" w:rsidP="00D03DF4">
      <w:r>
        <w:fldChar w:fldCharType="end"/>
      </w:r>
    </w:p>
    <w:sectPr w:rsidR="00D03DF4" w:rsidRPr="00D03D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pectral">
    <w:altName w:val="Calibri"/>
    <w:panose1 w:val="020B0604020202020204"/>
    <w:charset w:val="00"/>
    <w:family w:val="auto"/>
    <w:pitch w:val="default"/>
  </w:font>
  <w:font w:name="Spectral Medium">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F42"/>
    <w:rsid w:val="000241BC"/>
    <w:rsid w:val="00037FE7"/>
    <w:rsid w:val="00062BAD"/>
    <w:rsid w:val="0006529D"/>
    <w:rsid w:val="00144875"/>
    <w:rsid w:val="00171E89"/>
    <w:rsid w:val="0019155D"/>
    <w:rsid w:val="001D19A4"/>
    <w:rsid w:val="001F4BF1"/>
    <w:rsid w:val="00236EA2"/>
    <w:rsid w:val="002C0BB5"/>
    <w:rsid w:val="00361C1D"/>
    <w:rsid w:val="003B3C87"/>
    <w:rsid w:val="003D7C1B"/>
    <w:rsid w:val="004E75CA"/>
    <w:rsid w:val="00571F3C"/>
    <w:rsid w:val="005C505C"/>
    <w:rsid w:val="006632AF"/>
    <w:rsid w:val="007B1D80"/>
    <w:rsid w:val="00873BB3"/>
    <w:rsid w:val="00880A3A"/>
    <w:rsid w:val="008B0F73"/>
    <w:rsid w:val="0093316F"/>
    <w:rsid w:val="009525B9"/>
    <w:rsid w:val="00984C71"/>
    <w:rsid w:val="00A75487"/>
    <w:rsid w:val="00AB1E79"/>
    <w:rsid w:val="00AC00E7"/>
    <w:rsid w:val="00AD0279"/>
    <w:rsid w:val="00AE1134"/>
    <w:rsid w:val="00B910FB"/>
    <w:rsid w:val="00CB3834"/>
    <w:rsid w:val="00D03DF4"/>
    <w:rsid w:val="00E13484"/>
    <w:rsid w:val="00E80C79"/>
    <w:rsid w:val="00F21F42"/>
    <w:rsid w:val="00F34B54"/>
    <w:rsid w:val="00F54F15"/>
    <w:rsid w:val="00FA4450"/>
    <w:rsid w:val="00FA4CE1"/>
  </w:rsids>
  <m:mathPr>
    <m:mathFont m:val="Cambria Math"/>
    <m:brkBin m:val="before"/>
    <m:brkBinSub m:val="--"/>
    <m:smallFrac m:val="0"/>
    <m:dispDef/>
    <m:lMargin m:val="0"/>
    <m:rMargin m:val="0"/>
    <m:defJc m:val="centerGroup"/>
    <m:wrapIndent m:val="1440"/>
    <m:intLim m:val="subSup"/>
    <m:naryLim m:val="undOvr"/>
  </m:mathPr>
  <w:themeFontLang w:val="en-CH" w:bidi="hi-IN"/>
  <w:clrSchemeMapping w:bg1="light1" w:t1="dark1" w:bg2="light2" w:t2="dark2" w:accent1="accent1" w:accent2="accent2" w:accent3="accent3" w:accent4="accent4" w:accent5="accent5" w:accent6="accent6" w:hyperlink="hyperlink" w:followedHyperlink="followedHyperlink"/>
  <w:decimalSymbol w:val="."/>
  <w:listSeparator w:val=","/>
  <w14:docId w14:val="7D111D65"/>
  <w15:docId w15:val="{B9BE1B14-88C5-E042-8B91-4FA2561D5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pectral" w:eastAsia="Spectral" w:hAnsi="Spectral" w:cs="Spectral"/>
        <w:sz w:val="24"/>
        <w:szCs w:val="24"/>
        <w:lang w:val="en" w:eastAsia="en-GB"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241BC"/>
    <w:pPr>
      <w:keepNext/>
      <w:keepLines/>
      <w:spacing w:before="400" w:after="120"/>
      <w:outlineLvl w:val="0"/>
    </w:pPr>
    <w:rPr>
      <w:rFonts w:ascii="Spectral Medium" w:eastAsia="Spectral Medium" w:hAnsi="Spectral Medium" w:cs="Spectral Medium"/>
      <w:b/>
      <w:bCs/>
      <w:sz w:val="28"/>
      <w:szCs w:val="28"/>
    </w:rPr>
  </w:style>
  <w:style w:type="paragraph" w:styleId="Heading2">
    <w:name w:val="heading 2"/>
    <w:basedOn w:val="Normal"/>
    <w:next w:val="Normal"/>
    <w:uiPriority w:val="9"/>
    <w:unhideWhenUsed/>
    <w:qFormat/>
    <w:pPr>
      <w:keepNext/>
      <w:keepLines/>
      <w:spacing w:before="360" w:after="120"/>
      <w:outlineLvl w:val="1"/>
    </w:pPr>
    <w:rPr>
      <w:i/>
      <w:sz w:val="26"/>
      <w:szCs w:val="26"/>
    </w:rPr>
  </w:style>
  <w:style w:type="paragraph" w:styleId="Heading3">
    <w:name w:val="heading 3"/>
    <w:basedOn w:val="Normal"/>
    <w:next w:val="Normal"/>
    <w:uiPriority w:val="9"/>
    <w:unhideWhenUsed/>
    <w:qFormat/>
    <w:rsid w:val="0006529D"/>
    <w:pPr>
      <w:keepNext/>
      <w:keepLines/>
      <w:spacing w:before="320" w:after="80"/>
      <w:outlineLvl w:val="2"/>
    </w:pPr>
    <w:rPr>
      <w:rFonts w:ascii="Helvetica" w:hAnsi="Helvetica"/>
      <w:color w:val="434343"/>
      <w:szCs w:val="26"/>
    </w:rPr>
  </w:style>
  <w:style w:type="paragraph" w:styleId="Heading4">
    <w:name w:val="heading 4"/>
    <w:basedOn w:val="Normal"/>
    <w:next w:val="Normal"/>
    <w:uiPriority w:val="9"/>
    <w:unhideWhenUsed/>
    <w:qFormat/>
    <w:rsid w:val="00E80C79"/>
    <w:pPr>
      <w:keepNext/>
      <w:keepLines/>
      <w:spacing w:after="80"/>
      <w:outlineLvl w:val="3"/>
    </w:pPr>
    <w:rPr>
      <w:rFonts w:ascii="Helvetica" w:hAnsi="Helvetica"/>
      <w:color w:val="000000" w:themeColor="text1"/>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CommentReference">
    <w:name w:val="annotation reference"/>
    <w:basedOn w:val="DefaultParagraphFont"/>
    <w:uiPriority w:val="99"/>
    <w:semiHidden/>
    <w:unhideWhenUsed/>
    <w:rsid w:val="002C0BB5"/>
    <w:rPr>
      <w:sz w:val="16"/>
      <w:szCs w:val="16"/>
    </w:rPr>
  </w:style>
  <w:style w:type="paragraph" w:styleId="Bibliography">
    <w:name w:val="Bibliography"/>
    <w:basedOn w:val="Normal"/>
    <w:next w:val="Normal"/>
    <w:uiPriority w:val="37"/>
    <w:unhideWhenUsed/>
    <w:rsid w:val="00D03DF4"/>
    <w:pPr>
      <w:tabs>
        <w:tab w:val="left" w:pos="260"/>
      </w:tabs>
      <w:spacing w:line="480" w:lineRule="auto"/>
      <w:ind w:left="264" w:hanging="264"/>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9</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Shekhar  Ankit</cp:lastModifiedBy>
  <cp:revision>30</cp:revision>
  <dcterms:created xsi:type="dcterms:W3CDTF">2023-05-27T20:47:00Z</dcterms:created>
  <dcterms:modified xsi:type="dcterms:W3CDTF">2023-08-16T12:49:00Z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id="NR1parxb"/&gt;&lt;style id="http://www.zotero.org/styles/nature-communications" hasBibliography="1" bibliographyStyleHasBeenSet="1"/&gt;&lt;prefs&gt;&lt;pref name="fieldType" value="Field"/&gt;&lt;/prefs&gt;&lt;/data&gt;</vt:lpwstr>
  </property>
</Properties>
</file>