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7C6C09" w14:textId="77777777" w:rsidR="00F17984" w:rsidRDefault="00F17984" w:rsidP="004F4CC6">
      <w:pPr>
        <w:spacing w:line="480" w:lineRule="auto"/>
        <w:rPr>
          <w:rFonts w:ascii="Times New Roman" w:hAnsi="Times New Roman" w:cs="Times New Roman"/>
          <w:b/>
          <w:bCs/>
          <w:sz w:val="24"/>
          <w:szCs w:val="24"/>
        </w:rPr>
      </w:pPr>
      <w:r>
        <w:rPr>
          <w:rFonts w:ascii="Times New Roman" w:hAnsi="Times New Roman" w:cs="Times New Roman"/>
          <w:b/>
          <w:bCs/>
          <w:sz w:val="24"/>
          <w:szCs w:val="24"/>
        </w:rPr>
        <w:t>Online Supplement</w:t>
      </w:r>
    </w:p>
    <w:p w14:paraId="0BEBE8BA" w14:textId="77777777" w:rsidR="00F17984" w:rsidRPr="00826A88" w:rsidRDefault="00F17984" w:rsidP="00F17984">
      <w:pPr>
        <w:pStyle w:val="aa"/>
        <w:spacing w:line="480" w:lineRule="auto"/>
        <w:jc w:val="both"/>
        <w:rPr>
          <w:rStyle w:val="ab"/>
          <w:rFonts w:ascii="Times New Roman" w:hAnsi="Times New Roman" w:cs="Times New Roman"/>
          <w:b w:val="0"/>
          <w:bCs w:val="0"/>
        </w:rPr>
      </w:pPr>
      <w:r w:rsidRPr="00826A88">
        <w:rPr>
          <w:rFonts w:ascii="Times New Roman" w:eastAsiaTheme="minorEastAsia" w:hAnsi="Times New Roman" w:cs="Times New Roman"/>
          <w:b/>
          <w:bCs/>
          <w:kern w:val="2"/>
        </w:rPr>
        <w:t>Pharmacokinetic and Pharmacodynamic Analys</w:t>
      </w:r>
      <w:r>
        <w:rPr>
          <w:rFonts w:ascii="Times New Roman" w:eastAsiaTheme="minorEastAsia" w:hAnsi="Times New Roman" w:cs="Times New Roman"/>
          <w:b/>
          <w:bCs/>
          <w:kern w:val="2"/>
        </w:rPr>
        <w:t>e</w:t>
      </w:r>
      <w:r w:rsidRPr="00826A88">
        <w:rPr>
          <w:rFonts w:ascii="Times New Roman" w:eastAsiaTheme="minorEastAsia" w:hAnsi="Times New Roman" w:cs="Times New Roman"/>
          <w:b/>
          <w:bCs/>
          <w:kern w:val="2"/>
        </w:rPr>
        <w:t>s of Nafamostat in ECMO Patients: A Comparative Study of Central Vein and ECMO Machine Samples</w:t>
      </w:r>
    </w:p>
    <w:p w14:paraId="744BF08C" w14:textId="77777777" w:rsidR="00F17984" w:rsidRDefault="00F17984" w:rsidP="00F17984">
      <w:pPr>
        <w:pStyle w:val="aa"/>
        <w:spacing w:line="480" w:lineRule="auto"/>
        <w:jc w:val="both"/>
        <w:rPr>
          <w:rStyle w:val="ab"/>
          <w:rFonts w:ascii="Times New Roman" w:hAnsi="Times New Roman" w:cs="Times New Roman"/>
          <w:b w:val="0"/>
          <w:bCs w:val="0"/>
        </w:rPr>
      </w:pPr>
    </w:p>
    <w:p w14:paraId="205827EB" w14:textId="77777777" w:rsidR="00F17984" w:rsidRPr="00A274D6" w:rsidRDefault="00F17984" w:rsidP="00F17984">
      <w:pPr>
        <w:pStyle w:val="aa"/>
        <w:spacing w:line="480" w:lineRule="auto"/>
        <w:rPr>
          <w:rFonts w:ascii="Times New Roman" w:hAnsi="Times New Roman" w:cs="Times New Roman"/>
        </w:rPr>
      </w:pPr>
      <w:r w:rsidRPr="00A274D6">
        <w:rPr>
          <w:rFonts w:ascii="Times New Roman" w:hAnsi="Times New Roman" w:cs="Times New Roman"/>
        </w:rPr>
        <w:t>Dong-Hwan Lee</w:t>
      </w:r>
      <w:r w:rsidRPr="00A274D6">
        <w:rPr>
          <w:rFonts w:ascii="Times New Roman" w:hAnsi="Times New Roman" w:cs="Times New Roman"/>
          <w:vertAlign w:val="superscript"/>
        </w:rPr>
        <w:t>1</w:t>
      </w:r>
      <w:r w:rsidRPr="00781310">
        <w:rPr>
          <w:rFonts w:ascii="Times New Roman" w:eastAsia="바탕" w:hAnsi="Times New Roman" w:cs="Times New Roman"/>
          <w:vertAlign w:val="superscript"/>
        </w:rPr>
        <w:t>†</w:t>
      </w:r>
      <w:r w:rsidRPr="00A274D6">
        <w:rPr>
          <w:rFonts w:ascii="Times New Roman" w:hAnsi="Times New Roman" w:cs="Times New Roman"/>
        </w:rPr>
        <w:t>, Jae Ha Lee</w:t>
      </w:r>
      <w:r w:rsidRPr="00A274D6">
        <w:rPr>
          <w:rFonts w:ascii="Times New Roman" w:hAnsi="Times New Roman" w:cs="Times New Roman"/>
          <w:vertAlign w:val="superscript"/>
        </w:rPr>
        <w:t>2</w:t>
      </w:r>
      <w:r w:rsidRPr="00781310">
        <w:rPr>
          <w:rFonts w:ascii="Times New Roman" w:eastAsia="바탕" w:hAnsi="Times New Roman" w:cs="Times New Roman"/>
          <w:vertAlign w:val="superscript"/>
        </w:rPr>
        <w:t>†</w:t>
      </w:r>
      <w:r w:rsidRPr="00A274D6">
        <w:rPr>
          <w:rFonts w:ascii="Times New Roman" w:hAnsi="Times New Roman" w:cs="Times New Roman"/>
        </w:rPr>
        <w:t>,</w:t>
      </w:r>
      <w:r>
        <w:rPr>
          <w:rFonts w:ascii="Times New Roman" w:hAnsi="Times New Roman" w:cs="Times New Roman"/>
        </w:rPr>
        <w:t xml:space="preserve"> </w:t>
      </w:r>
      <w:r w:rsidRPr="00A274D6">
        <w:rPr>
          <w:rFonts w:ascii="Times New Roman" w:hAnsi="Times New Roman" w:cs="Times New Roman"/>
        </w:rPr>
        <w:t>Ji Hoon Jang</w:t>
      </w:r>
      <w:r w:rsidRPr="00A274D6">
        <w:rPr>
          <w:rFonts w:ascii="Times New Roman" w:hAnsi="Times New Roman" w:cs="Times New Roman"/>
          <w:vertAlign w:val="superscript"/>
        </w:rPr>
        <w:t>2</w:t>
      </w:r>
      <w:r>
        <w:rPr>
          <w:rFonts w:ascii="Times New Roman" w:hAnsi="Times New Roman" w:cs="Times New Roman"/>
        </w:rPr>
        <w:t xml:space="preserve">, </w:t>
      </w:r>
      <w:r w:rsidRPr="00A274D6">
        <w:rPr>
          <w:rFonts w:ascii="Times New Roman" w:hAnsi="Times New Roman" w:cs="Times New Roman" w:hint="eastAsia"/>
        </w:rPr>
        <w:t>Y</w:t>
      </w:r>
      <w:r w:rsidRPr="00A274D6">
        <w:rPr>
          <w:rFonts w:ascii="Times New Roman" w:hAnsi="Times New Roman" w:cs="Times New Roman"/>
        </w:rPr>
        <w:t>ong Kyun Kim</w:t>
      </w:r>
      <w:r w:rsidRPr="00A274D6">
        <w:rPr>
          <w:rFonts w:ascii="Times New Roman" w:hAnsi="Times New Roman" w:cs="Times New Roman"/>
          <w:vertAlign w:val="superscript"/>
        </w:rPr>
        <w:t>3</w:t>
      </w:r>
      <w:r w:rsidRPr="00A274D6">
        <w:rPr>
          <w:rFonts w:ascii="Times New Roman" w:hAnsi="Times New Roman" w:cs="Times New Roman"/>
        </w:rPr>
        <w:t>, Gaeun Kang</w:t>
      </w:r>
      <w:r w:rsidRPr="00A274D6">
        <w:rPr>
          <w:rFonts w:ascii="Times New Roman" w:hAnsi="Times New Roman" w:cs="Times New Roman"/>
          <w:vertAlign w:val="superscript"/>
        </w:rPr>
        <w:t>4</w:t>
      </w:r>
      <w:r w:rsidRPr="00A274D6">
        <w:rPr>
          <w:rFonts w:ascii="Times New Roman" w:hAnsi="Times New Roman" w:cs="Times New Roman"/>
        </w:rPr>
        <w:t>, So Young Jung</w:t>
      </w:r>
      <w:r w:rsidRPr="00A274D6">
        <w:rPr>
          <w:rFonts w:ascii="Times New Roman" w:hAnsi="Times New Roman" w:cs="Times New Roman"/>
          <w:vertAlign w:val="superscript"/>
        </w:rPr>
        <w:t>5</w:t>
      </w:r>
      <w:r>
        <w:rPr>
          <w:rFonts w:ascii="Times New Roman" w:hAnsi="Times New Roman" w:cs="Times New Roman"/>
        </w:rPr>
        <w:t xml:space="preserve">, </w:t>
      </w:r>
      <w:r w:rsidRPr="0070283A">
        <w:rPr>
          <w:rFonts w:ascii="Times New Roman" w:hAnsi="Times New Roman" w:cs="Times New Roman"/>
        </w:rPr>
        <w:t>Dae-Wook Kim</w:t>
      </w:r>
      <w:r w:rsidRPr="0070283A">
        <w:rPr>
          <w:rFonts w:ascii="Times New Roman" w:hAnsi="Times New Roman" w:cs="Times New Roman"/>
          <w:vertAlign w:val="superscript"/>
        </w:rPr>
        <w:t>6</w:t>
      </w:r>
      <w:r w:rsidRPr="0070283A">
        <w:rPr>
          <w:rFonts w:ascii="Times New Roman" w:hAnsi="Times New Roman" w:cs="Times New Roman"/>
        </w:rPr>
        <w:t xml:space="preserve"> </w:t>
      </w:r>
      <w:r w:rsidRPr="00A274D6">
        <w:rPr>
          <w:rFonts w:ascii="Times New Roman" w:hAnsi="Times New Roman" w:cs="Times New Roman"/>
        </w:rPr>
        <w:t>and Hang-Jea Jang</w:t>
      </w:r>
      <w:r w:rsidRPr="00A274D6">
        <w:rPr>
          <w:rFonts w:ascii="Times New Roman" w:hAnsi="Times New Roman" w:cs="Times New Roman"/>
          <w:vertAlign w:val="superscript"/>
        </w:rPr>
        <w:t>2</w:t>
      </w:r>
      <w:r w:rsidRPr="009974FE">
        <w:rPr>
          <w:rFonts w:ascii="Times New Roman" w:hAnsi="Times New Roman" w:cs="Times New Roman"/>
        </w:rPr>
        <w:t>*</w:t>
      </w:r>
    </w:p>
    <w:p w14:paraId="71001BFD" w14:textId="77777777" w:rsidR="00F17984" w:rsidRPr="007D3A6A" w:rsidRDefault="00F17984" w:rsidP="00F17984">
      <w:pPr>
        <w:pStyle w:val="aa"/>
        <w:spacing w:line="480" w:lineRule="auto"/>
        <w:rPr>
          <w:rFonts w:ascii="Times New Roman" w:hAnsi="Times New Roman" w:cs="Times New Roman"/>
          <w:vertAlign w:val="superscript"/>
        </w:rPr>
      </w:pPr>
    </w:p>
    <w:p w14:paraId="2C3EACE7" w14:textId="77777777" w:rsidR="00F17984" w:rsidRPr="00382ABF" w:rsidRDefault="00F17984" w:rsidP="00F17984">
      <w:pPr>
        <w:pStyle w:val="aa"/>
        <w:spacing w:line="480" w:lineRule="auto"/>
        <w:rPr>
          <w:rFonts w:ascii="Times New Roman" w:hAnsi="Times New Roman" w:cs="Times New Roman"/>
        </w:rPr>
      </w:pPr>
      <w:r>
        <w:rPr>
          <w:rFonts w:ascii="Times New Roman" w:hAnsi="Times New Roman" w:cs="Times New Roman"/>
          <w:vertAlign w:val="superscript"/>
        </w:rPr>
        <w:t xml:space="preserve">1 </w:t>
      </w:r>
      <w:r w:rsidRPr="0044778D">
        <w:rPr>
          <w:rFonts w:ascii="Times New Roman" w:hAnsi="Times New Roman" w:cs="Times New Roman"/>
        </w:rPr>
        <w:t>Department of Clinical Pharmacology, Hallym University Sacred Heart Hospital, Anyang, Republic of Korea</w:t>
      </w:r>
    </w:p>
    <w:p w14:paraId="7B7BD449" w14:textId="77777777" w:rsidR="00F17984" w:rsidRPr="0044778D" w:rsidRDefault="00F17984" w:rsidP="00F17984">
      <w:pPr>
        <w:pStyle w:val="aa"/>
        <w:spacing w:line="480" w:lineRule="auto"/>
        <w:rPr>
          <w:rFonts w:ascii="Times New Roman" w:hAnsi="Times New Roman" w:cs="Times New Roman"/>
        </w:rPr>
      </w:pPr>
      <w:r>
        <w:rPr>
          <w:rFonts w:ascii="Times New Roman" w:hAnsi="Times New Roman" w:cs="Times New Roman"/>
          <w:vertAlign w:val="superscript"/>
        </w:rPr>
        <w:t xml:space="preserve">2 </w:t>
      </w:r>
      <w:r w:rsidRPr="0044778D">
        <w:rPr>
          <w:rFonts w:ascii="Times New Roman" w:hAnsi="Times New Roman" w:cs="Times New Roman"/>
        </w:rPr>
        <w:t>Department of Internal Medicine, Inje University Haeundae Paik Hospital, Busan, Republic of Korea</w:t>
      </w:r>
    </w:p>
    <w:p w14:paraId="588BE177" w14:textId="77777777" w:rsidR="00F17984" w:rsidRPr="00D41497" w:rsidRDefault="00F17984" w:rsidP="00F17984">
      <w:pPr>
        <w:pStyle w:val="aa"/>
        <w:spacing w:line="480" w:lineRule="auto"/>
        <w:rPr>
          <w:rFonts w:ascii="Times New Roman" w:hAnsi="Times New Roman" w:cs="Times New Roman"/>
        </w:rPr>
      </w:pPr>
      <w:r>
        <w:rPr>
          <w:rFonts w:ascii="Times New Roman" w:hAnsi="Times New Roman" w:cs="Times New Roman"/>
          <w:vertAlign w:val="superscript"/>
        </w:rPr>
        <w:t>3</w:t>
      </w:r>
      <w:r w:rsidRPr="0044778D">
        <w:rPr>
          <w:rFonts w:ascii="Times New Roman" w:hAnsi="Times New Roman" w:cs="Times New Roman"/>
          <w:vertAlign w:val="superscript"/>
        </w:rPr>
        <w:t xml:space="preserve"> </w:t>
      </w:r>
      <w:r w:rsidRPr="0044778D">
        <w:rPr>
          <w:rFonts w:ascii="Times New Roman" w:hAnsi="Times New Roman" w:cs="Times New Roman"/>
        </w:rPr>
        <w:t>D</w:t>
      </w:r>
      <w:r>
        <w:rPr>
          <w:rFonts w:ascii="Times New Roman" w:hAnsi="Times New Roman" w:cs="Times New Roman"/>
        </w:rPr>
        <w:t>ivision</w:t>
      </w:r>
      <w:r w:rsidRPr="0044778D">
        <w:rPr>
          <w:rFonts w:ascii="Times New Roman" w:hAnsi="Times New Roman" w:cs="Times New Roman"/>
        </w:rPr>
        <w:t xml:space="preserve"> of </w:t>
      </w:r>
      <w:r>
        <w:rPr>
          <w:rFonts w:ascii="Times New Roman" w:hAnsi="Times New Roman" w:cs="Times New Roman"/>
        </w:rPr>
        <w:t>Infectious Diseases</w:t>
      </w:r>
      <w:r w:rsidRPr="0044778D">
        <w:rPr>
          <w:rFonts w:ascii="Times New Roman" w:hAnsi="Times New Roman" w:cs="Times New Roman"/>
        </w:rPr>
        <w:t xml:space="preserve">, </w:t>
      </w:r>
      <w:r>
        <w:rPr>
          <w:rFonts w:ascii="Times New Roman" w:hAnsi="Times New Roman" w:cs="Times New Roman"/>
        </w:rPr>
        <w:t xml:space="preserve">Department of Internal Medicine, </w:t>
      </w:r>
      <w:r w:rsidRPr="0044778D">
        <w:rPr>
          <w:rFonts w:ascii="Times New Roman" w:hAnsi="Times New Roman" w:cs="Times New Roman"/>
        </w:rPr>
        <w:t>Hallym University Sacred Heart Hospital, Anyang, Republic of Korea</w:t>
      </w:r>
    </w:p>
    <w:p w14:paraId="09557045" w14:textId="77777777" w:rsidR="00F17984" w:rsidRPr="0044778D" w:rsidRDefault="00F17984" w:rsidP="00F17984">
      <w:pPr>
        <w:pStyle w:val="aa"/>
        <w:spacing w:line="480" w:lineRule="auto"/>
        <w:rPr>
          <w:rFonts w:ascii="Times New Roman" w:hAnsi="Times New Roman" w:cs="Times New Roman"/>
        </w:rPr>
      </w:pPr>
      <w:r>
        <w:rPr>
          <w:rFonts w:ascii="Times New Roman" w:hAnsi="Times New Roman" w:cs="Times New Roman"/>
          <w:vertAlign w:val="superscript"/>
        </w:rPr>
        <w:t>4</w:t>
      </w:r>
      <w:r w:rsidRPr="0044778D">
        <w:rPr>
          <w:rFonts w:ascii="Times New Roman" w:hAnsi="Times New Roman" w:cs="Times New Roman"/>
        </w:rPr>
        <w:t xml:space="preserve"> Division of Clinical Pharmacology, Chonnam National University Hospital, Gwangju, Republic of Korea</w:t>
      </w:r>
    </w:p>
    <w:p w14:paraId="2DC0B8F8" w14:textId="77777777" w:rsidR="00F17984" w:rsidRPr="0044778D" w:rsidRDefault="00F17984" w:rsidP="00F17984">
      <w:pPr>
        <w:pStyle w:val="aa"/>
        <w:spacing w:line="480" w:lineRule="auto"/>
        <w:rPr>
          <w:rFonts w:ascii="Times New Roman" w:hAnsi="Times New Roman" w:cs="Times New Roman"/>
        </w:rPr>
      </w:pPr>
      <w:r>
        <w:rPr>
          <w:rFonts w:ascii="Times New Roman" w:hAnsi="Times New Roman" w:cs="Times New Roman"/>
          <w:vertAlign w:val="superscript"/>
        </w:rPr>
        <w:t>5</w:t>
      </w:r>
      <w:r w:rsidRPr="0044778D">
        <w:rPr>
          <w:rFonts w:ascii="Times New Roman" w:hAnsi="Times New Roman" w:cs="Times New Roman"/>
          <w:vertAlign w:val="superscript"/>
        </w:rPr>
        <w:t xml:space="preserve"> </w:t>
      </w:r>
      <w:r w:rsidRPr="0044778D">
        <w:rPr>
          <w:rFonts w:ascii="Times New Roman" w:hAnsi="Times New Roman" w:cs="Times New Roman"/>
        </w:rPr>
        <w:t>D</w:t>
      </w:r>
      <w:r>
        <w:rPr>
          <w:rFonts w:ascii="Times New Roman" w:hAnsi="Times New Roman" w:cs="Times New Roman"/>
        </w:rPr>
        <w:t>ivision</w:t>
      </w:r>
      <w:r w:rsidRPr="0044778D">
        <w:rPr>
          <w:rFonts w:ascii="Times New Roman" w:hAnsi="Times New Roman" w:cs="Times New Roman"/>
        </w:rPr>
        <w:t xml:space="preserve"> of </w:t>
      </w:r>
      <w:r>
        <w:rPr>
          <w:rFonts w:ascii="Times New Roman" w:hAnsi="Times New Roman" w:cs="Times New Roman"/>
        </w:rPr>
        <w:t>Dermatology</w:t>
      </w:r>
      <w:r w:rsidRPr="0044778D">
        <w:rPr>
          <w:rFonts w:ascii="Times New Roman" w:hAnsi="Times New Roman" w:cs="Times New Roman"/>
        </w:rPr>
        <w:t>, Inje University Haeundae Paik Hospital, Busan, Republic of Korea</w:t>
      </w:r>
    </w:p>
    <w:p w14:paraId="5584DAE2" w14:textId="77777777" w:rsidR="00F17984" w:rsidRPr="00F17984" w:rsidRDefault="00F17984" w:rsidP="00F17984">
      <w:pPr>
        <w:pStyle w:val="aa"/>
        <w:spacing w:line="480" w:lineRule="auto"/>
        <w:jc w:val="both"/>
        <w:rPr>
          <w:rStyle w:val="ab"/>
          <w:rFonts w:ascii="Times New Roman" w:hAnsi="Times New Roman" w:cs="Times New Roman"/>
          <w:b w:val="0"/>
          <w:bCs w:val="0"/>
        </w:rPr>
      </w:pPr>
      <w:r w:rsidRPr="00F17984">
        <w:rPr>
          <w:rFonts w:ascii="Times New Roman" w:hAnsi="Times New Roman" w:cs="Times New Roman"/>
          <w:b/>
          <w:bCs/>
          <w:vertAlign w:val="superscript"/>
        </w:rPr>
        <w:t xml:space="preserve">6 </w:t>
      </w:r>
      <w:r w:rsidRPr="00F17984">
        <w:rPr>
          <w:rStyle w:val="ab"/>
          <w:rFonts w:ascii="Times New Roman" w:hAnsi="Times New Roman" w:cs="Times New Roman"/>
          <w:b w:val="0"/>
          <w:bCs w:val="0"/>
        </w:rPr>
        <w:t xml:space="preserve">Department of Orthopedic Surgery, Haeundae Paik Hospital, Inje University College of Medicine, </w:t>
      </w:r>
      <w:r w:rsidRPr="00F17984">
        <w:rPr>
          <w:rFonts w:ascii="Times New Roman" w:hAnsi="Times New Roman" w:cs="Times New Roman"/>
        </w:rPr>
        <w:t>Busan,</w:t>
      </w:r>
      <w:r w:rsidRPr="00F17984">
        <w:rPr>
          <w:rStyle w:val="ab"/>
          <w:rFonts w:ascii="Times New Roman" w:hAnsi="Times New Roman" w:cs="Times New Roman"/>
          <w:b w:val="0"/>
          <w:bCs w:val="0"/>
        </w:rPr>
        <w:t xml:space="preserve"> Republic of Korea</w:t>
      </w:r>
    </w:p>
    <w:p w14:paraId="63E57028" w14:textId="5FFAFC4E" w:rsidR="009B0CCE" w:rsidRDefault="00F17984" w:rsidP="004F4CC6">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w:t>
      </w:r>
      <w:r w:rsidR="009B0CCE" w:rsidRPr="009B0CCE">
        <w:rPr>
          <w:rFonts w:ascii="Times New Roman" w:hAnsi="Times New Roman" w:cs="Times New Roman"/>
          <w:b/>
          <w:bCs/>
          <w:sz w:val="24"/>
          <w:szCs w:val="24"/>
        </w:rPr>
        <w:t>Methods</w:t>
      </w:r>
    </w:p>
    <w:p w14:paraId="39C3A9FB" w14:textId="77777777" w:rsidR="009B0CCE" w:rsidRPr="00924D73" w:rsidRDefault="009B0CCE" w:rsidP="004F4CC6">
      <w:pPr>
        <w:pStyle w:val="a3"/>
        <w:spacing w:before="240" w:line="480" w:lineRule="auto"/>
        <w:rPr>
          <w:rFonts w:ascii="Times New Roman" w:hAnsi="Times New Roman" w:cs="Times New Roman"/>
          <w:b/>
          <w:bCs/>
          <w:color w:val="auto"/>
          <w:sz w:val="24"/>
          <w:szCs w:val="24"/>
        </w:rPr>
      </w:pPr>
      <w:r w:rsidRPr="00924D73">
        <w:rPr>
          <w:rFonts w:ascii="Times New Roman" w:hAnsi="Times New Roman" w:cs="Times New Roman" w:hint="eastAsia"/>
          <w:b/>
          <w:bCs/>
          <w:color w:val="auto"/>
          <w:sz w:val="24"/>
          <w:szCs w:val="24"/>
        </w:rPr>
        <w:t>N</w:t>
      </w:r>
      <w:r w:rsidRPr="00924D73">
        <w:rPr>
          <w:rFonts w:ascii="Times New Roman" w:hAnsi="Times New Roman" w:cs="Times New Roman"/>
          <w:b/>
          <w:bCs/>
          <w:color w:val="auto"/>
          <w:sz w:val="24"/>
          <w:szCs w:val="24"/>
        </w:rPr>
        <w:t>afamostat assay</w:t>
      </w:r>
    </w:p>
    <w:p w14:paraId="67DDCE55" w14:textId="594BDC8C" w:rsidR="009B0CCE" w:rsidRPr="009B0CCE" w:rsidRDefault="009B0CCE" w:rsidP="004F4CC6">
      <w:pPr>
        <w:spacing w:line="480" w:lineRule="auto"/>
        <w:rPr>
          <w:rFonts w:ascii="Times New Roman" w:hAnsi="Times New Roman" w:cs="Times New Roman"/>
          <w:sz w:val="24"/>
          <w:szCs w:val="24"/>
        </w:rPr>
      </w:pPr>
      <w:r w:rsidRPr="009B0CCE">
        <w:rPr>
          <w:rFonts w:ascii="Times New Roman" w:eastAsia="굴림" w:hAnsi="Times New Roman" w:cs="Times New Roman"/>
          <w:sz w:val="24"/>
          <w:szCs w:val="24"/>
        </w:rPr>
        <w:t xml:space="preserve">The mobile phase consisted of A (0.1% formic acid in water) and B (0.1% formic acid in acetonitrile). The gradient run was used at a flow rate of 0.3 mL/min with initial 10% B, which increased to 40% B until 0.1 min and held constant </w:t>
      </w:r>
      <w:r w:rsidR="00C3533C">
        <w:rPr>
          <w:rFonts w:ascii="Times New Roman" w:eastAsia="굴림" w:hAnsi="Times New Roman" w:cs="Times New Roman"/>
          <w:sz w:val="24"/>
          <w:szCs w:val="24"/>
        </w:rPr>
        <w:t>until</w:t>
      </w:r>
      <w:r w:rsidR="00C3533C" w:rsidRPr="009B0CCE">
        <w:rPr>
          <w:rFonts w:ascii="Times New Roman" w:eastAsia="굴림" w:hAnsi="Times New Roman" w:cs="Times New Roman"/>
          <w:sz w:val="24"/>
          <w:szCs w:val="24"/>
        </w:rPr>
        <w:t xml:space="preserve"> </w:t>
      </w:r>
      <w:r w:rsidRPr="009B0CCE">
        <w:rPr>
          <w:rFonts w:ascii="Times New Roman" w:eastAsia="굴림" w:hAnsi="Times New Roman" w:cs="Times New Roman"/>
          <w:sz w:val="24"/>
          <w:szCs w:val="24"/>
        </w:rPr>
        <w:t>1.1</w:t>
      </w:r>
      <w:r w:rsidR="00C3533C">
        <w:rPr>
          <w:rFonts w:ascii="Times New Roman" w:eastAsia="굴림" w:hAnsi="Times New Roman" w:cs="Times New Roman"/>
          <w:sz w:val="24"/>
          <w:szCs w:val="24"/>
        </w:rPr>
        <w:t xml:space="preserve"> </w:t>
      </w:r>
      <w:r w:rsidRPr="009B0CCE">
        <w:rPr>
          <w:rFonts w:ascii="Times New Roman" w:eastAsia="굴림" w:hAnsi="Times New Roman" w:cs="Times New Roman"/>
          <w:sz w:val="24"/>
          <w:szCs w:val="24"/>
        </w:rPr>
        <w:t xml:space="preserve">min. </w:t>
      </w:r>
      <w:r w:rsidR="00237973">
        <w:rPr>
          <w:rFonts w:ascii="Times New Roman" w:eastAsia="굴림" w:hAnsi="Times New Roman" w:cs="Times New Roman"/>
          <w:sz w:val="24"/>
          <w:szCs w:val="24"/>
        </w:rPr>
        <w:t>B was</w:t>
      </w:r>
      <w:r w:rsidRPr="009B0CCE">
        <w:rPr>
          <w:rFonts w:ascii="Times New Roman" w:eastAsia="굴림" w:hAnsi="Times New Roman" w:cs="Times New Roman"/>
          <w:sz w:val="24"/>
          <w:szCs w:val="24"/>
        </w:rPr>
        <w:t xml:space="preserve"> then decreased back to 10% until 1.2</w:t>
      </w:r>
      <w:r w:rsidR="00C3533C">
        <w:rPr>
          <w:rFonts w:ascii="Times New Roman" w:eastAsia="굴림" w:hAnsi="Times New Roman" w:cs="Times New Roman"/>
          <w:sz w:val="24"/>
          <w:szCs w:val="24"/>
        </w:rPr>
        <w:t xml:space="preserve"> </w:t>
      </w:r>
      <w:r w:rsidRPr="009B0CCE">
        <w:rPr>
          <w:rFonts w:ascii="Times New Roman" w:eastAsia="굴림" w:hAnsi="Times New Roman" w:cs="Times New Roman"/>
          <w:sz w:val="24"/>
          <w:szCs w:val="24"/>
        </w:rPr>
        <w:t>min. The run time was 5</w:t>
      </w:r>
      <w:r w:rsidR="00C3533C">
        <w:rPr>
          <w:rFonts w:ascii="Times New Roman" w:eastAsia="굴림" w:hAnsi="Times New Roman" w:cs="Times New Roman"/>
          <w:sz w:val="24"/>
          <w:szCs w:val="24"/>
        </w:rPr>
        <w:t xml:space="preserve"> </w:t>
      </w:r>
      <w:r w:rsidRPr="009B0CCE">
        <w:rPr>
          <w:rFonts w:ascii="Times New Roman" w:eastAsia="굴림" w:hAnsi="Times New Roman" w:cs="Times New Roman"/>
          <w:sz w:val="24"/>
          <w:szCs w:val="24"/>
        </w:rPr>
        <w:t xml:space="preserve">min. SCIEX </w:t>
      </w:r>
      <w:r w:rsidRPr="009B0CCE">
        <w:rPr>
          <w:rFonts w:ascii="Times New Roman" w:eastAsia="맑은 고딕" w:hAnsi="Times New Roman" w:cs="Times New Roman"/>
          <w:sz w:val="24"/>
          <w:szCs w:val="24"/>
        </w:rPr>
        <w:t xml:space="preserve">Analyst software (version 1.6.3) was used </w:t>
      </w:r>
      <w:r w:rsidRPr="009B0CCE">
        <w:rPr>
          <w:rFonts w:ascii="Times New Roman" w:eastAsia="굴림" w:hAnsi="Times New Roman" w:cs="Times New Roman"/>
          <w:sz w:val="24"/>
          <w:szCs w:val="24"/>
        </w:rPr>
        <w:t>for data integration.</w:t>
      </w:r>
      <w:r w:rsidRPr="009B0CCE">
        <w:rPr>
          <w:rFonts w:ascii="Times New Roman" w:eastAsia="맑은 고딕" w:hAnsi="Times New Roman" w:cs="Times New Roman"/>
          <w:sz w:val="24"/>
          <w:szCs w:val="24"/>
        </w:rPr>
        <w:t xml:space="preserve"> MS detection was performed using a quadrupole mass spectrometer (API4000 QTRAP system; SCIEX, Framingham, MA, USA).</w:t>
      </w:r>
      <w:r w:rsidRPr="009B0CCE">
        <w:rPr>
          <w:rFonts w:ascii="Times New Roman" w:eastAsia="굴림" w:hAnsi="Times New Roman" w:cs="Times New Roman"/>
          <w:sz w:val="24"/>
          <w:szCs w:val="24"/>
        </w:rPr>
        <w:t xml:space="preserve"> The analytes were detected </w:t>
      </w:r>
      <w:r w:rsidR="00851D3E">
        <w:rPr>
          <w:rFonts w:ascii="Times New Roman" w:eastAsia="굴림" w:hAnsi="Times New Roman" w:cs="Times New Roman"/>
          <w:sz w:val="24"/>
          <w:szCs w:val="24"/>
        </w:rPr>
        <w:t>in</w:t>
      </w:r>
      <w:r w:rsidRPr="009B0CCE">
        <w:rPr>
          <w:rFonts w:ascii="Times New Roman" w:eastAsia="굴림" w:hAnsi="Times New Roman" w:cs="Times New Roman"/>
          <w:sz w:val="24"/>
          <w:szCs w:val="24"/>
        </w:rPr>
        <w:t xml:space="preserve"> positive ion mode in electrospray ionization (ESI) and </w:t>
      </w:r>
      <w:r w:rsidR="00851D3E">
        <w:rPr>
          <w:rFonts w:ascii="Times New Roman" w:eastAsia="굴림" w:hAnsi="Times New Roman" w:cs="Times New Roman"/>
          <w:sz w:val="24"/>
          <w:szCs w:val="24"/>
        </w:rPr>
        <w:t xml:space="preserve">by </w:t>
      </w:r>
      <w:r w:rsidRPr="009B0CCE">
        <w:rPr>
          <w:rFonts w:ascii="Times New Roman" w:eastAsia="굴림" w:hAnsi="Times New Roman" w:cs="Times New Roman"/>
          <w:sz w:val="24"/>
          <w:szCs w:val="24"/>
        </w:rPr>
        <w:t>Multiple Reaction Monitoring (MRM) scan mode. The MRM was carried out at m/z 174.7/166.3 for NM</w:t>
      </w:r>
      <w:r w:rsidR="00C3533C">
        <w:rPr>
          <w:rFonts w:ascii="Times New Roman" w:eastAsia="굴림" w:hAnsi="Times New Roman" w:cs="Times New Roman"/>
          <w:sz w:val="24"/>
          <w:szCs w:val="24"/>
        </w:rPr>
        <w:t xml:space="preserve"> and</w:t>
      </w:r>
      <w:r w:rsidRPr="009B0CCE">
        <w:rPr>
          <w:rFonts w:ascii="Times New Roman" w:eastAsia="굴림" w:hAnsi="Times New Roman" w:cs="Times New Roman"/>
          <w:sz w:val="24"/>
          <w:szCs w:val="24"/>
        </w:rPr>
        <w:t xml:space="preserve"> 172.2/137.2 for gabaphentin (IS).</w:t>
      </w:r>
      <w:r w:rsidRPr="009B0CCE">
        <w:rPr>
          <w:rFonts w:ascii="Times New Roman" w:eastAsia="굴림" w:hAnsi="Times New Roman" w:cs="Times New Roman" w:hint="eastAsia"/>
          <w:sz w:val="24"/>
          <w:szCs w:val="24"/>
        </w:rPr>
        <w:t xml:space="preserve"> </w:t>
      </w:r>
      <w:r w:rsidRPr="009B0CCE">
        <w:rPr>
          <w:rFonts w:ascii="Times New Roman" w:eastAsia="맑은 고딕" w:hAnsi="Times New Roman" w:cs="Times New Roman"/>
          <w:sz w:val="24"/>
          <w:szCs w:val="24"/>
        </w:rPr>
        <w:t xml:space="preserve">To prepare all </w:t>
      </w:r>
      <w:r w:rsidR="00396A63">
        <w:rPr>
          <w:rFonts w:ascii="Times New Roman" w:eastAsia="맑은 고딕" w:hAnsi="Times New Roman" w:cs="Times New Roman"/>
          <w:sz w:val="24"/>
          <w:szCs w:val="24"/>
        </w:rPr>
        <w:t xml:space="preserve">the </w:t>
      </w:r>
      <w:r w:rsidRPr="009B0CCE">
        <w:rPr>
          <w:rFonts w:ascii="Times New Roman" w:eastAsia="맑은 고딕" w:hAnsi="Times New Roman" w:cs="Times New Roman"/>
          <w:sz w:val="24"/>
          <w:szCs w:val="24"/>
        </w:rPr>
        <w:t>samples, each plasma sample</w:t>
      </w:r>
      <w:r w:rsidR="00851D3E">
        <w:rPr>
          <w:rFonts w:ascii="Times New Roman" w:eastAsia="맑은 고딕" w:hAnsi="Times New Roman" w:cs="Times New Roman"/>
          <w:sz w:val="24"/>
          <w:szCs w:val="24"/>
        </w:rPr>
        <w:t xml:space="preserve"> of</w:t>
      </w:r>
      <w:r w:rsidRPr="009B0CCE">
        <w:rPr>
          <w:rFonts w:ascii="Times New Roman" w:eastAsia="맑은 고딕" w:hAnsi="Times New Roman" w:cs="Times New Roman"/>
          <w:sz w:val="24"/>
          <w:szCs w:val="24"/>
        </w:rPr>
        <w:t xml:space="preserve"> 100 μl was mixed with 10 μl </w:t>
      </w:r>
      <w:r w:rsidR="00396A63">
        <w:rPr>
          <w:rFonts w:ascii="Times New Roman" w:eastAsia="맑은 고딕" w:hAnsi="Times New Roman" w:cs="Times New Roman"/>
          <w:sz w:val="24"/>
          <w:szCs w:val="24"/>
        </w:rPr>
        <w:t xml:space="preserve">of </w:t>
      </w:r>
      <w:r w:rsidRPr="009B0CCE">
        <w:rPr>
          <w:rFonts w:ascii="Times New Roman" w:eastAsia="맑은 고딕" w:hAnsi="Times New Roman" w:cs="Times New Roman"/>
          <w:sz w:val="24"/>
          <w:szCs w:val="24"/>
        </w:rPr>
        <w:t>an internal standard solution (Gabapentin 100 ng/ml in 50% Methanol)</w:t>
      </w:r>
      <w:r w:rsidR="00C3533C">
        <w:rPr>
          <w:rFonts w:ascii="Times New Roman" w:eastAsia="맑은 고딕" w:hAnsi="Times New Roman" w:cs="Times New Roman"/>
          <w:sz w:val="24"/>
          <w:szCs w:val="24"/>
        </w:rPr>
        <w:t>,</w:t>
      </w:r>
      <w:r w:rsidRPr="009B0CCE">
        <w:rPr>
          <w:rFonts w:ascii="Times New Roman" w:eastAsia="맑은 고딕" w:hAnsi="Times New Roman" w:cs="Times New Roman"/>
          <w:sz w:val="24"/>
          <w:szCs w:val="24"/>
        </w:rPr>
        <w:t xml:space="preserve"> and 400 μl of methanol </w:t>
      </w:r>
      <w:r w:rsidR="00C3533C">
        <w:rPr>
          <w:rFonts w:ascii="Times New Roman" w:eastAsia="맑은 고딕" w:hAnsi="Times New Roman" w:cs="Times New Roman"/>
          <w:sz w:val="24"/>
          <w:szCs w:val="24"/>
        </w:rPr>
        <w:t>was</w:t>
      </w:r>
      <w:r w:rsidR="00C3533C" w:rsidRPr="009B0CCE">
        <w:rPr>
          <w:rFonts w:ascii="Times New Roman" w:eastAsia="맑은 고딕" w:hAnsi="Times New Roman" w:cs="Times New Roman"/>
          <w:sz w:val="24"/>
          <w:szCs w:val="24"/>
        </w:rPr>
        <w:t xml:space="preserve"> </w:t>
      </w:r>
      <w:r w:rsidRPr="009B0CCE">
        <w:rPr>
          <w:rFonts w:ascii="Times New Roman" w:eastAsia="맑은 고딕" w:hAnsi="Times New Roman" w:cs="Times New Roman"/>
          <w:sz w:val="24"/>
          <w:szCs w:val="24"/>
        </w:rPr>
        <w:t xml:space="preserve">added for protein precipitation and vortexed for 1 min. After centrifugation at 12,000 rpm at 4°C for 2 min, the supernatant was transferred to the vial of an autoinjector and diluted 2 times with 20 mM ammonium acetate. </w:t>
      </w:r>
      <w:r w:rsidR="00C3533C">
        <w:rPr>
          <w:rFonts w:ascii="Times New Roman" w:eastAsia="맑은 고딕" w:hAnsi="Times New Roman" w:cs="Times New Roman"/>
          <w:sz w:val="24"/>
          <w:szCs w:val="24"/>
        </w:rPr>
        <w:t>Then,</w:t>
      </w:r>
      <w:r w:rsidR="00C3533C" w:rsidRPr="009B0CCE">
        <w:rPr>
          <w:rFonts w:ascii="Times New Roman" w:eastAsia="맑은 고딕" w:hAnsi="Times New Roman" w:cs="Times New Roman"/>
          <w:sz w:val="24"/>
          <w:szCs w:val="24"/>
        </w:rPr>
        <w:t xml:space="preserve"> </w:t>
      </w:r>
      <w:r w:rsidRPr="009B0CCE">
        <w:rPr>
          <w:rFonts w:ascii="Times New Roman" w:eastAsia="맑은 고딕" w:hAnsi="Times New Roman" w:cs="Times New Roman"/>
          <w:sz w:val="24"/>
          <w:szCs w:val="24"/>
        </w:rPr>
        <w:t xml:space="preserve">5 μl </w:t>
      </w:r>
      <w:r w:rsidR="00C3533C">
        <w:rPr>
          <w:rFonts w:ascii="Times New Roman" w:eastAsia="맑은 고딕" w:hAnsi="Times New Roman" w:cs="Times New Roman"/>
          <w:sz w:val="24"/>
          <w:szCs w:val="24"/>
        </w:rPr>
        <w:t xml:space="preserve">of the diluted supernatant </w:t>
      </w:r>
      <w:r w:rsidRPr="009B0CCE">
        <w:rPr>
          <w:rFonts w:ascii="Times New Roman" w:eastAsia="맑은 고딕" w:hAnsi="Times New Roman" w:cs="Times New Roman"/>
          <w:sz w:val="24"/>
          <w:szCs w:val="24"/>
        </w:rPr>
        <w:t>was injected into the LC-MS/MS system. From the obtained chromatogram, the ratio of the peak area of ​​NM to that of ​​the internal standard was calculated, and the concentration of NM in plasma was calculated</w:t>
      </w:r>
      <w:r>
        <w:rPr>
          <w:rFonts w:ascii="Times New Roman" w:eastAsia="맑은 고딕" w:hAnsi="Times New Roman" w:cs="Times New Roman"/>
          <w:sz w:val="24"/>
          <w:szCs w:val="24"/>
        </w:rPr>
        <w:t>.</w:t>
      </w:r>
    </w:p>
    <w:p w14:paraId="4F21376F" w14:textId="77777777" w:rsidR="009B0CCE" w:rsidRPr="009B0CCE" w:rsidRDefault="009B0CCE" w:rsidP="004F4CC6">
      <w:pPr>
        <w:spacing w:line="480" w:lineRule="auto"/>
        <w:rPr>
          <w:rFonts w:ascii="Times New Roman" w:hAnsi="Times New Roman" w:cs="Times New Roman"/>
          <w:b/>
          <w:bCs/>
          <w:sz w:val="24"/>
          <w:szCs w:val="24"/>
        </w:rPr>
      </w:pPr>
    </w:p>
    <w:p w14:paraId="1F55D626" w14:textId="77777777" w:rsidR="009B0CCE" w:rsidRPr="009B0CCE" w:rsidRDefault="009B0CCE" w:rsidP="004F4CC6">
      <w:pPr>
        <w:spacing w:line="480" w:lineRule="auto"/>
        <w:rPr>
          <w:rFonts w:ascii="Times New Roman" w:hAnsi="Times New Roman" w:cs="Times New Roman"/>
          <w:b/>
          <w:bCs/>
          <w:sz w:val="24"/>
          <w:szCs w:val="24"/>
        </w:rPr>
      </w:pPr>
      <w:r w:rsidRPr="009B0CCE">
        <w:rPr>
          <w:rFonts w:ascii="Times New Roman" w:hAnsi="Times New Roman" w:cs="Times New Roman"/>
          <w:b/>
          <w:bCs/>
          <w:sz w:val="24"/>
          <w:szCs w:val="24"/>
        </w:rPr>
        <w:t>PK/PD modeling and simulation</w:t>
      </w:r>
    </w:p>
    <w:p w14:paraId="01D13A18" w14:textId="360E9687" w:rsidR="009B0CCE" w:rsidRPr="009B0CCE" w:rsidRDefault="00911360" w:rsidP="004F4CC6">
      <w:pPr>
        <w:spacing w:line="480" w:lineRule="auto"/>
        <w:ind w:firstLineChars="100" w:firstLine="240"/>
        <w:rPr>
          <w:rFonts w:ascii="Times New Roman" w:hAnsi="Times New Roman" w:cs="Times New Roman"/>
          <w:sz w:val="24"/>
          <w:szCs w:val="24"/>
        </w:rPr>
      </w:pPr>
      <w:r w:rsidRPr="007B3D91">
        <w:rPr>
          <w:rFonts w:ascii="Times New Roman" w:hAnsi="Times New Roman" w:cs="Times New Roman"/>
          <w:sz w:val="24"/>
          <w:szCs w:val="24"/>
        </w:rPr>
        <w:t>For PK modelling, ADVAN1 TRANS2 and ADVAN3 TRANS4 from the NONMEM library were used to develop one- and two-compartment models</w:t>
      </w:r>
      <w:r w:rsidR="00C3533C">
        <w:rPr>
          <w:rFonts w:ascii="Times New Roman" w:hAnsi="Times New Roman" w:cs="Times New Roman"/>
          <w:sz w:val="24"/>
          <w:szCs w:val="24"/>
        </w:rPr>
        <w:t>,</w:t>
      </w:r>
      <w:r w:rsidRPr="007B3D91">
        <w:rPr>
          <w:rFonts w:ascii="Times New Roman" w:hAnsi="Times New Roman" w:cs="Times New Roman"/>
          <w:sz w:val="24"/>
          <w:szCs w:val="24"/>
        </w:rPr>
        <w:t xml:space="preserve"> respectively. </w:t>
      </w:r>
      <w:r w:rsidR="009B0CCE" w:rsidRPr="009B0CCE">
        <w:rPr>
          <w:rFonts w:ascii="Times New Roman" w:hAnsi="Times New Roman" w:cs="Times New Roman"/>
          <w:sz w:val="24"/>
          <w:szCs w:val="24"/>
        </w:rPr>
        <w:t xml:space="preserve">To describe the exposure-response relationship of NM over time, two kinds of models were tested: one in which NM has a direct effect on aPTT and the other in which NM affects the turnover process </w:t>
      </w:r>
      <w:r w:rsidR="009B0CCE" w:rsidRPr="009B0CCE">
        <w:rPr>
          <w:rFonts w:ascii="Times New Roman" w:hAnsi="Times New Roman" w:cs="Times New Roman"/>
          <w:sz w:val="24"/>
          <w:szCs w:val="24"/>
        </w:rPr>
        <w:lastRenderedPageBreak/>
        <w:t>of aPTT. To develop the PK/PD models, the individual PK parameters were calculated by maximum a posteriori Bayesian estimation using the final PK model and were then added to the dataset. This ensured that the PK parameters were fixed and only the PD parameters were estimated</w:t>
      </w:r>
      <w:r w:rsidR="00C3533C" w:rsidRPr="00C3533C">
        <w:rPr>
          <w:rFonts w:ascii="Times New Roman" w:hAnsi="Times New Roman" w:cs="Times New Roman"/>
          <w:sz w:val="24"/>
          <w:szCs w:val="24"/>
        </w:rPr>
        <w:t xml:space="preserve"> </w:t>
      </w:r>
      <w:r w:rsidR="00C3533C" w:rsidRPr="009B0CCE">
        <w:rPr>
          <w:rFonts w:ascii="Times New Roman" w:hAnsi="Times New Roman" w:cs="Times New Roman"/>
          <w:sz w:val="24"/>
          <w:szCs w:val="24"/>
        </w:rPr>
        <w:t>during the development of the PK/PD model</w:t>
      </w:r>
      <w:r w:rsidR="009B0CCE" w:rsidRPr="009B0CCE">
        <w:rPr>
          <w:rFonts w:ascii="Times New Roman" w:hAnsi="Times New Roman" w:cs="Times New Roman"/>
          <w:sz w:val="24"/>
          <w:szCs w:val="24"/>
        </w:rPr>
        <w:t>. Among the NONMEM libraries, ADVAN1 TRANS2 or ADVAN3 TRANS4 were used for direct effect modelling</w:t>
      </w:r>
      <w:r w:rsidR="00C3533C">
        <w:rPr>
          <w:rFonts w:ascii="Times New Roman" w:hAnsi="Times New Roman" w:cs="Times New Roman"/>
          <w:sz w:val="24"/>
          <w:szCs w:val="24"/>
        </w:rPr>
        <w:t>,</w:t>
      </w:r>
      <w:r w:rsidR="009B0CCE" w:rsidRPr="009B0CCE">
        <w:rPr>
          <w:rFonts w:ascii="Times New Roman" w:hAnsi="Times New Roman" w:cs="Times New Roman"/>
          <w:sz w:val="24"/>
          <w:szCs w:val="24"/>
        </w:rPr>
        <w:t xml:space="preserve"> and ADVAN6 TRANS1 was used for turnover process modelling. The PK parameter was defined as </w:t>
      </w:r>
      <w:r w:rsidR="009B0CCE" w:rsidRPr="009B0CCE">
        <w:rPr>
          <w:rFonts w:ascii="Times New Roman" w:hAnsi="Times New Roman" w:cs="Times New Roman"/>
          <w:sz w:val="24"/>
          <w:szCs w:val="24"/>
          <w:lang w:bidi="en-US"/>
        </w:rPr>
        <w:t>θ</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xml:space="preserve"> = θ </w:t>
      </w:r>
      <m:oMath>
        <m:r>
          <m:rPr>
            <m:sty m:val="p"/>
          </m:rPr>
          <w:rPr>
            <w:rFonts w:ascii="Cambria Math" w:hAnsi="Cambria Math" w:cs="Times New Roman"/>
            <w:sz w:val="24"/>
            <w:szCs w:val="24"/>
            <w:lang w:bidi="en-US"/>
          </w:rPr>
          <m:t>×</m:t>
        </m:r>
      </m:oMath>
      <w:r w:rsidR="009B0CCE" w:rsidRPr="009B0CCE">
        <w:rPr>
          <w:rFonts w:ascii="Times New Roman" w:hAnsi="Times New Roman" w:cs="Times New Roman"/>
          <w:sz w:val="24"/>
          <w:szCs w:val="24"/>
          <w:lang w:bidi="en-US"/>
        </w:rPr>
        <w:t xml:space="preserve"> exp (η</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and the PD parameter was defined as θ</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xml:space="preserve"> = θ </w:t>
      </w:r>
      <m:oMath>
        <m:r>
          <m:rPr>
            <m:sty m:val="p"/>
          </m:rPr>
          <w:rPr>
            <w:rFonts w:ascii="Cambria Math" w:hAnsi="Cambria Math" w:cs="Times New Roman"/>
            <w:sz w:val="24"/>
            <w:szCs w:val="24"/>
            <w:lang w:bidi="en-US"/>
          </w:rPr>
          <m:t>×</m:t>
        </m:r>
      </m:oMath>
      <w:r w:rsidR="009B0CCE" w:rsidRPr="009B0CCE">
        <w:rPr>
          <w:rFonts w:ascii="Times New Roman" w:hAnsi="Times New Roman" w:cs="Times New Roman"/>
          <w:sz w:val="24"/>
          <w:szCs w:val="24"/>
          <w:lang w:bidi="en-US"/>
        </w:rPr>
        <w:t xml:space="preserve"> (1 + η</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where θ is the typical value of the PK or PD parameter, θ</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xml:space="preserve"> is an individual parameter, and η</w:t>
      </w:r>
      <w:r w:rsidR="009B0CCE" w:rsidRPr="009B0CCE">
        <w:rPr>
          <w:rFonts w:ascii="Times New Roman" w:hAnsi="Times New Roman" w:cs="Times New Roman"/>
          <w:sz w:val="24"/>
          <w:szCs w:val="24"/>
          <w:vertAlign w:val="subscript"/>
          <w:lang w:bidi="en-US"/>
        </w:rPr>
        <w:t>i</w:t>
      </w:r>
      <w:r w:rsidR="009B0CCE" w:rsidRPr="009B0CCE">
        <w:rPr>
          <w:rFonts w:ascii="Times New Roman" w:hAnsi="Times New Roman" w:cs="Times New Roman"/>
          <w:sz w:val="24"/>
          <w:szCs w:val="24"/>
          <w:lang w:bidi="en-US"/>
        </w:rPr>
        <w:t xml:space="preserve"> is a random variable associated with IIV, which was assumed to have a normal distribution with a mean of 0 and a variance of ω</w:t>
      </w:r>
      <w:r w:rsidR="009B0CCE" w:rsidRPr="009B0CCE">
        <w:rPr>
          <w:rFonts w:ascii="Times New Roman" w:hAnsi="Times New Roman" w:cs="Times New Roman"/>
          <w:sz w:val="24"/>
          <w:szCs w:val="24"/>
          <w:vertAlign w:val="superscript"/>
          <w:lang w:bidi="en-US"/>
        </w:rPr>
        <w:t>2</w:t>
      </w:r>
      <w:r w:rsidR="009B0CCE" w:rsidRPr="009B0CCE">
        <w:rPr>
          <w:rFonts w:ascii="Times New Roman" w:hAnsi="Times New Roman" w:cs="Times New Roman"/>
          <w:sz w:val="24"/>
          <w:szCs w:val="24"/>
          <w:lang w:bidi="en-US"/>
        </w:rPr>
        <w:t>. Additive, proportional, or combined additive and proportional error models were tested for RUV, which was assumed to have a normal distribution with a mean of 0 and a variance of σ</w:t>
      </w:r>
      <w:r w:rsidR="009B0CCE" w:rsidRPr="009B0CCE">
        <w:rPr>
          <w:rFonts w:ascii="Times New Roman" w:hAnsi="Times New Roman" w:cs="Times New Roman"/>
          <w:sz w:val="24"/>
          <w:szCs w:val="24"/>
          <w:vertAlign w:val="superscript"/>
          <w:lang w:bidi="en-US"/>
        </w:rPr>
        <w:t>2</w:t>
      </w:r>
      <w:r w:rsidR="009B0CCE" w:rsidRPr="009B0CCE">
        <w:rPr>
          <w:rFonts w:ascii="Times New Roman" w:hAnsi="Times New Roman" w:cs="Times New Roman"/>
          <w:sz w:val="24"/>
          <w:szCs w:val="24"/>
          <w:lang w:bidi="en-US"/>
        </w:rPr>
        <w:t xml:space="preserve">. The evaluation and selection of the models were based on NONMEM objective function values (OFVs), precision of parameter estimates (relative standard errors), and diagnostic goodness-of-fit plots. In a log-likelihood ratio test, a reduction in OFV (ΔOFV) greater than 3.84 between two nested models with one degree of freedom, or greater than 5.99 with two degrees of freedom, was considered a significant model improvement. Diagnostic plots used for evaluation included conditional weighted residuals (CWRES) versus time, CWRES versus model predicted population concentration (PRED), measured concentration versus PRED, and measured concentration versus model predicted individual concentration (IPRED). </w:t>
      </w:r>
      <w:r w:rsidR="009B0CCE" w:rsidRPr="009B0CCE">
        <w:rPr>
          <w:rFonts w:ascii="Times New Roman" w:hAnsi="Times New Roman" w:cs="Times New Roman"/>
          <w:sz w:val="24"/>
          <w:szCs w:val="24"/>
        </w:rPr>
        <w:t xml:space="preserve">The Perl-speaks-NONMEM software (version 5.3.1, available at https://uupharmacometrics.github.io/PsN/) was used to search for significant covariates and </w:t>
      </w:r>
      <w:r w:rsidR="00C3533C">
        <w:rPr>
          <w:rFonts w:ascii="Times New Roman" w:hAnsi="Times New Roman" w:cs="Times New Roman"/>
          <w:sz w:val="24"/>
          <w:szCs w:val="24"/>
        </w:rPr>
        <w:t xml:space="preserve">to </w:t>
      </w:r>
      <w:r w:rsidR="009B0CCE" w:rsidRPr="009B0CCE">
        <w:rPr>
          <w:rFonts w:ascii="Times New Roman" w:hAnsi="Times New Roman" w:cs="Times New Roman"/>
          <w:sz w:val="24"/>
          <w:szCs w:val="24"/>
        </w:rPr>
        <w:t xml:space="preserve">evaluate the final model using a visual predictive check (VPC) and nonparametric bootstrap method. Stepwise forward selection and backward elimination were used to identify significant covariates for PK/PD parameters, with statistical significance set at p &lt; 0.01 (ΔOFV &lt; -6.63 with 1 degree of freedom) for selection and p &lt; 0.001 (ΔOFV &lt; 10.8 with 1 degree of freedom) </w:t>
      </w:r>
      <w:r w:rsidR="009B0CCE" w:rsidRPr="009B0CCE">
        <w:rPr>
          <w:rFonts w:ascii="Times New Roman" w:hAnsi="Times New Roman" w:cs="Times New Roman"/>
          <w:sz w:val="24"/>
          <w:szCs w:val="24"/>
        </w:rPr>
        <w:lastRenderedPageBreak/>
        <w:t>for elimination. A covariate was considered significant if it met both the clinical relevance and the statistical significance criteria. Demographic, pathophysiological</w:t>
      </w:r>
      <w:r w:rsidR="00C3533C">
        <w:rPr>
          <w:rFonts w:ascii="Times New Roman" w:hAnsi="Times New Roman" w:cs="Times New Roman"/>
          <w:sz w:val="24"/>
          <w:szCs w:val="24"/>
        </w:rPr>
        <w:t>,</w:t>
      </w:r>
      <w:r w:rsidR="009B0CCE" w:rsidRPr="009B0CCE">
        <w:rPr>
          <w:rFonts w:ascii="Times New Roman" w:hAnsi="Times New Roman" w:cs="Times New Roman"/>
          <w:sz w:val="24"/>
          <w:szCs w:val="24"/>
        </w:rPr>
        <w:t xml:space="preserve"> and clinical characteristics of the patients as well as ECMO device characteristics were used in the covariate analysis. The tested demographic factors comprised gender, age, weight, and height. The pathophysiological factors included in the analysis were serum albumin level, serum protein level, serum total bilirubin level, serum creatinine level, serum c-reactive protein level, and blood urea nitrogen level. The clinical factors analyzed included primary diagnosis, presence of shock, presence of hypertension, presence of diabetes, length of stay in the intensive care unit, and duration of mechanical ventilation. The analyzed features of ECMO consisted of the duration of application, ECMO type, gas flow rate, pump speed, blood flow rate, and fraction of inspired oxygen. To evaluate the predictive performance of the model, visual predictive checks (VPC) were conducted by comparing the 10th, 50th, and 90th percentiles of 1,000 virtual datasets generated from the final PK/PD model with the observed concentrations. The median and 95% confidence intervals for the PK/PD parameter estimates from bootstrap samples (n = 2,000) were generated to assess the stability and reliability of the model parameter estimates. </w:t>
      </w:r>
    </w:p>
    <w:p w14:paraId="52AE5BB9" w14:textId="68B186E4" w:rsidR="009B0CCE" w:rsidRPr="009B0CCE" w:rsidRDefault="009B0CCE" w:rsidP="004F4CC6">
      <w:pPr>
        <w:spacing w:line="480" w:lineRule="auto"/>
        <w:ind w:firstLineChars="100" w:firstLine="240"/>
        <w:rPr>
          <w:rFonts w:ascii="Times New Roman" w:hAnsi="Times New Roman" w:cs="Times New Roman"/>
          <w:sz w:val="24"/>
          <w:szCs w:val="24"/>
        </w:rPr>
      </w:pPr>
      <w:r w:rsidRPr="009B0CCE">
        <w:rPr>
          <w:rFonts w:ascii="Times New Roman" w:hAnsi="Times New Roman" w:cs="Times New Roman"/>
          <w:sz w:val="24"/>
          <w:szCs w:val="24"/>
        </w:rPr>
        <w:t>The exposure-response relationship of NM infusion rate was investigated through Monte Carlo simulations using the final patient and ECMO models. NONMEM was utilized for the simulations, employing the final PK/PD parameter estimates, which included typical values, between-subject variability, and within-subject variability. These simulations generated NM concentrations and corresponding aPTT levels at 1-minute intervals for a virtual cohort of 2000 patients. The simulations encompassed infusion rates ranging from 10 mg/h to 50 mg/h, with 10 mg/h increments, and the infusions lasted for a duration of 6 hours.</w:t>
      </w:r>
    </w:p>
    <w:p w14:paraId="255616F2" w14:textId="77777777" w:rsidR="009B0CCE" w:rsidRPr="009B0CCE" w:rsidRDefault="009B0CCE" w:rsidP="004F4CC6">
      <w:pPr>
        <w:spacing w:line="480" w:lineRule="auto"/>
        <w:rPr>
          <w:rFonts w:ascii="Times New Roman" w:hAnsi="Times New Roman" w:cs="Times New Roman"/>
          <w:sz w:val="24"/>
          <w:szCs w:val="24"/>
        </w:rPr>
      </w:pPr>
    </w:p>
    <w:p w14:paraId="0681DCBF" w14:textId="241C0989" w:rsidR="009B0CCE" w:rsidRDefault="0087021E" w:rsidP="004F4CC6">
      <w:pPr>
        <w:spacing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Supplementary Figures</w:t>
      </w:r>
    </w:p>
    <w:p w14:paraId="29283BD6" w14:textId="77777777" w:rsidR="0087021E" w:rsidRDefault="0087021E" w:rsidP="004F4CC6">
      <w:pPr>
        <w:spacing w:line="480" w:lineRule="auto"/>
        <w:rPr>
          <w:rFonts w:ascii="Times New Roman" w:hAnsi="Times New Roman" w:cs="Times New Roman"/>
          <w:sz w:val="24"/>
          <w:szCs w:val="24"/>
        </w:rPr>
      </w:pPr>
      <w:r>
        <w:rPr>
          <w:noProof/>
        </w:rPr>
        <w:drawing>
          <wp:inline distT="0" distB="0" distL="0" distR="0" wp14:anchorId="6B3AC66D" wp14:editId="48DB4393">
            <wp:extent cx="5731510" cy="2697480"/>
            <wp:effectExtent l="0" t="0" r="2540" b="7620"/>
            <wp:docPr id="908953042" name="그림 4" descr="도표, 텍스트,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53042" name="그림 4" descr="도표, 텍스트, 평면도, 기술 도면이(가) 표시된 사진&#10;&#10;자동 생성된 설명"/>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697480"/>
                    </a:xfrm>
                    <a:prstGeom prst="rect">
                      <a:avLst/>
                    </a:prstGeom>
                    <a:noFill/>
                    <a:ln>
                      <a:noFill/>
                    </a:ln>
                  </pic:spPr>
                </pic:pic>
              </a:graphicData>
            </a:graphic>
          </wp:inline>
        </w:drawing>
      </w:r>
    </w:p>
    <w:p w14:paraId="078C43A8" w14:textId="10417C58" w:rsidR="0087021E" w:rsidRPr="009E0249" w:rsidRDefault="00F17984" w:rsidP="004F4CC6">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Pr>
          <w:rFonts w:ascii="Times New Roman" w:hAnsi="Times New Roman" w:cs="Times New Roman"/>
          <w:b/>
          <w:bCs/>
          <w:sz w:val="24"/>
          <w:szCs w:val="24"/>
        </w:rPr>
        <w:t>f</w:t>
      </w:r>
      <w:r w:rsidR="0087021E" w:rsidRPr="009E0249">
        <w:rPr>
          <w:rFonts w:ascii="Times New Roman" w:hAnsi="Times New Roman" w:cs="Times New Roman"/>
          <w:b/>
          <w:bCs/>
          <w:sz w:val="24"/>
          <w:szCs w:val="24"/>
        </w:rPr>
        <w:t xml:space="preserve">igure 1. Goodness-of-fit plots for </w:t>
      </w:r>
      <w:r w:rsidR="0087021E">
        <w:rPr>
          <w:rFonts w:ascii="Times New Roman" w:hAnsi="Times New Roman" w:cs="Times New Roman"/>
          <w:b/>
          <w:bCs/>
          <w:sz w:val="24"/>
          <w:szCs w:val="24"/>
        </w:rPr>
        <w:t>f</w:t>
      </w:r>
      <w:r w:rsidR="0087021E" w:rsidRPr="00E2073C">
        <w:rPr>
          <w:rFonts w:ascii="Times New Roman" w:hAnsi="Times New Roman" w:cs="Times New Roman"/>
          <w:b/>
          <w:bCs/>
          <w:sz w:val="24"/>
          <w:szCs w:val="24"/>
        </w:rPr>
        <w:t xml:space="preserve">inal PK </w:t>
      </w:r>
      <w:r w:rsidR="0087021E">
        <w:rPr>
          <w:rFonts w:ascii="Times New Roman" w:hAnsi="Times New Roman" w:cs="Times New Roman"/>
          <w:b/>
          <w:bCs/>
          <w:sz w:val="24"/>
          <w:szCs w:val="24"/>
        </w:rPr>
        <w:t>m</w:t>
      </w:r>
      <w:r w:rsidR="0087021E" w:rsidRPr="00E2073C">
        <w:rPr>
          <w:rFonts w:ascii="Times New Roman" w:hAnsi="Times New Roman" w:cs="Times New Roman"/>
          <w:b/>
          <w:bCs/>
          <w:sz w:val="24"/>
          <w:szCs w:val="24"/>
        </w:rPr>
        <w:t xml:space="preserve">odels for </w:t>
      </w:r>
      <w:r w:rsidR="0087021E">
        <w:rPr>
          <w:rFonts w:ascii="Times New Roman" w:hAnsi="Times New Roman" w:cs="Times New Roman"/>
          <w:b/>
          <w:bCs/>
          <w:sz w:val="24"/>
          <w:szCs w:val="24"/>
        </w:rPr>
        <w:t>n</w:t>
      </w:r>
      <w:r w:rsidR="0087021E" w:rsidRPr="00E2073C">
        <w:rPr>
          <w:rFonts w:ascii="Times New Roman" w:hAnsi="Times New Roman" w:cs="Times New Roman"/>
          <w:b/>
          <w:bCs/>
          <w:sz w:val="24"/>
          <w:szCs w:val="24"/>
        </w:rPr>
        <w:t xml:space="preserve">afamostat in </w:t>
      </w:r>
      <w:r w:rsidR="00C3533C">
        <w:rPr>
          <w:rFonts w:ascii="Times New Roman" w:hAnsi="Times New Roman" w:cs="Times New Roman"/>
          <w:b/>
          <w:bCs/>
          <w:sz w:val="24"/>
          <w:szCs w:val="24"/>
        </w:rPr>
        <w:t xml:space="preserve">the </w:t>
      </w:r>
      <w:r w:rsidR="0087021E">
        <w:rPr>
          <w:rFonts w:ascii="Times New Roman" w:hAnsi="Times New Roman" w:cs="Times New Roman"/>
          <w:b/>
          <w:bCs/>
          <w:sz w:val="24"/>
          <w:szCs w:val="24"/>
        </w:rPr>
        <w:t>p</w:t>
      </w:r>
      <w:r w:rsidR="0087021E" w:rsidRPr="00E2073C">
        <w:rPr>
          <w:rFonts w:ascii="Times New Roman" w:hAnsi="Times New Roman" w:cs="Times New Roman"/>
          <w:b/>
          <w:bCs/>
          <w:sz w:val="24"/>
          <w:szCs w:val="24"/>
        </w:rPr>
        <w:t>atient</w:t>
      </w:r>
      <w:r w:rsidR="0087021E">
        <w:rPr>
          <w:rFonts w:ascii="Times New Roman" w:hAnsi="Times New Roman" w:cs="Times New Roman"/>
          <w:b/>
          <w:bCs/>
          <w:sz w:val="24"/>
          <w:szCs w:val="24"/>
        </w:rPr>
        <w:t xml:space="preserve"> model</w:t>
      </w:r>
      <w:r w:rsidR="0087021E" w:rsidRPr="00E2073C">
        <w:rPr>
          <w:rFonts w:ascii="Times New Roman" w:hAnsi="Times New Roman" w:cs="Times New Roman"/>
          <w:b/>
          <w:bCs/>
          <w:sz w:val="24"/>
          <w:szCs w:val="24"/>
        </w:rPr>
        <w:t xml:space="preserve"> </w:t>
      </w:r>
      <w:r w:rsidR="0087021E">
        <w:rPr>
          <w:rFonts w:ascii="Times New Roman" w:hAnsi="Times New Roman" w:cs="Times New Roman"/>
          <w:b/>
          <w:bCs/>
          <w:sz w:val="24"/>
          <w:szCs w:val="24"/>
        </w:rPr>
        <w:t xml:space="preserve">(top) </w:t>
      </w:r>
      <w:r w:rsidR="0087021E" w:rsidRPr="00E2073C">
        <w:rPr>
          <w:rFonts w:ascii="Times New Roman" w:hAnsi="Times New Roman" w:cs="Times New Roman"/>
          <w:b/>
          <w:bCs/>
          <w:sz w:val="24"/>
          <w:szCs w:val="24"/>
        </w:rPr>
        <w:t xml:space="preserve">and ECMO </w:t>
      </w:r>
      <w:r w:rsidR="0087021E">
        <w:rPr>
          <w:rFonts w:ascii="Times New Roman" w:hAnsi="Times New Roman" w:cs="Times New Roman"/>
          <w:b/>
          <w:bCs/>
          <w:sz w:val="24"/>
          <w:szCs w:val="24"/>
        </w:rPr>
        <w:t>model (bottom):</w:t>
      </w:r>
      <w:r w:rsidR="0087021E" w:rsidRPr="009E0249">
        <w:rPr>
          <w:rFonts w:ascii="Times New Roman" w:hAnsi="Times New Roman" w:cs="Times New Roman"/>
          <w:b/>
          <w:bCs/>
          <w:sz w:val="24"/>
          <w:szCs w:val="24"/>
        </w:rPr>
        <w:t xml:space="preserve"> (a) and (e) conditional weighted residuals versus time, (b) and (f) conditional weighted residuals versus population predicted concentration, (c) (g) observed concentration versus population predicted concentration, and (d) and (</w:t>
      </w:r>
      <w:r w:rsidR="00421F20">
        <w:rPr>
          <w:rFonts w:ascii="Times New Roman" w:hAnsi="Times New Roman" w:cs="Times New Roman"/>
          <w:b/>
          <w:bCs/>
          <w:sz w:val="24"/>
          <w:szCs w:val="24"/>
        </w:rPr>
        <w:t>h</w:t>
      </w:r>
      <w:r w:rsidR="0087021E" w:rsidRPr="009E0249">
        <w:rPr>
          <w:rFonts w:ascii="Times New Roman" w:hAnsi="Times New Roman" w:cs="Times New Roman"/>
          <w:b/>
          <w:bCs/>
          <w:sz w:val="24"/>
          <w:szCs w:val="24"/>
        </w:rPr>
        <w:t>) observed concentration versus individual predicted concentration.</w:t>
      </w:r>
    </w:p>
    <w:p w14:paraId="2B0C3F60" w14:textId="77777777" w:rsidR="0087021E" w:rsidRDefault="0087021E" w:rsidP="004F4CC6">
      <w:pPr>
        <w:spacing w:line="480" w:lineRule="auto"/>
        <w:rPr>
          <w:rFonts w:ascii="Times New Roman" w:hAnsi="Times New Roman" w:cs="Times New Roman"/>
          <w:sz w:val="24"/>
          <w:szCs w:val="24"/>
        </w:rPr>
      </w:pPr>
    </w:p>
    <w:p w14:paraId="0FE81A53" w14:textId="77777777" w:rsidR="0087021E" w:rsidRDefault="0087021E" w:rsidP="004F4CC6">
      <w:pPr>
        <w:spacing w:line="480" w:lineRule="auto"/>
        <w:rPr>
          <w:rFonts w:ascii="Times New Roman" w:hAnsi="Times New Roman" w:cs="Times New Roman"/>
          <w:sz w:val="24"/>
          <w:szCs w:val="24"/>
        </w:rPr>
      </w:pPr>
      <w:r>
        <w:rPr>
          <w:noProof/>
        </w:rPr>
        <w:lastRenderedPageBreak/>
        <w:drawing>
          <wp:inline distT="0" distB="0" distL="0" distR="0" wp14:anchorId="1EBC4189" wp14:editId="372AE429">
            <wp:extent cx="5731510" cy="3370580"/>
            <wp:effectExtent l="0" t="0" r="2540" b="1270"/>
            <wp:docPr id="1741098060" name="그림 5" descr="텍스트, 도표, 라인, 평면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98060" name="그림 5" descr="텍스트, 도표, 라인, 평면도이(가) 표시된 사진&#10;&#10;자동 생성된 설명"/>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370580"/>
                    </a:xfrm>
                    <a:prstGeom prst="rect">
                      <a:avLst/>
                    </a:prstGeom>
                    <a:noFill/>
                    <a:ln>
                      <a:noFill/>
                    </a:ln>
                  </pic:spPr>
                </pic:pic>
              </a:graphicData>
            </a:graphic>
          </wp:inline>
        </w:drawing>
      </w:r>
    </w:p>
    <w:p w14:paraId="56468A76" w14:textId="38348C42" w:rsidR="0087021E" w:rsidRDefault="00F17984" w:rsidP="004F4CC6">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Pr>
          <w:rFonts w:ascii="Times New Roman" w:hAnsi="Times New Roman" w:cs="Times New Roman"/>
          <w:b/>
          <w:bCs/>
          <w:sz w:val="24"/>
          <w:szCs w:val="24"/>
        </w:rPr>
        <w:t>f</w:t>
      </w:r>
      <w:r w:rsidR="0087021E" w:rsidRPr="009E0249">
        <w:rPr>
          <w:rFonts w:ascii="Times New Roman" w:hAnsi="Times New Roman" w:cs="Times New Roman"/>
          <w:b/>
          <w:bCs/>
          <w:sz w:val="24"/>
          <w:szCs w:val="24"/>
        </w:rPr>
        <w:t xml:space="preserve">igure 2. Visual predictive check for </w:t>
      </w:r>
      <w:r w:rsidR="0087021E">
        <w:rPr>
          <w:rFonts w:ascii="Times New Roman" w:hAnsi="Times New Roman" w:cs="Times New Roman"/>
          <w:b/>
          <w:bCs/>
          <w:sz w:val="24"/>
          <w:szCs w:val="24"/>
        </w:rPr>
        <w:t>f</w:t>
      </w:r>
      <w:r w:rsidR="0087021E" w:rsidRPr="00E2073C">
        <w:rPr>
          <w:rFonts w:ascii="Times New Roman" w:hAnsi="Times New Roman" w:cs="Times New Roman"/>
          <w:b/>
          <w:bCs/>
          <w:sz w:val="24"/>
          <w:szCs w:val="24"/>
        </w:rPr>
        <w:t xml:space="preserve">inal PK </w:t>
      </w:r>
      <w:r w:rsidR="0087021E">
        <w:rPr>
          <w:rFonts w:ascii="Times New Roman" w:hAnsi="Times New Roman" w:cs="Times New Roman"/>
          <w:b/>
          <w:bCs/>
          <w:sz w:val="24"/>
          <w:szCs w:val="24"/>
        </w:rPr>
        <w:t>m</w:t>
      </w:r>
      <w:r w:rsidR="0087021E" w:rsidRPr="00E2073C">
        <w:rPr>
          <w:rFonts w:ascii="Times New Roman" w:hAnsi="Times New Roman" w:cs="Times New Roman"/>
          <w:b/>
          <w:bCs/>
          <w:sz w:val="24"/>
          <w:szCs w:val="24"/>
        </w:rPr>
        <w:t xml:space="preserve">odels for </w:t>
      </w:r>
      <w:r w:rsidR="0087021E">
        <w:rPr>
          <w:rFonts w:ascii="Times New Roman" w:hAnsi="Times New Roman" w:cs="Times New Roman"/>
          <w:b/>
          <w:bCs/>
          <w:sz w:val="24"/>
          <w:szCs w:val="24"/>
        </w:rPr>
        <w:t>n</w:t>
      </w:r>
      <w:r w:rsidR="0087021E" w:rsidRPr="00E2073C">
        <w:rPr>
          <w:rFonts w:ascii="Times New Roman" w:hAnsi="Times New Roman" w:cs="Times New Roman"/>
          <w:b/>
          <w:bCs/>
          <w:sz w:val="24"/>
          <w:szCs w:val="24"/>
        </w:rPr>
        <w:t xml:space="preserve">afamostat in </w:t>
      </w:r>
      <w:r w:rsidR="00C3533C">
        <w:rPr>
          <w:rFonts w:ascii="Times New Roman" w:hAnsi="Times New Roman" w:cs="Times New Roman"/>
          <w:b/>
          <w:bCs/>
          <w:sz w:val="24"/>
          <w:szCs w:val="24"/>
        </w:rPr>
        <w:t xml:space="preserve">the </w:t>
      </w:r>
      <w:r w:rsidR="0087021E">
        <w:rPr>
          <w:rFonts w:ascii="Times New Roman" w:hAnsi="Times New Roman" w:cs="Times New Roman"/>
          <w:b/>
          <w:bCs/>
          <w:sz w:val="24"/>
          <w:szCs w:val="24"/>
        </w:rPr>
        <w:t>p</w:t>
      </w:r>
      <w:r w:rsidR="0087021E" w:rsidRPr="00E2073C">
        <w:rPr>
          <w:rFonts w:ascii="Times New Roman" w:hAnsi="Times New Roman" w:cs="Times New Roman"/>
          <w:b/>
          <w:bCs/>
          <w:sz w:val="24"/>
          <w:szCs w:val="24"/>
        </w:rPr>
        <w:t>atient</w:t>
      </w:r>
      <w:r w:rsidR="0087021E">
        <w:rPr>
          <w:rFonts w:ascii="Times New Roman" w:hAnsi="Times New Roman" w:cs="Times New Roman"/>
          <w:b/>
          <w:bCs/>
          <w:sz w:val="24"/>
          <w:szCs w:val="24"/>
        </w:rPr>
        <w:t xml:space="preserve"> model</w:t>
      </w:r>
      <w:r w:rsidR="0087021E" w:rsidRPr="00E2073C">
        <w:rPr>
          <w:rFonts w:ascii="Times New Roman" w:hAnsi="Times New Roman" w:cs="Times New Roman"/>
          <w:b/>
          <w:bCs/>
          <w:sz w:val="24"/>
          <w:szCs w:val="24"/>
        </w:rPr>
        <w:t xml:space="preserve"> </w:t>
      </w:r>
      <w:r w:rsidR="0087021E">
        <w:rPr>
          <w:rFonts w:ascii="Times New Roman" w:hAnsi="Times New Roman" w:cs="Times New Roman"/>
          <w:b/>
          <w:bCs/>
          <w:sz w:val="24"/>
          <w:szCs w:val="24"/>
        </w:rPr>
        <w:t xml:space="preserve">(a) </w:t>
      </w:r>
      <w:r w:rsidR="0087021E" w:rsidRPr="00E2073C">
        <w:rPr>
          <w:rFonts w:ascii="Times New Roman" w:hAnsi="Times New Roman" w:cs="Times New Roman"/>
          <w:b/>
          <w:bCs/>
          <w:sz w:val="24"/>
          <w:szCs w:val="24"/>
        </w:rPr>
        <w:t xml:space="preserve">and ECMO </w:t>
      </w:r>
      <w:r w:rsidR="0087021E">
        <w:rPr>
          <w:rFonts w:ascii="Times New Roman" w:hAnsi="Times New Roman" w:cs="Times New Roman"/>
          <w:b/>
          <w:bCs/>
          <w:sz w:val="24"/>
          <w:szCs w:val="24"/>
        </w:rPr>
        <w:t>model (b)</w:t>
      </w:r>
    </w:p>
    <w:p w14:paraId="3B8A8CC7" w14:textId="77777777" w:rsidR="009B0CCE" w:rsidRPr="0087021E" w:rsidRDefault="009B0CCE" w:rsidP="004F4CC6">
      <w:pPr>
        <w:spacing w:line="480" w:lineRule="auto"/>
        <w:rPr>
          <w:rFonts w:ascii="Times New Roman" w:hAnsi="Times New Roman" w:cs="Times New Roman"/>
          <w:sz w:val="24"/>
          <w:szCs w:val="24"/>
        </w:rPr>
      </w:pPr>
    </w:p>
    <w:p w14:paraId="792CE6AE" w14:textId="77777777" w:rsidR="0087021E" w:rsidRDefault="0087021E" w:rsidP="004F4CC6">
      <w:pPr>
        <w:spacing w:line="480" w:lineRule="auto"/>
        <w:rPr>
          <w:rFonts w:ascii="Times New Roman" w:hAnsi="Times New Roman" w:cs="Times New Roman"/>
          <w:sz w:val="24"/>
          <w:szCs w:val="24"/>
        </w:rPr>
      </w:pPr>
    </w:p>
    <w:p w14:paraId="65CBB62C" w14:textId="77777777" w:rsidR="0087021E" w:rsidRDefault="0087021E" w:rsidP="004F4CC6">
      <w:pPr>
        <w:spacing w:line="480" w:lineRule="auto"/>
        <w:rPr>
          <w:rFonts w:ascii="Times New Roman" w:hAnsi="Times New Roman" w:cs="Times New Roman"/>
          <w:sz w:val="24"/>
          <w:szCs w:val="24"/>
        </w:rPr>
      </w:pPr>
    </w:p>
    <w:p w14:paraId="72FE848B" w14:textId="77777777" w:rsidR="0087021E" w:rsidRDefault="0087021E" w:rsidP="004F4CC6">
      <w:pPr>
        <w:spacing w:line="480" w:lineRule="auto"/>
        <w:rPr>
          <w:rFonts w:ascii="Times New Roman" w:hAnsi="Times New Roman" w:cs="Times New Roman"/>
          <w:sz w:val="24"/>
          <w:szCs w:val="24"/>
        </w:rPr>
      </w:pPr>
    </w:p>
    <w:p w14:paraId="25E0730E" w14:textId="77777777" w:rsidR="0087021E" w:rsidRDefault="0087021E" w:rsidP="004F4CC6">
      <w:pPr>
        <w:spacing w:line="480" w:lineRule="auto"/>
        <w:rPr>
          <w:rFonts w:ascii="Times New Roman" w:hAnsi="Times New Roman" w:cs="Times New Roman"/>
          <w:sz w:val="24"/>
          <w:szCs w:val="24"/>
        </w:rPr>
      </w:pPr>
    </w:p>
    <w:p w14:paraId="667AACF7" w14:textId="77777777" w:rsidR="0087021E" w:rsidRPr="00872945" w:rsidRDefault="0087021E" w:rsidP="004F4CC6">
      <w:pPr>
        <w:spacing w:line="480" w:lineRule="auto"/>
        <w:rPr>
          <w:rFonts w:ascii="Times New Roman" w:hAnsi="Times New Roman" w:cs="Times New Roman"/>
          <w:sz w:val="24"/>
          <w:szCs w:val="24"/>
        </w:rPr>
      </w:pPr>
    </w:p>
    <w:p w14:paraId="4A9A9D11" w14:textId="77777777" w:rsidR="0087021E" w:rsidRDefault="0087021E" w:rsidP="004F4CC6">
      <w:pPr>
        <w:spacing w:line="480" w:lineRule="auto"/>
        <w:rPr>
          <w:rFonts w:ascii="Times New Roman" w:hAnsi="Times New Roman" w:cs="Times New Roman"/>
          <w:sz w:val="24"/>
          <w:szCs w:val="24"/>
        </w:rPr>
      </w:pPr>
      <w:r>
        <w:rPr>
          <w:noProof/>
        </w:rPr>
        <w:lastRenderedPageBreak/>
        <w:drawing>
          <wp:inline distT="0" distB="0" distL="0" distR="0" wp14:anchorId="3C8EEAEF" wp14:editId="51D7A58B">
            <wp:extent cx="5731510" cy="2697480"/>
            <wp:effectExtent l="0" t="0" r="2540" b="7620"/>
            <wp:docPr id="2022667305" name="그림 1" descr="도표, 텍스트, 평면도, 기술 도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667305" name="그림 1" descr="도표, 텍스트, 평면도, 기술 도면이(가) 표시된 사진&#10;&#10;자동 생성된 설명"/>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697480"/>
                    </a:xfrm>
                    <a:prstGeom prst="rect">
                      <a:avLst/>
                    </a:prstGeom>
                    <a:noFill/>
                    <a:ln>
                      <a:noFill/>
                    </a:ln>
                  </pic:spPr>
                </pic:pic>
              </a:graphicData>
            </a:graphic>
          </wp:inline>
        </w:drawing>
      </w:r>
    </w:p>
    <w:p w14:paraId="288878C2" w14:textId="73431E86" w:rsidR="0087021E" w:rsidRPr="009E0249" w:rsidRDefault="00F17984" w:rsidP="004F4CC6">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Pr>
          <w:rFonts w:ascii="Times New Roman" w:hAnsi="Times New Roman" w:cs="Times New Roman"/>
          <w:b/>
          <w:bCs/>
          <w:sz w:val="24"/>
          <w:szCs w:val="24"/>
        </w:rPr>
        <w:t>f</w:t>
      </w:r>
      <w:r w:rsidR="0087021E" w:rsidRPr="009E0249">
        <w:rPr>
          <w:rFonts w:ascii="Times New Roman" w:hAnsi="Times New Roman" w:cs="Times New Roman"/>
          <w:b/>
          <w:bCs/>
          <w:sz w:val="24"/>
          <w:szCs w:val="24"/>
        </w:rPr>
        <w:t xml:space="preserve">igure </w:t>
      </w:r>
      <w:r w:rsidR="0087021E">
        <w:rPr>
          <w:rFonts w:ascii="Times New Roman" w:hAnsi="Times New Roman" w:cs="Times New Roman"/>
          <w:b/>
          <w:bCs/>
          <w:sz w:val="24"/>
          <w:szCs w:val="24"/>
        </w:rPr>
        <w:t>3</w:t>
      </w:r>
      <w:r w:rsidR="0087021E" w:rsidRPr="009E0249">
        <w:rPr>
          <w:rFonts w:ascii="Times New Roman" w:hAnsi="Times New Roman" w:cs="Times New Roman"/>
          <w:b/>
          <w:bCs/>
          <w:sz w:val="24"/>
          <w:szCs w:val="24"/>
        </w:rPr>
        <w:t xml:space="preserve">. Goodness-of-fit plots for </w:t>
      </w:r>
      <w:r w:rsidR="0087021E">
        <w:rPr>
          <w:rFonts w:ascii="Times New Roman" w:hAnsi="Times New Roman" w:cs="Times New Roman"/>
          <w:b/>
          <w:bCs/>
          <w:sz w:val="24"/>
          <w:szCs w:val="24"/>
        </w:rPr>
        <w:t>f</w:t>
      </w:r>
      <w:r w:rsidR="0087021E" w:rsidRPr="00E2073C">
        <w:rPr>
          <w:rFonts w:ascii="Times New Roman" w:hAnsi="Times New Roman" w:cs="Times New Roman"/>
          <w:b/>
          <w:bCs/>
          <w:sz w:val="24"/>
          <w:szCs w:val="24"/>
        </w:rPr>
        <w:t>inal P</w:t>
      </w:r>
      <w:r w:rsidR="0087021E">
        <w:rPr>
          <w:rFonts w:ascii="Times New Roman" w:hAnsi="Times New Roman" w:cs="Times New Roman"/>
          <w:b/>
          <w:bCs/>
          <w:sz w:val="24"/>
          <w:szCs w:val="24"/>
        </w:rPr>
        <w:t>D</w:t>
      </w:r>
      <w:r w:rsidR="0087021E" w:rsidRPr="00E2073C">
        <w:rPr>
          <w:rFonts w:ascii="Times New Roman" w:hAnsi="Times New Roman" w:cs="Times New Roman"/>
          <w:b/>
          <w:bCs/>
          <w:sz w:val="24"/>
          <w:szCs w:val="24"/>
        </w:rPr>
        <w:t xml:space="preserve"> </w:t>
      </w:r>
      <w:r w:rsidR="0087021E">
        <w:rPr>
          <w:rFonts w:ascii="Times New Roman" w:hAnsi="Times New Roman" w:cs="Times New Roman"/>
          <w:b/>
          <w:bCs/>
          <w:sz w:val="24"/>
          <w:szCs w:val="24"/>
        </w:rPr>
        <w:t>m</w:t>
      </w:r>
      <w:r w:rsidR="0087021E" w:rsidRPr="00E2073C">
        <w:rPr>
          <w:rFonts w:ascii="Times New Roman" w:hAnsi="Times New Roman" w:cs="Times New Roman"/>
          <w:b/>
          <w:bCs/>
          <w:sz w:val="24"/>
          <w:szCs w:val="24"/>
        </w:rPr>
        <w:t xml:space="preserve">odels for </w:t>
      </w:r>
      <w:r w:rsidR="0087021E">
        <w:rPr>
          <w:rFonts w:ascii="Times New Roman" w:hAnsi="Times New Roman" w:cs="Times New Roman"/>
          <w:b/>
          <w:bCs/>
          <w:sz w:val="24"/>
          <w:szCs w:val="24"/>
        </w:rPr>
        <w:t>n</w:t>
      </w:r>
      <w:r w:rsidR="0087021E" w:rsidRPr="00E2073C">
        <w:rPr>
          <w:rFonts w:ascii="Times New Roman" w:hAnsi="Times New Roman" w:cs="Times New Roman"/>
          <w:b/>
          <w:bCs/>
          <w:sz w:val="24"/>
          <w:szCs w:val="24"/>
        </w:rPr>
        <w:t xml:space="preserve">afamostat in </w:t>
      </w:r>
      <w:r w:rsidR="0087021E">
        <w:rPr>
          <w:rFonts w:ascii="Times New Roman" w:hAnsi="Times New Roman" w:cs="Times New Roman"/>
          <w:b/>
          <w:bCs/>
          <w:sz w:val="24"/>
          <w:szCs w:val="24"/>
        </w:rPr>
        <w:t>p</w:t>
      </w:r>
      <w:r w:rsidR="0087021E" w:rsidRPr="00E2073C">
        <w:rPr>
          <w:rFonts w:ascii="Times New Roman" w:hAnsi="Times New Roman" w:cs="Times New Roman"/>
          <w:b/>
          <w:bCs/>
          <w:sz w:val="24"/>
          <w:szCs w:val="24"/>
        </w:rPr>
        <w:t xml:space="preserve">atient </w:t>
      </w:r>
      <w:r w:rsidR="0087021E">
        <w:rPr>
          <w:rFonts w:ascii="Times New Roman" w:hAnsi="Times New Roman" w:cs="Times New Roman"/>
          <w:b/>
          <w:bCs/>
          <w:sz w:val="24"/>
          <w:szCs w:val="24"/>
        </w:rPr>
        <w:t xml:space="preserve">(top) </w:t>
      </w:r>
      <w:r w:rsidR="0087021E" w:rsidRPr="00E2073C">
        <w:rPr>
          <w:rFonts w:ascii="Times New Roman" w:hAnsi="Times New Roman" w:cs="Times New Roman"/>
          <w:b/>
          <w:bCs/>
          <w:sz w:val="24"/>
          <w:szCs w:val="24"/>
        </w:rPr>
        <w:t xml:space="preserve">and ECMO </w:t>
      </w:r>
      <w:r w:rsidR="0087021E">
        <w:rPr>
          <w:rFonts w:ascii="Times New Roman" w:hAnsi="Times New Roman" w:cs="Times New Roman"/>
          <w:b/>
          <w:bCs/>
          <w:sz w:val="24"/>
          <w:szCs w:val="24"/>
        </w:rPr>
        <w:t xml:space="preserve">(bottom) </w:t>
      </w:r>
      <w:r w:rsidR="0094580A">
        <w:rPr>
          <w:rFonts w:ascii="Times New Roman" w:hAnsi="Times New Roman" w:cs="Times New Roman"/>
          <w:b/>
          <w:bCs/>
          <w:sz w:val="24"/>
          <w:szCs w:val="24"/>
        </w:rPr>
        <w:t>m</w:t>
      </w:r>
      <w:r w:rsidR="0087021E" w:rsidRPr="00E2073C">
        <w:rPr>
          <w:rFonts w:ascii="Times New Roman" w:hAnsi="Times New Roman" w:cs="Times New Roman"/>
          <w:b/>
          <w:bCs/>
          <w:sz w:val="24"/>
          <w:szCs w:val="24"/>
        </w:rPr>
        <w:t>odels</w:t>
      </w:r>
      <w:r w:rsidR="0087021E">
        <w:rPr>
          <w:rFonts w:ascii="Times New Roman" w:hAnsi="Times New Roman" w:cs="Times New Roman"/>
          <w:b/>
          <w:bCs/>
          <w:sz w:val="24"/>
          <w:szCs w:val="24"/>
        </w:rPr>
        <w:t>:</w:t>
      </w:r>
      <w:r w:rsidR="0087021E" w:rsidRPr="009E0249">
        <w:rPr>
          <w:rFonts w:ascii="Times New Roman" w:hAnsi="Times New Roman" w:cs="Times New Roman"/>
          <w:b/>
          <w:bCs/>
          <w:sz w:val="24"/>
          <w:szCs w:val="24"/>
        </w:rPr>
        <w:t xml:space="preserve"> (a) and (e) conditional weighted residuals versus time, (b) and (f) conditional weighted residuals versus population predicted concentration, (c) and (g) observed concentration versus population predicted concentration, and (d) and (</w:t>
      </w:r>
      <w:r w:rsidR="006509B1">
        <w:rPr>
          <w:rFonts w:ascii="Times New Roman" w:hAnsi="Times New Roman" w:cs="Times New Roman"/>
          <w:b/>
          <w:bCs/>
          <w:sz w:val="24"/>
          <w:szCs w:val="24"/>
        </w:rPr>
        <w:t>h</w:t>
      </w:r>
      <w:r w:rsidR="0087021E" w:rsidRPr="009E0249">
        <w:rPr>
          <w:rFonts w:ascii="Times New Roman" w:hAnsi="Times New Roman" w:cs="Times New Roman"/>
          <w:b/>
          <w:bCs/>
          <w:sz w:val="24"/>
          <w:szCs w:val="24"/>
        </w:rPr>
        <w:t>) observed concentration versus individual predicted concentration.</w:t>
      </w:r>
    </w:p>
    <w:p w14:paraId="168D6D51" w14:textId="77777777" w:rsidR="0087021E" w:rsidRDefault="0087021E" w:rsidP="004F4CC6">
      <w:pPr>
        <w:spacing w:line="480" w:lineRule="auto"/>
        <w:rPr>
          <w:noProof/>
        </w:rPr>
      </w:pPr>
    </w:p>
    <w:p w14:paraId="4AA770CD" w14:textId="77777777" w:rsidR="0087021E" w:rsidRDefault="0087021E" w:rsidP="004F4CC6">
      <w:pPr>
        <w:spacing w:line="480" w:lineRule="auto"/>
        <w:rPr>
          <w:noProof/>
        </w:rPr>
      </w:pPr>
      <w:r>
        <w:rPr>
          <w:noProof/>
        </w:rPr>
        <w:lastRenderedPageBreak/>
        <w:drawing>
          <wp:inline distT="0" distB="0" distL="0" distR="0" wp14:anchorId="58F6B3B7" wp14:editId="0B5954BE">
            <wp:extent cx="5731510" cy="3370580"/>
            <wp:effectExtent l="0" t="0" r="2540" b="1270"/>
            <wp:docPr id="1810998815" name="그림 3" descr="텍스트, 도표, 라인, 평행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998815" name="그림 3" descr="텍스트, 도표, 라인, 평행이(가) 표시된 사진&#10;&#10;자동 생성된 설명"/>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370580"/>
                    </a:xfrm>
                    <a:prstGeom prst="rect">
                      <a:avLst/>
                    </a:prstGeom>
                    <a:noFill/>
                    <a:ln>
                      <a:noFill/>
                    </a:ln>
                  </pic:spPr>
                </pic:pic>
              </a:graphicData>
            </a:graphic>
          </wp:inline>
        </w:drawing>
      </w:r>
    </w:p>
    <w:p w14:paraId="149F410A" w14:textId="4F26DCEB" w:rsidR="0087021E" w:rsidRDefault="00F17984" w:rsidP="004F4CC6">
      <w:pPr>
        <w:spacing w:line="480" w:lineRule="auto"/>
        <w:rPr>
          <w:rFonts w:ascii="Times New Roman" w:hAnsi="Times New Roman" w:cs="Times New Roman"/>
          <w:sz w:val="24"/>
          <w:szCs w:val="24"/>
        </w:rPr>
      </w:pPr>
      <w:r>
        <w:rPr>
          <w:rFonts w:ascii="Times New Roman" w:hAnsi="Times New Roman" w:cs="Times New Roman"/>
          <w:b/>
          <w:bCs/>
          <w:sz w:val="24"/>
          <w:szCs w:val="24"/>
        </w:rPr>
        <w:t xml:space="preserve">Supplementary </w:t>
      </w:r>
      <w:r>
        <w:rPr>
          <w:rFonts w:ascii="Times New Roman" w:hAnsi="Times New Roman" w:cs="Times New Roman"/>
          <w:b/>
          <w:bCs/>
          <w:sz w:val="24"/>
          <w:szCs w:val="24"/>
        </w:rPr>
        <w:t>f</w:t>
      </w:r>
      <w:r w:rsidR="0087021E" w:rsidRPr="009E0249">
        <w:rPr>
          <w:rFonts w:ascii="Times New Roman" w:hAnsi="Times New Roman" w:cs="Times New Roman"/>
          <w:b/>
          <w:bCs/>
          <w:sz w:val="24"/>
          <w:szCs w:val="24"/>
        </w:rPr>
        <w:t xml:space="preserve">igure </w:t>
      </w:r>
      <w:r w:rsidR="0087021E">
        <w:rPr>
          <w:rFonts w:ascii="Times New Roman" w:hAnsi="Times New Roman" w:cs="Times New Roman"/>
          <w:b/>
          <w:bCs/>
          <w:sz w:val="24"/>
          <w:szCs w:val="24"/>
        </w:rPr>
        <w:t>4</w:t>
      </w:r>
      <w:r w:rsidR="0087021E" w:rsidRPr="009E0249">
        <w:rPr>
          <w:rFonts w:ascii="Times New Roman" w:hAnsi="Times New Roman" w:cs="Times New Roman"/>
          <w:b/>
          <w:bCs/>
          <w:sz w:val="24"/>
          <w:szCs w:val="24"/>
        </w:rPr>
        <w:t xml:space="preserve">. Visual predictive check for </w:t>
      </w:r>
      <w:r w:rsidR="0087021E">
        <w:rPr>
          <w:rFonts w:ascii="Times New Roman" w:hAnsi="Times New Roman" w:cs="Times New Roman"/>
          <w:b/>
          <w:bCs/>
          <w:sz w:val="24"/>
          <w:szCs w:val="24"/>
        </w:rPr>
        <w:t>f</w:t>
      </w:r>
      <w:r w:rsidR="0087021E" w:rsidRPr="00E2073C">
        <w:rPr>
          <w:rFonts w:ascii="Times New Roman" w:hAnsi="Times New Roman" w:cs="Times New Roman"/>
          <w:b/>
          <w:bCs/>
          <w:sz w:val="24"/>
          <w:szCs w:val="24"/>
        </w:rPr>
        <w:t>inal P</w:t>
      </w:r>
      <w:r w:rsidR="0087021E">
        <w:rPr>
          <w:rFonts w:ascii="Times New Roman" w:hAnsi="Times New Roman" w:cs="Times New Roman"/>
          <w:b/>
          <w:bCs/>
          <w:sz w:val="24"/>
          <w:szCs w:val="24"/>
        </w:rPr>
        <w:t>D</w:t>
      </w:r>
      <w:r w:rsidR="0087021E" w:rsidRPr="00E2073C">
        <w:rPr>
          <w:rFonts w:ascii="Times New Roman" w:hAnsi="Times New Roman" w:cs="Times New Roman"/>
          <w:b/>
          <w:bCs/>
          <w:sz w:val="24"/>
          <w:szCs w:val="24"/>
        </w:rPr>
        <w:t xml:space="preserve"> </w:t>
      </w:r>
      <w:r w:rsidR="0087021E">
        <w:rPr>
          <w:rFonts w:ascii="Times New Roman" w:hAnsi="Times New Roman" w:cs="Times New Roman"/>
          <w:b/>
          <w:bCs/>
          <w:sz w:val="24"/>
          <w:szCs w:val="24"/>
        </w:rPr>
        <w:t>m</w:t>
      </w:r>
      <w:r w:rsidR="0087021E" w:rsidRPr="00E2073C">
        <w:rPr>
          <w:rFonts w:ascii="Times New Roman" w:hAnsi="Times New Roman" w:cs="Times New Roman"/>
          <w:b/>
          <w:bCs/>
          <w:sz w:val="24"/>
          <w:szCs w:val="24"/>
        </w:rPr>
        <w:t xml:space="preserve">odels for </w:t>
      </w:r>
      <w:r w:rsidR="0087021E">
        <w:rPr>
          <w:rFonts w:ascii="Times New Roman" w:hAnsi="Times New Roman" w:cs="Times New Roman"/>
          <w:b/>
          <w:bCs/>
          <w:sz w:val="24"/>
          <w:szCs w:val="24"/>
        </w:rPr>
        <w:t>n</w:t>
      </w:r>
      <w:r w:rsidR="0087021E" w:rsidRPr="00E2073C">
        <w:rPr>
          <w:rFonts w:ascii="Times New Roman" w:hAnsi="Times New Roman" w:cs="Times New Roman"/>
          <w:b/>
          <w:bCs/>
          <w:sz w:val="24"/>
          <w:szCs w:val="24"/>
        </w:rPr>
        <w:t xml:space="preserve">afamostat in </w:t>
      </w:r>
      <w:r w:rsidR="00C3533C">
        <w:rPr>
          <w:rFonts w:ascii="Times New Roman" w:hAnsi="Times New Roman" w:cs="Times New Roman"/>
          <w:b/>
          <w:bCs/>
          <w:sz w:val="24"/>
          <w:szCs w:val="24"/>
        </w:rPr>
        <w:t xml:space="preserve">the </w:t>
      </w:r>
      <w:r w:rsidR="0087021E">
        <w:rPr>
          <w:rFonts w:ascii="Times New Roman" w:hAnsi="Times New Roman" w:cs="Times New Roman"/>
          <w:b/>
          <w:bCs/>
          <w:sz w:val="24"/>
          <w:szCs w:val="24"/>
        </w:rPr>
        <w:t>p</w:t>
      </w:r>
      <w:r w:rsidR="0087021E" w:rsidRPr="00E2073C">
        <w:rPr>
          <w:rFonts w:ascii="Times New Roman" w:hAnsi="Times New Roman" w:cs="Times New Roman"/>
          <w:b/>
          <w:bCs/>
          <w:sz w:val="24"/>
          <w:szCs w:val="24"/>
        </w:rPr>
        <w:t>atient</w:t>
      </w:r>
      <w:r w:rsidR="0087021E">
        <w:rPr>
          <w:rFonts w:ascii="Times New Roman" w:hAnsi="Times New Roman" w:cs="Times New Roman"/>
          <w:b/>
          <w:bCs/>
          <w:sz w:val="24"/>
          <w:szCs w:val="24"/>
        </w:rPr>
        <w:t xml:space="preserve"> model</w:t>
      </w:r>
      <w:r w:rsidR="0087021E" w:rsidRPr="00E2073C">
        <w:rPr>
          <w:rFonts w:ascii="Times New Roman" w:hAnsi="Times New Roman" w:cs="Times New Roman"/>
          <w:b/>
          <w:bCs/>
          <w:sz w:val="24"/>
          <w:szCs w:val="24"/>
        </w:rPr>
        <w:t xml:space="preserve"> </w:t>
      </w:r>
      <w:r w:rsidR="0087021E">
        <w:rPr>
          <w:rFonts w:ascii="Times New Roman" w:hAnsi="Times New Roman" w:cs="Times New Roman"/>
          <w:b/>
          <w:bCs/>
          <w:sz w:val="24"/>
          <w:szCs w:val="24"/>
        </w:rPr>
        <w:t xml:space="preserve">(a) </w:t>
      </w:r>
      <w:r w:rsidR="0087021E" w:rsidRPr="00E2073C">
        <w:rPr>
          <w:rFonts w:ascii="Times New Roman" w:hAnsi="Times New Roman" w:cs="Times New Roman"/>
          <w:b/>
          <w:bCs/>
          <w:sz w:val="24"/>
          <w:szCs w:val="24"/>
        </w:rPr>
        <w:t xml:space="preserve">and ECMO </w:t>
      </w:r>
      <w:r w:rsidR="0087021E">
        <w:rPr>
          <w:rFonts w:ascii="Times New Roman" w:hAnsi="Times New Roman" w:cs="Times New Roman"/>
          <w:b/>
          <w:bCs/>
          <w:sz w:val="24"/>
          <w:szCs w:val="24"/>
        </w:rPr>
        <w:t>model (b)</w:t>
      </w:r>
    </w:p>
    <w:p w14:paraId="537CE0E8" w14:textId="77777777" w:rsidR="009B0CCE" w:rsidRPr="0087021E" w:rsidRDefault="009B0CCE" w:rsidP="004F4CC6">
      <w:pPr>
        <w:spacing w:line="480" w:lineRule="auto"/>
        <w:rPr>
          <w:rFonts w:ascii="Times New Roman" w:hAnsi="Times New Roman" w:cs="Times New Roman"/>
          <w:sz w:val="24"/>
          <w:szCs w:val="24"/>
        </w:rPr>
      </w:pPr>
    </w:p>
    <w:p w14:paraId="6E401A46" w14:textId="77777777" w:rsidR="009B0CCE" w:rsidRPr="009B0CCE" w:rsidRDefault="009B0CCE" w:rsidP="004F4CC6">
      <w:pPr>
        <w:spacing w:line="480" w:lineRule="auto"/>
        <w:rPr>
          <w:rFonts w:ascii="Times New Roman" w:hAnsi="Times New Roman" w:cs="Times New Roman"/>
          <w:sz w:val="24"/>
          <w:szCs w:val="24"/>
        </w:rPr>
      </w:pPr>
    </w:p>
    <w:p w14:paraId="342D205D" w14:textId="77777777" w:rsidR="009B0CCE" w:rsidRPr="009B0CCE" w:rsidRDefault="009B0CCE" w:rsidP="004F4CC6">
      <w:pPr>
        <w:spacing w:line="480" w:lineRule="auto"/>
        <w:rPr>
          <w:rFonts w:ascii="Times New Roman" w:hAnsi="Times New Roman" w:cs="Times New Roman"/>
          <w:sz w:val="24"/>
          <w:szCs w:val="24"/>
        </w:rPr>
      </w:pPr>
    </w:p>
    <w:sectPr w:rsidR="009B0CCE" w:rsidRPr="009B0CC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503F6" w14:textId="77777777" w:rsidR="00443625" w:rsidRDefault="00443625" w:rsidP="00911360">
      <w:pPr>
        <w:spacing w:after="0" w:line="240" w:lineRule="auto"/>
      </w:pPr>
      <w:r>
        <w:separator/>
      </w:r>
    </w:p>
  </w:endnote>
  <w:endnote w:type="continuationSeparator" w:id="0">
    <w:p w14:paraId="6FC8821B" w14:textId="77777777" w:rsidR="00443625" w:rsidRDefault="00443625" w:rsidP="009113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FA1E6" w14:textId="77777777" w:rsidR="00443625" w:rsidRDefault="00443625" w:rsidP="00911360">
      <w:pPr>
        <w:spacing w:after="0" w:line="240" w:lineRule="auto"/>
      </w:pPr>
      <w:r>
        <w:separator/>
      </w:r>
    </w:p>
  </w:footnote>
  <w:footnote w:type="continuationSeparator" w:id="0">
    <w:p w14:paraId="66B6FC31" w14:textId="77777777" w:rsidR="00443625" w:rsidRDefault="00443625" w:rsidP="009113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822"/>
    <w:rsid w:val="00035822"/>
    <w:rsid w:val="00190586"/>
    <w:rsid w:val="00237973"/>
    <w:rsid w:val="0032735A"/>
    <w:rsid w:val="00396A63"/>
    <w:rsid w:val="003C671A"/>
    <w:rsid w:val="00421F20"/>
    <w:rsid w:val="00443625"/>
    <w:rsid w:val="004F4CC6"/>
    <w:rsid w:val="005119F8"/>
    <w:rsid w:val="006509B1"/>
    <w:rsid w:val="00713BAD"/>
    <w:rsid w:val="00851D3E"/>
    <w:rsid w:val="008640E4"/>
    <w:rsid w:val="0087021E"/>
    <w:rsid w:val="008C3CE9"/>
    <w:rsid w:val="00911360"/>
    <w:rsid w:val="0094580A"/>
    <w:rsid w:val="009B0CCE"/>
    <w:rsid w:val="009F346F"/>
    <w:rsid w:val="00A760E2"/>
    <w:rsid w:val="00C3533C"/>
    <w:rsid w:val="00CF5FC7"/>
    <w:rsid w:val="00D0667F"/>
    <w:rsid w:val="00F17984"/>
    <w:rsid w:val="00F36B0C"/>
    <w:rsid w:val="00F52F3F"/>
    <w:rsid w:val="00F96421"/>
    <w:rsid w:val="00FC11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AA187D"/>
  <w15:chartTrackingRefBased/>
  <w15:docId w15:val="{BB2C0109-EDE6-4705-AA97-F3FA9BFB0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0CCE"/>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9B0CCE"/>
    <w:pPr>
      <w:snapToGrid w:val="0"/>
      <w:spacing w:after="0" w:line="384" w:lineRule="auto"/>
      <w:textAlignment w:val="baseline"/>
    </w:pPr>
    <w:rPr>
      <w:rFonts w:ascii="굴림" w:eastAsia="굴림" w:hAnsi="굴림" w:cs="굴림"/>
      <w:color w:val="000000"/>
      <w:kern w:val="0"/>
      <w:szCs w:val="20"/>
    </w:rPr>
  </w:style>
  <w:style w:type="paragraph" w:styleId="a4">
    <w:name w:val="header"/>
    <w:basedOn w:val="a"/>
    <w:link w:val="Char"/>
    <w:uiPriority w:val="99"/>
    <w:unhideWhenUsed/>
    <w:rsid w:val="00911360"/>
    <w:pPr>
      <w:tabs>
        <w:tab w:val="center" w:pos="4513"/>
        <w:tab w:val="right" w:pos="9026"/>
      </w:tabs>
      <w:snapToGrid w:val="0"/>
    </w:pPr>
  </w:style>
  <w:style w:type="character" w:customStyle="1" w:styleId="Char">
    <w:name w:val="머리글 Char"/>
    <w:basedOn w:val="a0"/>
    <w:link w:val="a4"/>
    <w:uiPriority w:val="99"/>
    <w:rsid w:val="00911360"/>
  </w:style>
  <w:style w:type="paragraph" w:styleId="a5">
    <w:name w:val="footer"/>
    <w:basedOn w:val="a"/>
    <w:link w:val="Char0"/>
    <w:uiPriority w:val="99"/>
    <w:unhideWhenUsed/>
    <w:rsid w:val="00911360"/>
    <w:pPr>
      <w:tabs>
        <w:tab w:val="center" w:pos="4513"/>
        <w:tab w:val="right" w:pos="9026"/>
      </w:tabs>
      <w:snapToGrid w:val="0"/>
    </w:pPr>
  </w:style>
  <w:style w:type="character" w:customStyle="1" w:styleId="Char0">
    <w:name w:val="바닥글 Char"/>
    <w:basedOn w:val="a0"/>
    <w:link w:val="a5"/>
    <w:uiPriority w:val="99"/>
    <w:rsid w:val="00911360"/>
  </w:style>
  <w:style w:type="paragraph" w:styleId="a6">
    <w:name w:val="Revision"/>
    <w:hidden/>
    <w:uiPriority w:val="99"/>
    <w:semiHidden/>
    <w:rsid w:val="00237973"/>
    <w:pPr>
      <w:spacing w:after="0" w:line="240" w:lineRule="auto"/>
      <w:jc w:val="left"/>
    </w:pPr>
  </w:style>
  <w:style w:type="character" w:styleId="a7">
    <w:name w:val="annotation reference"/>
    <w:basedOn w:val="a0"/>
    <w:uiPriority w:val="99"/>
    <w:semiHidden/>
    <w:unhideWhenUsed/>
    <w:rsid w:val="00237973"/>
    <w:rPr>
      <w:sz w:val="16"/>
      <w:szCs w:val="16"/>
    </w:rPr>
  </w:style>
  <w:style w:type="paragraph" w:styleId="a8">
    <w:name w:val="annotation text"/>
    <w:basedOn w:val="a"/>
    <w:link w:val="Char1"/>
    <w:uiPriority w:val="99"/>
    <w:semiHidden/>
    <w:unhideWhenUsed/>
    <w:rsid w:val="00237973"/>
    <w:pPr>
      <w:spacing w:line="240" w:lineRule="auto"/>
    </w:pPr>
    <w:rPr>
      <w:szCs w:val="20"/>
    </w:rPr>
  </w:style>
  <w:style w:type="character" w:customStyle="1" w:styleId="Char1">
    <w:name w:val="메모 텍스트 Char"/>
    <w:basedOn w:val="a0"/>
    <w:link w:val="a8"/>
    <w:uiPriority w:val="99"/>
    <w:semiHidden/>
    <w:rsid w:val="00237973"/>
    <w:rPr>
      <w:szCs w:val="20"/>
    </w:rPr>
  </w:style>
  <w:style w:type="paragraph" w:styleId="a9">
    <w:name w:val="annotation subject"/>
    <w:basedOn w:val="a8"/>
    <w:next w:val="a8"/>
    <w:link w:val="Char2"/>
    <w:uiPriority w:val="99"/>
    <w:semiHidden/>
    <w:unhideWhenUsed/>
    <w:rsid w:val="00237973"/>
    <w:rPr>
      <w:b/>
      <w:bCs/>
    </w:rPr>
  </w:style>
  <w:style w:type="character" w:customStyle="1" w:styleId="Char2">
    <w:name w:val="메모 주제 Char"/>
    <w:basedOn w:val="Char1"/>
    <w:link w:val="a9"/>
    <w:uiPriority w:val="99"/>
    <w:semiHidden/>
    <w:rsid w:val="00237973"/>
    <w:rPr>
      <w:b/>
      <w:bCs/>
      <w:szCs w:val="20"/>
    </w:rPr>
  </w:style>
  <w:style w:type="paragraph" w:styleId="aa">
    <w:name w:val="Normal (Web)"/>
    <w:basedOn w:val="a"/>
    <w:uiPriority w:val="99"/>
    <w:unhideWhenUsed/>
    <w:rsid w:val="00F1798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b">
    <w:name w:val="Strong"/>
    <w:basedOn w:val="a0"/>
    <w:uiPriority w:val="22"/>
    <w:qFormat/>
    <w:rsid w:val="00F179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1210</Words>
  <Characters>6900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DONG-HWAN</dc:creator>
  <cp:keywords/>
  <dc:description/>
  <cp:lastModifiedBy>LEE DONG-HWAN</cp:lastModifiedBy>
  <cp:revision>6</cp:revision>
  <dcterms:created xsi:type="dcterms:W3CDTF">2023-06-19T09:54:00Z</dcterms:created>
  <dcterms:modified xsi:type="dcterms:W3CDTF">2023-07-21T08:48:00Z</dcterms:modified>
</cp:coreProperties>
</file>