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3FC4" w:rsidRDefault="00FF3FC4" w:rsidP="00FF3FC4">
      <w:pPr>
        <w:jc w:val="center"/>
        <w:rPr>
          <w:rFonts w:asciiTheme="majorBidi" w:hAnsiTheme="majorBidi" w:cstheme="majorBidi"/>
          <w:b/>
          <w:bCs/>
          <w:sz w:val="24"/>
          <w:szCs w:val="24"/>
        </w:rPr>
      </w:pPr>
      <w:r>
        <w:rPr>
          <w:rFonts w:asciiTheme="majorBidi" w:hAnsiTheme="majorBidi" w:cstheme="majorBidi"/>
          <w:b/>
          <w:bCs/>
          <w:sz w:val="24"/>
          <w:szCs w:val="24"/>
        </w:rPr>
        <w:t>Supplementary Appendix</w:t>
      </w:r>
      <w:r w:rsidR="00674E46">
        <w:rPr>
          <w:rFonts w:asciiTheme="majorBidi" w:hAnsiTheme="majorBidi" w:cstheme="majorBidi"/>
          <w:b/>
          <w:bCs/>
          <w:sz w:val="24"/>
          <w:szCs w:val="24"/>
        </w:rPr>
        <w:t xml:space="preserve"> to the </w:t>
      </w:r>
      <w:r w:rsidR="00674E46" w:rsidRPr="00674E46">
        <w:rPr>
          <w:rFonts w:asciiTheme="majorBidi" w:hAnsiTheme="majorBidi" w:cstheme="majorBidi"/>
          <w:b/>
          <w:bCs/>
          <w:sz w:val="24"/>
          <w:szCs w:val="24"/>
        </w:rPr>
        <w:t>Seroprevalence of Immunoglobulin G against SARS-CoV-2 in Iran at National and Sub-National Levels: Population-based Sero-Epidemiological Data from STEPS Survey 2021</w:t>
      </w:r>
    </w:p>
    <w:p w:rsidR="007A40F3" w:rsidRDefault="007A40F3">
      <w:pPr>
        <w:rPr>
          <w:rFonts w:asciiTheme="majorBidi" w:hAnsiTheme="majorBidi" w:cstheme="majorBidi"/>
          <w:b/>
          <w:bCs/>
          <w:sz w:val="24"/>
          <w:szCs w:val="24"/>
        </w:rPr>
      </w:pPr>
      <w:r>
        <w:rPr>
          <w:rFonts w:asciiTheme="majorBidi" w:hAnsiTheme="majorBidi" w:cstheme="majorBidi"/>
          <w:b/>
          <w:bCs/>
          <w:sz w:val="24"/>
          <w:szCs w:val="24"/>
        </w:rPr>
        <w:t>Timeline</w:t>
      </w:r>
    </w:p>
    <w:p w:rsidR="00674E46" w:rsidRDefault="00674E46">
      <w:pPr>
        <w:rPr>
          <w:rFonts w:asciiTheme="majorBidi" w:hAnsiTheme="majorBidi" w:cstheme="majorBidi"/>
          <w:sz w:val="24"/>
          <w:szCs w:val="24"/>
        </w:rPr>
      </w:pPr>
      <w:r>
        <w:rPr>
          <w:rFonts w:asciiTheme="majorBidi" w:hAnsiTheme="majorBidi" w:cstheme="majorBidi"/>
          <w:sz w:val="24"/>
          <w:szCs w:val="24"/>
        </w:rPr>
        <w:t>The sera of participants for measuring IgG against SARS-CoV-2 was recruited from February 2021 to April 2021.</w:t>
      </w:r>
    </w:p>
    <w:p w:rsidR="00674E46" w:rsidRPr="00674E46" w:rsidRDefault="00674E46">
      <w:pPr>
        <w:rPr>
          <w:rFonts w:asciiTheme="majorBidi" w:hAnsiTheme="majorBidi" w:cstheme="majorBidi"/>
          <w:sz w:val="24"/>
          <w:szCs w:val="24"/>
        </w:rPr>
      </w:pPr>
      <w:r w:rsidRPr="00674E46">
        <w:rPr>
          <w:rFonts w:asciiTheme="majorBidi" w:hAnsiTheme="majorBidi" w:cstheme="majorBidi"/>
          <w:sz w:val="24"/>
          <w:szCs w:val="24"/>
        </w:rPr>
        <w:t xml:space="preserve">Table </w:t>
      </w:r>
      <w:r w:rsidR="00565654">
        <w:rPr>
          <w:rFonts w:asciiTheme="majorBidi" w:hAnsiTheme="majorBidi" w:cstheme="majorBidi"/>
          <w:sz w:val="24"/>
          <w:szCs w:val="24"/>
        </w:rPr>
        <w:t>S</w:t>
      </w:r>
      <w:r w:rsidRPr="00674E46">
        <w:rPr>
          <w:rFonts w:asciiTheme="majorBidi" w:hAnsiTheme="majorBidi" w:cstheme="majorBidi"/>
          <w:sz w:val="24"/>
          <w:szCs w:val="24"/>
        </w:rPr>
        <w:t>1: the STEPS 2021 survey timeline</w:t>
      </w:r>
    </w:p>
    <w:tbl>
      <w:tblPr>
        <w:tblStyle w:val="PlainTable2"/>
        <w:bidiVisual/>
        <w:tblW w:w="6139" w:type="dxa"/>
        <w:jc w:val="center"/>
        <w:tblLook w:val="04A0" w:firstRow="1" w:lastRow="0" w:firstColumn="1" w:lastColumn="0" w:noHBand="0" w:noVBand="1"/>
      </w:tblPr>
      <w:tblGrid>
        <w:gridCol w:w="3020"/>
        <w:gridCol w:w="3119"/>
      </w:tblGrid>
      <w:tr w:rsidR="008C233C" w:rsidRPr="008C233C" w:rsidTr="008C233C">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020" w:type="dxa"/>
            <w:noWrap/>
            <w:hideMark/>
          </w:tcPr>
          <w:p w:rsidR="008C233C" w:rsidRPr="008C233C" w:rsidRDefault="008C233C" w:rsidP="008C233C">
            <w:pPr>
              <w:bidi/>
              <w:jc w:val="center"/>
              <w:rPr>
                <w:rFonts w:asciiTheme="majorBidi" w:eastAsia="Times New Roman" w:hAnsiTheme="majorBidi" w:cstheme="majorBidi"/>
                <w:b w:val="0"/>
                <w:bCs w:val="0"/>
              </w:rPr>
            </w:pPr>
            <w:r w:rsidRPr="008C233C">
              <w:rPr>
                <w:rFonts w:asciiTheme="majorBidi" w:eastAsia="Times New Roman" w:hAnsiTheme="majorBidi" w:cstheme="majorBidi"/>
                <w:b w:val="0"/>
                <w:bCs w:val="0"/>
                <w:color w:val="000000"/>
                <w:sz w:val="24"/>
                <w:szCs w:val="24"/>
              </w:rPr>
              <w:t>Questionnaire and software preparation</w:t>
            </w:r>
          </w:p>
        </w:tc>
        <w:tc>
          <w:tcPr>
            <w:tcW w:w="3119" w:type="dxa"/>
            <w:hideMark/>
          </w:tcPr>
          <w:p w:rsidR="008C233C" w:rsidRPr="008C233C" w:rsidRDefault="008C233C" w:rsidP="008C233C">
            <w:pPr>
              <w:bidi/>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 w:val="0"/>
                <w:bCs w:val="0"/>
                <w:rtl/>
              </w:rPr>
            </w:pPr>
            <w:r w:rsidRPr="008C233C">
              <w:rPr>
                <w:rFonts w:asciiTheme="majorBidi" w:eastAsia="Times New Roman" w:hAnsiTheme="majorBidi" w:cstheme="majorBidi"/>
                <w:b w:val="0"/>
                <w:bCs w:val="0"/>
                <w:color w:val="000000"/>
                <w:sz w:val="24"/>
                <w:szCs w:val="24"/>
              </w:rPr>
              <w:t>September 2019 – November 2019</w:t>
            </w:r>
          </w:p>
        </w:tc>
      </w:tr>
      <w:tr w:rsidR="008C233C" w:rsidRPr="008C233C" w:rsidTr="008C233C">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020" w:type="dxa"/>
            <w:noWrap/>
            <w:hideMark/>
          </w:tcPr>
          <w:p w:rsidR="008C233C" w:rsidRPr="008C233C" w:rsidRDefault="008C233C" w:rsidP="008C233C">
            <w:pPr>
              <w:bidi/>
              <w:jc w:val="center"/>
              <w:rPr>
                <w:rFonts w:asciiTheme="majorBidi" w:eastAsia="Times New Roman" w:hAnsiTheme="majorBidi" w:cstheme="majorBidi"/>
                <w:b w:val="0"/>
                <w:bCs w:val="0"/>
                <w:rtl/>
              </w:rPr>
            </w:pPr>
            <w:r>
              <w:rPr>
                <w:rFonts w:asciiTheme="majorBidi" w:eastAsia="Times New Roman" w:hAnsiTheme="majorBidi" w:cstheme="majorBidi"/>
                <w:b w:val="0"/>
                <w:bCs w:val="0"/>
                <w:color w:val="000000"/>
                <w:sz w:val="24"/>
                <w:szCs w:val="24"/>
              </w:rPr>
              <w:t>Training and equipping the team</w:t>
            </w:r>
          </w:p>
        </w:tc>
        <w:tc>
          <w:tcPr>
            <w:tcW w:w="3119" w:type="dxa"/>
            <w:hideMark/>
          </w:tcPr>
          <w:p w:rsidR="008C233C" w:rsidRPr="008C233C" w:rsidRDefault="008C233C" w:rsidP="008C233C">
            <w:pPr>
              <w:bidi/>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rtl/>
              </w:rPr>
            </w:pPr>
            <w:r w:rsidRPr="008C233C">
              <w:rPr>
                <w:rFonts w:asciiTheme="majorBidi" w:eastAsia="Times New Roman" w:hAnsiTheme="majorBidi" w:cstheme="majorBidi"/>
                <w:color w:val="000000"/>
                <w:sz w:val="24"/>
                <w:szCs w:val="24"/>
              </w:rPr>
              <w:t>December 2019</w:t>
            </w:r>
          </w:p>
        </w:tc>
      </w:tr>
      <w:tr w:rsidR="008C233C" w:rsidRPr="008C233C" w:rsidTr="008C233C">
        <w:trPr>
          <w:trHeight w:val="288"/>
          <w:jc w:val="center"/>
        </w:trPr>
        <w:tc>
          <w:tcPr>
            <w:cnfStyle w:val="001000000000" w:firstRow="0" w:lastRow="0" w:firstColumn="1" w:lastColumn="0" w:oddVBand="0" w:evenVBand="0" w:oddHBand="0" w:evenHBand="0" w:firstRowFirstColumn="0" w:firstRowLastColumn="0" w:lastRowFirstColumn="0" w:lastRowLastColumn="0"/>
            <w:tcW w:w="3020" w:type="dxa"/>
            <w:noWrap/>
            <w:hideMark/>
          </w:tcPr>
          <w:p w:rsidR="008C233C" w:rsidRPr="008C233C" w:rsidRDefault="008C233C" w:rsidP="008C233C">
            <w:pPr>
              <w:bidi/>
              <w:jc w:val="center"/>
              <w:rPr>
                <w:rFonts w:asciiTheme="majorBidi" w:eastAsia="Times New Roman" w:hAnsiTheme="majorBidi" w:cstheme="majorBidi"/>
                <w:b w:val="0"/>
                <w:bCs w:val="0"/>
                <w:rtl/>
              </w:rPr>
            </w:pPr>
            <w:r>
              <w:rPr>
                <w:rFonts w:asciiTheme="majorBidi" w:eastAsia="Times New Roman" w:hAnsiTheme="majorBidi" w:cstheme="majorBidi"/>
                <w:b w:val="0"/>
                <w:bCs w:val="0"/>
                <w:color w:val="000000"/>
                <w:sz w:val="24"/>
                <w:szCs w:val="24"/>
              </w:rPr>
              <w:t>Data recruitment before the COVID-19 pandemic</w:t>
            </w:r>
          </w:p>
        </w:tc>
        <w:tc>
          <w:tcPr>
            <w:tcW w:w="3119" w:type="dxa"/>
            <w:hideMark/>
          </w:tcPr>
          <w:p w:rsidR="008C233C" w:rsidRPr="008C233C" w:rsidRDefault="008C233C" w:rsidP="008C233C">
            <w:pPr>
              <w:bidi/>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tl/>
              </w:rPr>
            </w:pPr>
            <w:r w:rsidRPr="008C233C">
              <w:rPr>
                <w:rFonts w:asciiTheme="majorBidi" w:eastAsia="Times New Roman" w:hAnsiTheme="majorBidi" w:cstheme="majorBidi"/>
                <w:color w:val="000000"/>
                <w:sz w:val="24"/>
                <w:szCs w:val="24"/>
              </w:rPr>
              <w:t>January 2020 – February 2020</w:t>
            </w:r>
          </w:p>
        </w:tc>
      </w:tr>
      <w:tr w:rsidR="008C233C" w:rsidRPr="008C233C" w:rsidTr="008C233C">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020" w:type="dxa"/>
            <w:noWrap/>
            <w:hideMark/>
          </w:tcPr>
          <w:p w:rsidR="008C233C" w:rsidRPr="008C233C" w:rsidRDefault="008C233C" w:rsidP="008C233C">
            <w:pPr>
              <w:bidi/>
              <w:jc w:val="center"/>
              <w:rPr>
                <w:rFonts w:asciiTheme="majorBidi" w:eastAsia="Times New Roman" w:hAnsiTheme="majorBidi" w:cstheme="majorBidi"/>
                <w:b w:val="0"/>
                <w:bCs w:val="0"/>
                <w:rtl/>
              </w:rPr>
            </w:pPr>
            <w:r>
              <w:rPr>
                <w:rFonts w:asciiTheme="majorBidi" w:eastAsia="Times New Roman" w:hAnsiTheme="majorBidi" w:cstheme="majorBidi"/>
                <w:b w:val="0"/>
                <w:bCs w:val="0"/>
                <w:color w:val="000000"/>
                <w:sz w:val="24"/>
                <w:szCs w:val="24"/>
              </w:rPr>
              <w:t>Adjusting the project to the pandemic situation</w:t>
            </w:r>
          </w:p>
        </w:tc>
        <w:tc>
          <w:tcPr>
            <w:tcW w:w="3119" w:type="dxa"/>
            <w:hideMark/>
          </w:tcPr>
          <w:p w:rsidR="008C233C" w:rsidRPr="008C233C" w:rsidRDefault="008C233C" w:rsidP="008C233C">
            <w:pPr>
              <w:bidi/>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rtl/>
              </w:rPr>
            </w:pPr>
            <w:r w:rsidRPr="008C233C">
              <w:rPr>
                <w:rFonts w:asciiTheme="majorBidi" w:eastAsia="Times New Roman" w:hAnsiTheme="majorBidi" w:cstheme="majorBidi"/>
                <w:color w:val="000000"/>
                <w:sz w:val="24"/>
                <w:szCs w:val="24"/>
              </w:rPr>
              <w:t>September 2020 – November 2020</w:t>
            </w:r>
          </w:p>
        </w:tc>
      </w:tr>
      <w:tr w:rsidR="008C233C" w:rsidRPr="008C233C" w:rsidTr="008C233C">
        <w:trPr>
          <w:trHeight w:val="288"/>
          <w:jc w:val="center"/>
        </w:trPr>
        <w:tc>
          <w:tcPr>
            <w:cnfStyle w:val="001000000000" w:firstRow="0" w:lastRow="0" w:firstColumn="1" w:lastColumn="0" w:oddVBand="0" w:evenVBand="0" w:oddHBand="0" w:evenHBand="0" w:firstRowFirstColumn="0" w:firstRowLastColumn="0" w:lastRowFirstColumn="0" w:lastRowLastColumn="0"/>
            <w:tcW w:w="3020" w:type="dxa"/>
            <w:noWrap/>
            <w:hideMark/>
          </w:tcPr>
          <w:p w:rsidR="008C233C" w:rsidRPr="008C233C" w:rsidRDefault="008C233C" w:rsidP="008C233C">
            <w:pPr>
              <w:bidi/>
              <w:jc w:val="center"/>
              <w:rPr>
                <w:rFonts w:asciiTheme="majorBidi" w:eastAsia="Times New Roman" w:hAnsiTheme="majorBidi" w:cstheme="majorBidi"/>
                <w:b w:val="0"/>
                <w:bCs w:val="0"/>
                <w:rtl/>
              </w:rPr>
            </w:pPr>
            <w:r>
              <w:rPr>
                <w:rFonts w:asciiTheme="majorBidi" w:eastAsia="Times New Roman" w:hAnsiTheme="majorBidi" w:cstheme="majorBidi"/>
                <w:b w:val="0"/>
                <w:bCs w:val="0"/>
                <w:color w:val="000000"/>
                <w:sz w:val="24"/>
                <w:szCs w:val="24"/>
              </w:rPr>
              <w:t>Training and equipping the team</w:t>
            </w:r>
          </w:p>
        </w:tc>
        <w:tc>
          <w:tcPr>
            <w:tcW w:w="3119" w:type="dxa"/>
            <w:hideMark/>
          </w:tcPr>
          <w:p w:rsidR="008C233C" w:rsidRPr="008C233C" w:rsidRDefault="008C233C" w:rsidP="008C233C">
            <w:pPr>
              <w:bidi/>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tl/>
              </w:rPr>
            </w:pPr>
            <w:r w:rsidRPr="008C233C">
              <w:rPr>
                <w:rFonts w:asciiTheme="majorBidi" w:eastAsia="Times New Roman" w:hAnsiTheme="majorBidi" w:cstheme="majorBidi"/>
                <w:color w:val="000000"/>
                <w:sz w:val="24"/>
                <w:szCs w:val="24"/>
              </w:rPr>
              <w:t>December 2020 – January 2021</w:t>
            </w:r>
          </w:p>
        </w:tc>
      </w:tr>
      <w:tr w:rsidR="008C233C" w:rsidRPr="008C233C" w:rsidTr="008C233C">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020" w:type="dxa"/>
            <w:noWrap/>
            <w:hideMark/>
          </w:tcPr>
          <w:p w:rsidR="008C233C" w:rsidRPr="008C233C" w:rsidRDefault="008C233C" w:rsidP="008C233C">
            <w:pPr>
              <w:bidi/>
              <w:jc w:val="center"/>
              <w:rPr>
                <w:rFonts w:ascii="Calibri" w:eastAsia="Times New Roman" w:hAnsi="Calibri" w:cs="Calibri"/>
                <w:rtl/>
              </w:rPr>
            </w:pPr>
            <w:r>
              <w:rPr>
                <w:rFonts w:asciiTheme="majorBidi" w:eastAsia="Times New Roman" w:hAnsiTheme="majorBidi" w:cstheme="majorBidi"/>
                <w:b w:val="0"/>
                <w:bCs w:val="0"/>
                <w:color w:val="000000"/>
                <w:sz w:val="24"/>
                <w:szCs w:val="24"/>
              </w:rPr>
              <w:t>Data recruitment during the COVID-19 pandemic</w:t>
            </w:r>
          </w:p>
        </w:tc>
        <w:tc>
          <w:tcPr>
            <w:tcW w:w="3119" w:type="dxa"/>
            <w:hideMark/>
          </w:tcPr>
          <w:p w:rsidR="008C233C" w:rsidRPr="008C233C" w:rsidRDefault="008C233C" w:rsidP="008C233C">
            <w:pPr>
              <w:bidi/>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rtl/>
              </w:rPr>
            </w:pPr>
            <w:r w:rsidRPr="008C233C">
              <w:rPr>
                <w:rFonts w:asciiTheme="majorBidi" w:eastAsia="Times New Roman" w:hAnsiTheme="majorBidi" w:cstheme="majorBidi"/>
                <w:color w:val="000000"/>
                <w:sz w:val="24"/>
                <w:szCs w:val="24"/>
              </w:rPr>
              <w:t>February 2021 – April 2021</w:t>
            </w:r>
          </w:p>
        </w:tc>
      </w:tr>
      <w:tr w:rsidR="008C233C" w:rsidRPr="008C233C" w:rsidTr="008C233C">
        <w:trPr>
          <w:trHeight w:val="288"/>
          <w:jc w:val="center"/>
        </w:trPr>
        <w:tc>
          <w:tcPr>
            <w:cnfStyle w:val="001000000000" w:firstRow="0" w:lastRow="0" w:firstColumn="1" w:lastColumn="0" w:oddVBand="0" w:evenVBand="0" w:oddHBand="0" w:evenHBand="0" w:firstRowFirstColumn="0" w:firstRowLastColumn="0" w:lastRowFirstColumn="0" w:lastRowLastColumn="0"/>
            <w:tcW w:w="3020" w:type="dxa"/>
            <w:noWrap/>
            <w:hideMark/>
          </w:tcPr>
          <w:p w:rsidR="008C233C" w:rsidRPr="008C233C" w:rsidRDefault="008C233C" w:rsidP="008C233C">
            <w:pPr>
              <w:bidi/>
              <w:jc w:val="center"/>
              <w:rPr>
                <w:rFonts w:asciiTheme="majorBidi" w:eastAsia="Times New Roman" w:hAnsiTheme="majorBidi" w:cstheme="majorBidi"/>
                <w:b w:val="0"/>
                <w:bCs w:val="0"/>
                <w:rtl/>
              </w:rPr>
            </w:pPr>
            <w:r>
              <w:rPr>
                <w:rFonts w:asciiTheme="majorBidi" w:eastAsia="Times New Roman" w:hAnsiTheme="majorBidi" w:cstheme="majorBidi"/>
                <w:b w:val="0"/>
                <w:bCs w:val="0"/>
                <w:color w:val="000000"/>
                <w:sz w:val="24"/>
                <w:szCs w:val="24"/>
              </w:rPr>
              <w:t>Data cleaning and analysis</w:t>
            </w:r>
          </w:p>
        </w:tc>
        <w:tc>
          <w:tcPr>
            <w:tcW w:w="3119" w:type="dxa"/>
            <w:hideMark/>
          </w:tcPr>
          <w:p w:rsidR="008C233C" w:rsidRPr="008C233C" w:rsidRDefault="008C233C" w:rsidP="008C233C">
            <w:pPr>
              <w:bidi/>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tl/>
              </w:rPr>
            </w:pPr>
            <w:r w:rsidRPr="008C233C">
              <w:rPr>
                <w:rFonts w:asciiTheme="majorBidi" w:eastAsia="Times New Roman" w:hAnsiTheme="majorBidi" w:cstheme="majorBidi"/>
                <w:color w:val="000000"/>
                <w:sz w:val="24"/>
                <w:szCs w:val="24"/>
              </w:rPr>
              <w:t>May 2021 – July 2021</w:t>
            </w:r>
          </w:p>
        </w:tc>
      </w:tr>
    </w:tbl>
    <w:p w:rsidR="007A40F3" w:rsidRDefault="007A40F3">
      <w:pPr>
        <w:rPr>
          <w:rFonts w:asciiTheme="majorBidi" w:hAnsiTheme="majorBidi" w:cstheme="majorBidi"/>
          <w:b/>
          <w:bCs/>
          <w:sz w:val="24"/>
          <w:szCs w:val="24"/>
        </w:rPr>
      </w:pPr>
    </w:p>
    <w:p w:rsidR="00FF3FC4" w:rsidRDefault="00C917F4">
      <w:pPr>
        <w:rPr>
          <w:rFonts w:asciiTheme="majorBidi" w:hAnsiTheme="majorBidi" w:cstheme="majorBidi"/>
          <w:b/>
          <w:bCs/>
          <w:sz w:val="24"/>
          <w:szCs w:val="24"/>
        </w:rPr>
      </w:pPr>
      <w:r>
        <w:rPr>
          <w:rFonts w:asciiTheme="majorBidi" w:hAnsiTheme="majorBidi" w:cstheme="majorBidi"/>
          <w:b/>
          <w:bCs/>
          <w:sz w:val="24"/>
          <w:szCs w:val="24"/>
        </w:rPr>
        <w:t xml:space="preserve">Statistical Analysis Plan </w:t>
      </w:r>
      <w:r w:rsidR="00674E46">
        <w:rPr>
          <w:rFonts w:asciiTheme="majorBidi" w:hAnsiTheme="majorBidi" w:cstheme="majorBidi"/>
          <w:b/>
          <w:bCs/>
          <w:sz w:val="24"/>
          <w:szCs w:val="24"/>
        </w:rPr>
        <w:t>(SAP)</w:t>
      </w:r>
    </w:p>
    <w:p w:rsidR="00C917F4" w:rsidRDefault="00C917F4" w:rsidP="0017480F">
      <w:pPr>
        <w:jc w:val="mediumKashida"/>
        <w:rPr>
          <w:rFonts w:asciiTheme="majorBidi" w:eastAsiaTheme="minorEastAsia" w:hAnsiTheme="majorBidi" w:cstheme="majorBidi"/>
          <w:sz w:val="24"/>
          <w:szCs w:val="24"/>
        </w:rPr>
      </w:pPr>
      <w:r>
        <w:rPr>
          <w:rFonts w:asciiTheme="majorBidi" w:eastAsiaTheme="minorEastAsia" w:hAnsiTheme="majorBidi" w:cstheme="majorBidi"/>
          <w:sz w:val="24"/>
          <w:szCs w:val="24"/>
        </w:rPr>
        <w:t xml:space="preserve">The sera were recruited from the participants and the ELISA assay was run. </w:t>
      </w:r>
      <w:r w:rsidR="00D03F5B">
        <w:rPr>
          <w:rFonts w:asciiTheme="majorBidi" w:eastAsiaTheme="minorEastAsia" w:hAnsiTheme="majorBidi" w:cstheme="majorBidi"/>
          <w:sz w:val="24"/>
          <w:szCs w:val="24"/>
        </w:rPr>
        <w:t>The SARS-CoV-2</w:t>
      </w:r>
      <w:r>
        <w:rPr>
          <w:rFonts w:asciiTheme="majorBidi" w:eastAsiaTheme="minorEastAsia" w:hAnsiTheme="majorBidi" w:cstheme="majorBidi"/>
          <w:sz w:val="24"/>
          <w:szCs w:val="24"/>
        </w:rPr>
        <w:t xml:space="preserve"> </w:t>
      </w:r>
      <w:r w:rsidR="00D03F5B">
        <w:rPr>
          <w:rFonts w:asciiTheme="majorBidi" w:eastAsiaTheme="minorEastAsia" w:hAnsiTheme="majorBidi" w:cstheme="majorBidi"/>
          <w:sz w:val="24"/>
          <w:szCs w:val="24"/>
        </w:rPr>
        <w:t>IgG containing individuals were considered seropositive after determining the cut point. After that, t</w:t>
      </w:r>
      <w:r w:rsidRPr="00791A8E">
        <w:rPr>
          <w:rFonts w:asciiTheme="majorBidi" w:eastAsiaTheme="minorEastAsia" w:hAnsiTheme="majorBidi" w:cstheme="majorBidi"/>
          <w:sz w:val="24"/>
          <w:szCs w:val="24"/>
        </w:rPr>
        <w:t xml:space="preserve">he ORs were calculated between all of the </w:t>
      </w:r>
      <w:r w:rsidR="00D03F5B">
        <w:rPr>
          <w:rFonts w:asciiTheme="majorBidi" w:eastAsiaTheme="minorEastAsia" w:hAnsiTheme="majorBidi" w:cstheme="majorBidi"/>
          <w:sz w:val="24"/>
          <w:szCs w:val="24"/>
        </w:rPr>
        <w:t xml:space="preserve">selected </w:t>
      </w:r>
      <w:r w:rsidRPr="00791A8E">
        <w:rPr>
          <w:rFonts w:asciiTheme="majorBidi" w:eastAsiaTheme="minorEastAsia" w:hAnsiTheme="majorBidi" w:cstheme="majorBidi"/>
          <w:sz w:val="24"/>
          <w:szCs w:val="24"/>
        </w:rPr>
        <w:t>variables and IgG seropositivity and the P&lt;0.05 was considered a significant association. The ORs were adjusted by age</w:t>
      </w:r>
      <w:r>
        <w:rPr>
          <w:rFonts w:asciiTheme="majorBidi" w:eastAsiaTheme="minorEastAsia" w:hAnsiTheme="majorBidi" w:cstheme="majorBidi"/>
          <w:sz w:val="24"/>
          <w:szCs w:val="24"/>
        </w:rPr>
        <w:t xml:space="preserve"> group</w:t>
      </w:r>
      <w:r w:rsidRPr="00791A8E">
        <w:rPr>
          <w:rFonts w:asciiTheme="majorBidi" w:eastAsiaTheme="minorEastAsia" w:hAnsiTheme="majorBidi" w:cstheme="majorBidi"/>
          <w:sz w:val="24"/>
          <w:szCs w:val="24"/>
        </w:rPr>
        <w:t xml:space="preserve">, sex, </w:t>
      </w:r>
      <w:r>
        <w:rPr>
          <w:rFonts w:asciiTheme="majorBidi" w:eastAsiaTheme="minorEastAsia" w:hAnsiTheme="majorBidi" w:cstheme="majorBidi"/>
          <w:sz w:val="24"/>
          <w:szCs w:val="24"/>
        </w:rPr>
        <w:t xml:space="preserve">education </w:t>
      </w:r>
      <w:r w:rsidRPr="00791A8E">
        <w:rPr>
          <w:rFonts w:asciiTheme="majorBidi" w:eastAsiaTheme="minorEastAsia" w:hAnsiTheme="majorBidi" w:cstheme="majorBidi"/>
          <w:sz w:val="24"/>
          <w:szCs w:val="24"/>
        </w:rPr>
        <w:t>and wealth</w:t>
      </w:r>
      <w:r>
        <w:rPr>
          <w:rFonts w:asciiTheme="majorBidi" w:eastAsiaTheme="minorEastAsia" w:hAnsiTheme="majorBidi" w:cstheme="majorBidi"/>
          <w:sz w:val="24"/>
          <w:szCs w:val="24"/>
        </w:rPr>
        <w:t xml:space="preserve"> index</w:t>
      </w:r>
      <w:r w:rsidR="00D03F5B">
        <w:rPr>
          <w:rFonts w:asciiTheme="majorBidi" w:eastAsiaTheme="minorEastAsia" w:hAnsiTheme="majorBidi" w:cstheme="majorBidi"/>
          <w:sz w:val="24"/>
          <w:szCs w:val="24"/>
        </w:rPr>
        <w:t xml:space="preserve"> and reported. </w:t>
      </w:r>
    </w:p>
    <w:p w:rsidR="00674E46" w:rsidRDefault="00674E46" w:rsidP="0017480F">
      <w:pPr>
        <w:jc w:val="mediumKashida"/>
        <w:rPr>
          <w:rFonts w:asciiTheme="majorBidi" w:eastAsiaTheme="minorEastAsia" w:hAnsiTheme="majorBidi" w:cstheme="majorBidi"/>
          <w:sz w:val="24"/>
          <w:szCs w:val="24"/>
        </w:rPr>
      </w:pPr>
      <w:r>
        <w:rPr>
          <w:rFonts w:asciiTheme="majorBidi" w:eastAsiaTheme="minorEastAsia" w:hAnsiTheme="majorBidi" w:cstheme="majorBidi"/>
          <w:sz w:val="24"/>
          <w:szCs w:val="24"/>
        </w:rPr>
        <w:t xml:space="preserve">Figure </w:t>
      </w:r>
      <w:r w:rsidR="00565654">
        <w:rPr>
          <w:rFonts w:asciiTheme="majorBidi" w:eastAsiaTheme="minorEastAsia" w:hAnsiTheme="majorBidi" w:cstheme="majorBidi"/>
          <w:sz w:val="24"/>
          <w:szCs w:val="24"/>
        </w:rPr>
        <w:t>S</w:t>
      </w:r>
      <w:r>
        <w:rPr>
          <w:rFonts w:asciiTheme="majorBidi" w:eastAsiaTheme="minorEastAsia" w:hAnsiTheme="majorBidi" w:cstheme="majorBidi"/>
          <w:sz w:val="24"/>
          <w:szCs w:val="24"/>
        </w:rPr>
        <w:t>1: the SAP of the study including the inputs, processing methods, and outputs</w:t>
      </w:r>
    </w:p>
    <w:p w:rsidR="00D03F5B" w:rsidRDefault="00D03F5B">
      <w:pPr>
        <w:rPr>
          <w:rFonts w:asciiTheme="majorBidi" w:hAnsiTheme="majorBidi" w:cstheme="majorBidi"/>
          <w:b/>
          <w:bCs/>
          <w:sz w:val="24"/>
          <w:szCs w:val="24"/>
        </w:rPr>
      </w:pPr>
      <w:r>
        <w:rPr>
          <w:rFonts w:asciiTheme="majorBidi" w:hAnsiTheme="majorBidi" w:cstheme="majorBidi"/>
          <w:b/>
          <w:bCs/>
          <w:noProof/>
          <w:sz w:val="24"/>
          <w:szCs w:val="24"/>
        </w:rPr>
        <w:lastRenderedPageBreak/>
        <w:drawing>
          <wp:inline distT="0" distB="0" distL="0" distR="0">
            <wp:extent cx="6858000" cy="34607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P.jpg"/>
                    <pic:cNvPicPr/>
                  </pic:nvPicPr>
                  <pic:blipFill>
                    <a:blip r:embed="rId7">
                      <a:extLst>
                        <a:ext uri="{28A0092B-C50C-407E-A947-70E740481C1C}">
                          <a14:useLocalDpi xmlns:a14="http://schemas.microsoft.com/office/drawing/2010/main" val="0"/>
                        </a:ext>
                      </a:extLst>
                    </a:blip>
                    <a:stretch>
                      <a:fillRect/>
                    </a:stretch>
                  </pic:blipFill>
                  <pic:spPr>
                    <a:xfrm>
                      <a:off x="0" y="0"/>
                      <a:ext cx="6858000" cy="3460750"/>
                    </a:xfrm>
                    <a:prstGeom prst="rect">
                      <a:avLst/>
                    </a:prstGeom>
                  </pic:spPr>
                </pic:pic>
              </a:graphicData>
            </a:graphic>
          </wp:inline>
        </w:drawing>
      </w:r>
    </w:p>
    <w:p w:rsidR="00C8469F" w:rsidRDefault="00C8469F">
      <w:pPr>
        <w:rPr>
          <w:rFonts w:asciiTheme="majorBidi" w:hAnsiTheme="majorBidi" w:cstheme="majorBidi"/>
          <w:b/>
          <w:bCs/>
          <w:sz w:val="24"/>
          <w:szCs w:val="24"/>
        </w:rPr>
      </w:pPr>
    </w:p>
    <w:p w:rsidR="00802242" w:rsidRDefault="00FF3FC4">
      <w:pPr>
        <w:rPr>
          <w:rFonts w:asciiTheme="majorBidi" w:hAnsiTheme="majorBidi" w:cstheme="majorBidi"/>
          <w:b/>
          <w:bCs/>
          <w:sz w:val="24"/>
          <w:szCs w:val="24"/>
        </w:rPr>
      </w:pPr>
      <w:r w:rsidRPr="00FF3FC4">
        <w:rPr>
          <w:rFonts w:asciiTheme="majorBidi" w:hAnsiTheme="majorBidi" w:cstheme="majorBidi"/>
          <w:b/>
          <w:bCs/>
          <w:sz w:val="24"/>
          <w:szCs w:val="24"/>
        </w:rPr>
        <w:t>Testing method</w:t>
      </w:r>
    </w:p>
    <w:p w:rsidR="005012A2" w:rsidRDefault="00D03F5B" w:rsidP="00883285">
      <w:pPr>
        <w:jc w:val="mediumKashida"/>
        <w:rPr>
          <w:rFonts w:asciiTheme="majorBidi" w:hAnsiTheme="majorBidi" w:cstheme="majorBidi"/>
          <w:sz w:val="24"/>
          <w:szCs w:val="24"/>
          <w:lang w:bidi="fa-IR"/>
        </w:rPr>
      </w:pPr>
      <w:r>
        <w:rPr>
          <w:rFonts w:asciiTheme="majorBidi" w:hAnsiTheme="majorBidi" w:cstheme="majorBidi"/>
          <w:sz w:val="24"/>
          <w:szCs w:val="24"/>
          <w:lang w:bidi="fa-IR"/>
        </w:rPr>
        <w:t xml:space="preserve">Samples </w:t>
      </w:r>
      <w:r w:rsidR="00802197">
        <w:rPr>
          <w:rFonts w:asciiTheme="majorBidi" w:hAnsiTheme="majorBidi" w:cstheme="majorBidi"/>
          <w:sz w:val="24"/>
          <w:szCs w:val="24"/>
          <w:lang w:bidi="fa-IR"/>
        </w:rPr>
        <w:t xml:space="preserve">were recruited and stored in EDTA-coated tubes. The sera were centrifuged after ID labeling. </w:t>
      </w:r>
      <w:r w:rsidR="004E2BFD">
        <w:rPr>
          <w:rFonts w:asciiTheme="majorBidi" w:hAnsiTheme="majorBidi" w:cstheme="majorBidi"/>
          <w:sz w:val="24"/>
          <w:szCs w:val="24"/>
          <w:lang w:bidi="fa-IR"/>
        </w:rPr>
        <w:t xml:space="preserve">After that, following the manufacturer’s instructions, the IgG against SARS-CoV-2 were assessed using the Iran’s FDA-approved ELISA kit (Pishtaz Teb </w:t>
      </w:r>
      <w:r w:rsidR="004E2BFD" w:rsidRPr="004E2BFD">
        <w:rPr>
          <w:rFonts w:asciiTheme="majorBidi" w:hAnsiTheme="majorBidi" w:cstheme="majorBidi"/>
          <w:sz w:val="24"/>
          <w:szCs w:val="24"/>
          <w:lang w:bidi="fa-IR"/>
        </w:rPr>
        <w:t>SARS-CoV-2 ELISA kits</w:t>
      </w:r>
      <w:r w:rsidR="004E2BFD">
        <w:rPr>
          <w:rFonts w:asciiTheme="majorBidi" w:hAnsiTheme="majorBidi" w:cstheme="majorBidi"/>
          <w:sz w:val="24"/>
          <w:szCs w:val="24"/>
          <w:lang w:bidi="fa-IR"/>
        </w:rPr>
        <w:t>)</w:t>
      </w:r>
      <w:r w:rsidR="00447AF2">
        <w:rPr>
          <w:rFonts w:asciiTheme="majorBidi" w:hAnsiTheme="majorBidi" w:cstheme="majorBidi"/>
          <w:sz w:val="24"/>
          <w:szCs w:val="24"/>
          <w:lang w:bidi="fa-IR"/>
        </w:rPr>
        <w:t xml:space="preserve"> </w:t>
      </w:r>
      <w:r w:rsidR="00447AF2">
        <w:rPr>
          <w:rFonts w:asciiTheme="majorBidi" w:hAnsiTheme="majorBidi" w:cstheme="majorBidi"/>
          <w:sz w:val="24"/>
          <w:szCs w:val="24"/>
          <w:lang w:bidi="fa-IR"/>
        </w:rPr>
        <w:fldChar w:fldCharType="begin" w:fldLock="1"/>
      </w:r>
      <w:r w:rsidR="00447AF2">
        <w:rPr>
          <w:rFonts w:asciiTheme="majorBidi" w:hAnsiTheme="majorBidi" w:cstheme="majorBidi"/>
          <w:sz w:val="24"/>
          <w:szCs w:val="24"/>
          <w:lang w:bidi="fa-IR"/>
        </w:rPr>
        <w:instrText>ADDIN CSL_CITATION {"citationItems":[{"id":"ITEM-1","itemData":{"DOI":"10.1016/S1473-3099(20)30858-6","ISSN":"1474-4457","PMID":"33338441","abstract":"Background: Rapid increases in cases of COVID-19 were observed in multiple cities in Iran towards the start of the pandemic. However, the true infection rate remains unknown. We aimed to assess the seroprevalence of antibodies against severe acute respiratory syndrome coronavirus 2 (SARS-CoV-2) in 18 cities of Iran as an indicator of the infection rate. Methods: In this population-based cross-sectional study, we randomly selected and invited study participants from the general population (from lists of people registered with the Iranian electronic health record system or health-care centres) and a high-risk population of individuals likely to have close social contact with SARS-CoV-2-infected individuals through their occupation (from employee lists provided by relevant agencies or companies, such as supermarket chains) across 18 cities in 17 Iranian provinces. Participants were asked questions on their demographic characteristics, medical history, recent COVID-19-related symptoms, and COVID-19-related exposures. Iran Food and Drug Administration-approved Pishtaz Teb SARS-CoV-2 ELISA kits were used to detect SARS-CoV-2-specific IgG and IgM antibodies in blood samples from participants. Seroprevalence was estimated on the basis of ELISA test results and adjusted for population weighting (by age, sex, and city population size) and test performance (according to our independent validation of sensitivity and specificity). Findings: From 9181 individuals who were initially contacted between April 17 and June 2, 2020, 243 individuals refused to provide blood samples and 36 did not provide demographic information and were excluded from the analysis. Among the 8902 individuals included in the analysis, 5372 had occupations with a high risk of exposure to SARS-CoV-2 and 3530 were recruited from the general population. The overall population weight-adjusted and test performance-adjusted prevalence of antibody seropositivity in the general population was 17·1% (95% CI 14·6–19·5), implying that 4 265 542 (95% CI 3 659 043–4 887 078) individuals from the 18 cities included were infected by the end of April, 2020. The adjusted seroprevalence of SARS-CoV-2-specific antibodies varied greatly by city, with the highest estimates found in Rasht (72·6% [53·9–92·8]) and Qom (58·5% [37·2–83·9]). The overall population weight-adjusted and test performance-adjusted seroprevalence in the high-risk population was 20·0% (18·5–21·7) and showed little variation between the occupati…","author":[{"dropping-particle":"","family":"Poustchi","given":"Hossein","non-dropping-particle":"","parse-names":false,"suffix":""},{"dropping-particle":"","family":"Darvishian","given":"Maryam","non-dropping-particle":"","parse-names":false,"suffix":""},{"dropping-particle":"","family":"Mohammadi","given":"Zahra","non-dropping-particle":"","parse-names":false,"suffix":""},{"dropping-particle":"","family":"Shayanrad","given":"Amaneh","non-dropping-particle":"","parse-names":false,"suffix":""},{"dropping-particle":"","family":"Delavari","given":"Alireza","non-dropping-particle":"","parse-names":false,"suffix":""},{"dropping-particle":"","family":"Bahadorimonfared","given":"Ayad","non-dropping-particle":"","parse-names":false,"suffix":""},{"dropping-particle":"","family":"Eslami","given":"Saeid","non-dropping-particle":"","parse-names":false,"suffix":""},{"dropping-particle":"","family":"Javanmard","given":"Shaghayegh Haghjooy","non-dropping-particle":"","parse-names":false,"suffix":""},{"dropping-particle":"","family":"Shakiba","given":"Ebrahim","non-dropping-particle":"","parse-names":false,"suffix":""},{"dropping-particle":"","family":"Somi","given":"Mohammad Hossein","non-dropping-particle":"","parse-names":false,"suffix":""},{"dropping-particle":"","family":"Emami","given":"Amir","non-dropping-particle":"","parse-names":false,"suffix":""},{"dropping-particle":"","family":"Saki","given":"Nader","non-dropping-particle":"","parse-names":false,"suffix":""},{"dropping-particle":"","family":"Hormati","given":"Ahmad","non-dropping-particle":"","parse-names":false,"suffix":""},{"dropping-particle":"","family":"Ansari-Moghaddam","given":"Alireza","non-dropping-particle":"","parse-names":false,"suffix":""},{"dropping-particle":"","family":"Saeedi","given":"Majid","non-dropping-particle":"","parse-names":false,"suffix":""},{"dropping-particle":"","family":"Ghasemi-Kebria","given":"Fatemeh","non-dropping-particle":"","parse-names":false,"suffix":""},{"dropping-particle":"","family":"Mohebbi","given":"Iraj","non-dropping-particle":"","parse-names":false,"suffix":""},{"dropping-particle":"","family":"Mansour-Ghanaei","given":"Fariborz","non-dropping-particle":"","parse-names":false,"suffix":""},{"dropping-particle":"","family":"Karami","given":"Manoochehr","non-dropping-particle":"","parse-names":false,"suffix":""},{"dropping-particle":"","family":"Sharifi","given":"Hamid","non-dropping-particle":"","parse-names":false,"suffix":""},{"dropping-particle":"","family":"Pourfarzi","given":"Farhad","non-dropping-particle":"","parse-names":false,"suffix":""},{"dropping-particle":"","family":"Veisi","given":"Nasrollah","non-dropping-particle":"","parse-names":false,"suffix":""},{"dropping-particle":"","family":"Ghadimi","given":"Reza","non-dropping-particle":"","parse-names":false,"suffix":""},{"dropping-particle":"","family":"Eghtesad","given":"Sareh","non-dropping-particle":"","parse-names":false,"suffix":""},{"dropping-particle":"","family":"Niavarani","given":"Ahmadreza","non-dropping-particle":"","parse-names":false,"suffix":""},{"dropping-particle":"","family":"Ali Asgari","given":"Ali","non-dropping-particle":"","parse-names":false,"suffix":""},{"dropping-particle":"","family":"Sadeghi","given":"Anahita","non-dropping-particle":"","parse-names":false,"suffix":""},{"dropping-particle":"","family":"Sorouri","given":"Majid","non-dropping-particle":"","parse-names":false,"suffix":""},{"dropping-particle":"","family":"Anushiravani","given":"Amir","non-dropping-particle":"","parse-names":false,"suffix":""},{"dropping-particle":"","family":"Amani","given":"Mohammad","non-dropping-particle":"","parse-names":false,"suffix":""},{"dropping-particle":"","family":"Kaveh","given":"Soudeh","non-dropping-particle":"","parse-names":false,"suffix":""},{"dropping-particle":"","family":"Feizesani","given":"Akbar","non-dropping-particle":"","parse-names":false,"suffix":""},{"dropping-particle":"","family":"Tabarsi","given":"Payam","non-dropping-particle":"","parse-names":false,"suffix":""},{"dropping-particle":"","family":"Keyvani","given":"Hossein","non-dropping-particle":"","parse-names":false,"suffix":""},{"dropping-particle":"","family":"Markarian","given":"Melineh","non-dropping-particle":"","parse-names":false,"suffix":""},{"dropping-particle":"","family":"Shafighian","given":"Fatemeh","non-dropping-particle":"","parse-names":false,"suffix":""},{"dropping-particle":"","family":"Sima","given":"Alireza","non-dropping-particle":"","parse-names":false,"suffix":""},{"dropping-particle":"","family":"Sadjadi","given":"Alireza","non-dropping-particle":"","parse-names":false,"suffix":""},{"dropping-particle":"","family":"Radmard","given":"Amir Reza","non-dropping-particle":"","parse-names":false,"suffix":""},{"dropping-particle":"","family":"Mokdad","given":"Ali H.","non-dropping-particle":"","parse-names":false,"suffix":""},{"dropping-particle":"","family":"Sharafkhah","given":"Maryam","non-dropping-particle":"","parse-names":false,"suffix":""},{"dropping-particle":"","family":"Malekzadeh","given":"Reza","non-dropping-particle":"","parse-names":false,"suffix":""}],"container-title":"The Lancet. Infectious diseases","id":"ITEM-1","issue":"4","issued":{"date-parts":[["2021","4","1"]]},"page":"473-481","publisher":"Lancet Infect Dis","title":"SARS-CoV-2 antibody seroprevalence in the general population and high-risk occupational groups across 18 cities in Iran: a population-based cross-sectional study","type":"article-journal","volume":"21"},"uris":["http://www.mendeley.com/documents/?uuid=b92f3a93-c4a6-3f43-bac6-d87f11f3ab1e"]}],"mendeley":{"formattedCitation":"(1)","plainTextFormattedCitation":"(1)","previouslyFormattedCitation":"(1)"},"properties":{"noteIndex":0},"schema":"https://github.com/citation-style-language/schema/raw/master/csl-citation.json"}</w:instrText>
      </w:r>
      <w:r w:rsidR="00447AF2">
        <w:rPr>
          <w:rFonts w:asciiTheme="majorBidi" w:hAnsiTheme="majorBidi" w:cstheme="majorBidi"/>
          <w:sz w:val="24"/>
          <w:szCs w:val="24"/>
          <w:lang w:bidi="fa-IR"/>
        </w:rPr>
        <w:fldChar w:fldCharType="separate"/>
      </w:r>
      <w:r w:rsidR="00447AF2" w:rsidRPr="00447AF2">
        <w:rPr>
          <w:rFonts w:asciiTheme="majorBidi" w:hAnsiTheme="majorBidi" w:cstheme="majorBidi"/>
          <w:noProof/>
          <w:sz w:val="24"/>
          <w:szCs w:val="24"/>
          <w:lang w:bidi="fa-IR"/>
        </w:rPr>
        <w:t>(1)</w:t>
      </w:r>
      <w:r w:rsidR="00447AF2">
        <w:rPr>
          <w:rFonts w:asciiTheme="majorBidi" w:hAnsiTheme="majorBidi" w:cstheme="majorBidi"/>
          <w:sz w:val="24"/>
          <w:szCs w:val="24"/>
          <w:lang w:bidi="fa-IR"/>
        </w:rPr>
        <w:fldChar w:fldCharType="end"/>
      </w:r>
      <w:r w:rsidR="004E2BFD">
        <w:rPr>
          <w:rFonts w:asciiTheme="majorBidi" w:hAnsiTheme="majorBidi" w:cstheme="majorBidi"/>
          <w:sz w:val="24"/>
          <w:szCs w:val="24"/>
          <w:lang w:bidi="fa-IR"/>
        </w:rPr>
        <w:t xml:space="preserve">. </w:t>
      </w:r>
      <w:r w:rsidR="005012A2">
        <w:rPr>
          <w:rFonts w:asciiTheme="majorBidi" w:hAnsiTheme="majorBidi" w:cstheme="majorBidi"/>
          <w:sz w:val="24"/>
          <w:szCs w:val="24"/>
          <w:lang w:bidi="fa-IR"/>
        </w:rPr>
        <w:t>The basis of this test is the N antigen of SARS-CoV-2 which is attached to the tubes</w:t>
      </w:r>
      <w:r w:rsidR="0017480F">
        <w:rPr>
          <w:rFonts w:asciiTheme="majorBidi" w:hAnsiTheme="majorBidi" w:cstheme="majorBidi"/>
          <w:sz w:val="24"/>
          <w:szCs w:val="24"/>
          <w:lang w:bidi="fa-IR"/>
        </w:rPr>
        <w:t>. The sera samples are added to them and i</w:t>
      </w:r>
      <w:r w:rsidR="005012A2">
        <w:rPr>
          <w:rFonts w:asciiTheme="majorBidi" w:hAnsiTheme="majorBidi" w:cstheme="majorBidi"/>
          <w:sz w:val="24"/>
          <w:szCs w:val="24"/>
          <w:lang w:bidi="fa-IR"/>
        </w:rPr>
        <w:t>f the sera contains anti-SARS-CoV-2 antibodies (i.e., IgG), it will</w:t>
      </w:r>
      <w:r w:rsidR="0017480F">
        <w:rPr>
          <w:rFonts w:asciiTheme="majorBidi" w:hAnsiTheme="majorBidi" w:cstheme="majorBidi"/>
          <w:sz w:val="24"/>
          <w:szCs w:val="24"/>
          <w:lang w:bidi="fa-IR"/>
        </w:rPr>
        <w:t xml:space="preserve"> bind to the antigen. Subsequently,</w:t>
      </w:r>
      <w:r w:rsidR="005012A2">
        <w:rPr>
          <w:rFonts w:asciiTheme="majorBidi" w:hAnsiTheme="majorBidi" w:cstheme="majorBidi"/>
          <w:sz w:val="24"/>
          <w:szCs w:val="24"/>
          <w:lang w:bidi="fa-IR"/>
        </w:rPr>
        <w:t xml:space="preserve"> IgG will be labeled and after washing, the OD will be determined at 450nm. </w:t>
      </w:r>
    </w:p>
    <w:p w:rsidR="00FF3FC4" w:rsidRDefault="00FF3FC4" w:rsidP="005012A2">
      <w:pPr>
        <w:rPr>
          <w:rFonts w:asciiTheme="majorBidi" w:hAnsiTheme="majorBidi" w:cstheme="majorBidi"/>
          <w:b/>
          <w:bCs/>
          <w:sz w:val="24"/>
          <w:szCs w:val="24"/>
        </w:rPr>
      </w:pPr>
      <w:r>
        <w:rPr>
          <w:rFonts w:asciiTheme="majorBidi" w:hAnsiTheme="majorBidi" w:cstheme="majorBidi"/>
          <w:b/>
          <w:bCs/>
          <w:sz w:val="24"/>
          <w:szCs w:val="24"/>
        </w:rPr>
        <w:t>Variables definition</w:t>
      </w:r>
    </w:p>
    <w:p w:rsidR="00836404" w:rsidRDefault="00836404" w:rsidP="00883285">
      <w:pPr>
        <w:jc w:val="mediumKashida"/>
        <w:rPr>
          <w:rFonts w:asciiTheme="majorBidi" w:hAnsiTheme="majorBidi" w:cstheme="majorBidi"/>
          <w:sz w:val="24"/>
          <w:szCs w:val="24"/>
        </w:rPr>
      </w:pPr>
      <w:r>
        <w:rPr>
          <w:rFonts w:asciiTheme="majorBidi" w:hAnsiTheme="majorBidi" w:cstheme="majorBidi"/>
          <w:b/>
          <w:bCs/>
          <w:sz w:val="24"/>
          <w:szCs w:val="24"/>
        </w:rPr>
        <w:t>Quality of life:</w:t>
      </w:r>
      <w:r w:rsidR="0031030C">
        <w:rPr>
          <w:rFonts w:asciiTheme="majorBidi" w:hAnsiTheme="majorBidi" w:cstheme="majorBidi"/>
          <w:b/>
          <w:bCs/>
          <w:sz w:val="24"/>
          <w:szCs w:val="24"/>
        </w:rPr>
        <w:t xml:space="preserve"> </w:t>
      </w:r>
      <w:r w:rsidR="0031030C">
        <w:rPr>
          <w:rFonts w:asciiTheme="majorBidi" w:hAnsiTheme="majorBidi" w:cstheme="majorBidi"/>
          <w:sz w:val="24"/>
          <w:szCs w:val="24"/>
        </w:rPr>
        <w:t>the quality of life in this study is measured using the</w:t>
      </w:r>
      <w:r w:rsidR="00883285">
        <w:rPr>
          <w:rFonts w:asciiTheme="majorBidi" w:hAnsiTheme="majorBidi" w:cstheme="majorBidi"/>
          <w:sz w:val="24"/>
          <w:szCs w:val="24"/>
        </w:rPr>
        <w:t xml:space="preserve"> </w:t>
      </w:r>
      <w:r w:rsidR="00883285" w:rsidRPr="00883285">
        <w:rPr>
          <w:rFonts w:asciiTheme="majorBidi" w:hAnsiTheme="majorBidi" w:cstheme="majorBidi"/>
          <w:sz w:val="24"/>
          <w:szCs w:val="24"/>
        </w:rPr>
        <w:t>The EuroQol five-dimension (EQ-5D)</w:t>
      </w:r>
      <w:r w:rsidR="00883285">
        <w:rPr>
          <w:rFonts w:asciiTheme="majorBidi" w:hAnsiTheme="majorBidi" w:cstheme="majorBidi"/>
          <w:sz w:val="24"/>
          <w:szCs w:val="24"/>
        </w:rPr>
        <w:t xml:space="preserve"> 3L version</w:t>
      </w:r>
      <w:r w:rsidR="0031030C">
        <w:rPr>
          <w:rFonts w:asciiTheme="majorBidi" w:hAnsiTheme="majorBidi" w:cstheme="majorBidi"/>
          <w:sz w:val="24"/>
          <w:szCs w:val="24"/>
        </w:rPr>
        <w:t xml:space="preserve"> questionnaire</w:t>
      </w:r>
      <w:r w:rsidR="00447AF2">
        <w:rPr>
          <w:rFonts w:asciiTheme="majorBidi" w:hAnsiTheme="majorBidi" w:cstheme="majorBidi"/>
          <w:sz w:val="24"/>
          <w:szCs w:val="24"/>
        </w:rPr>
        <w:t xml:space="preserve"> </w:t>
      </w:r>
      <w:r w:rsidR="00447AF2">
        <w:rPr>
          <w:rFonts w:asciiTheme="majorBidi" w:hAnsiTheme="majorBidi" w:cstheme="majorBidi"/>
          <w:sz w:val="24"/>
          <w:szCs w:val="24"/>
        </w:rPr>
        <w:fldChar w:fldCharType="begin" w:fldLock="1"/>
      </w:r>
      <w:r w:rsidR="00883285">
        <w:rPr>
          <w:rFonts w:asciiTheme="majorBidi" w:hAnsiTheme="majorBidi" w:cstheme="majorBidi"/>
          <w:sz w:val="24"/>
          <w:szCs w:val="24"/>
        </w:rPr>
        <w:instrText>ADDIN CSL_CITATION {"citationItems":[{"id":"ITEM-1","itemData":{"DOI":"10.1016/J.DSX.2021.01.009","ISSN":"1871-4021","PMID":"33486224","abstract":"Background and aims: The psychometric properties of the EQ-5D-3L (a generic preference-based instrument used for calculating quality-adjusted Life –years) have not been known for any type of disease in Iran. This study aimed to assess its validity and reliability in patients with type 2 diabetes. Methods: Data of 579 patients were collected from the Diabetes Research Center and Clinics in Yazd using EQ-5D-3L, SF-36, and DQoL instruments. The ceiling effects were computed for the EQ-5D-3L index and EQ VAS. The construct validity was assessed by using convergent validity, discriminant validity, and known-groups validity. Reliability was assessed using Cohen's kappa value, Cronbach's alpha, and intra-class correlation coefficient. Results: The ceiling effects of EQ-5D-3L and EQ VAS were 20.18% and 15.33%, respectively. The highest degree of correlation was found between the pain/discomfort of EQ-5D and the BP scale of the SF-36 (0.55). Higher scores of all scales of the DQoL were associated with patients reporting no problems in each EQ-5D dimension. The mean of EQ-5D-3L index and EQ VAS scores were significantly higher in the male, married, and employed patients, and they did not have retinopathy, nephropathy, IHD, hypertension, DFU. The range of kappa values was from 0.39 to 0.71, and value of ICC for the EQ-5D-3L index and EQ VAS was 0.76 and 0.64, respectively. Cronbach's alpha was 0.87 for EQ-5D-3L and 0.74 for EQ VAS. Conclusions: Our findings demonstrated good construct validity and moderate to good levels of reliability of the EQ-5D-3L for using in the patients with diabetes, and it can be used in research or clinical practice in Iran and other regions of the Middle East.","author":[{"dropping-particle":"","family":"Zare","given":"Forouzan","non-dropping-particle":"","parse-names":false,"suffix":""},{"dropping-particle":"","family":"Ameri","given":"Hosein","non-dropping-particle":"","parse-names":false,"suffix":""},{"dropping-particle":"","family":"Madadizadeh","given":"Farzan","non-dropping-particle":"","parse-names":false,"suffix":""},{"dropping-particle":"","family":"Aghaei","given":"Mohammad Reza","non-dropping-particle":"","parse-names":false,"suffix":""}],"container-title":"Diabetes &amp; Metabolic Syndrome: Clinical Research &amp; Reviews","id":"ITEM-1","issue":"1","issued":{"date-parts":[["2021","1","1"]]},"page":"319-324","publisher":"Elsevier","title":"Validity and reliability of the EQ-5D-3L (a generic preference-based instrument used for calculating quality-adjusted life -years) for patients with type 2 diabetes in Iran","type":"article-journal","volume":"15"},"uris":["http://www.mendeley.com/documents/?uuid=18cb54a1-d51c-3ee5-abf7-6e63f565b340"]}],"mendeley":{"formattedCitation":"(2)","plainTextFormattedCitation":"(2)"},"properties":{"noteIndex":0},"schema":"https://github.com/citation-style-language/schema/raw/master/csl-citation.json"}</w:instrText>
      </w:r>
      <w:r w:rsidR="00447AF2">
        <w:rPr>
          <w:rFonts w:asciiTheme="majorBidi" w:hAnsiTheme="majorBidi" w:cstheme="majorBidi"/>
          <w:sz w:val="24"/>
          <w:szCs w:val="24"/>
        </w:rPr>
        <w:fldChar w:fldCharType="separate"/>
      </w:r>
      <w:r w:rsidR="00447AF2" w:rsidRPr="00883285">
        <w:rPr>
          <w:rFonts w:asciiTheme="majorBidi" w:hAnsiTheme="majorBidi" w:cstheme="majorBidi"/>
          <w:noProof/>
          <w:sz w:val="24"/>
          <w:szCs w:val="24"/>
        </w:rPr>
        <w:t>(2)</w:t>
      </w:r>
      <w:r w:rsidR="00447AF2">
        <w:rPr>
          <w:rFonts w:asciiTheme="majorBidi" w:hAnsiTheme="majorBidi" w:cstheme="majorBidi"/>
          <w:sz w:val="24"/>
          <w:szCs w:val="24"/>
        </w:rPr>
        <w:fldChar w:fldCharType="end"/>
      </w:r>
      <w:r w:rsidR="0031030C">
        <w:rPr>
          <w:rFonts w:asciiTheme="majorBidi" w:hAnsiTheme="majorBidi" w:cstheme="majorBidi"/>
          <w:sz w:val="24"/>
          <w:szCs w:val="24"/>
        </w:rPr>
        <w:t xml:space="preserve">. This questionnaire results in a score ranging from 0 to 100 which in this study is divided into five quantiles. </w:t>
      </w:r>
    </w:p>
    <w:p w:rsidR="008E6004" w:rsidRPr="0031030C" w:rsidRDefault="008E6004" w:rsidP="008E6004">
      <w:pPr>
        <w:jc w:val="mediumKashida"/>
        <w:rPr>
          <w:rFonts w:asciiTheme="majorBidi" w:hAnsiTheme="majorBidi" w:cstheme="majorBidi"/>
          <w:sz w:val="24"/>
          <w:szCs w:val="24"/>
        </w:rPr>
      </w:pPr>
      <w:r w:rsidRPr="00836404">
        <w:rPr>
          <w:rFonts w:asciiTheme="majorBidi" w:hAnsiTheme="majorBidi" w:cstheme="majorBidi"/>
          <w:b/>
          <w:bCs/>
          <w:sz w:val="24"/>
          <w:szCs w:val="24"/>
        </w:rPr>
        <w:t>Wealth index:</w:t>
      </w:r>
      <w:r>
        <w:rPr>
          <w:rFonts w:asciiTheme="majorBidi" w:hAnsiTheme="majorBidi" w:cstheme="majorBidi"/>
          <w:b/>
          <w:bCs/>
          <w:sz w:val="24"/>
          <w:szCs w:val="24"/>
        </w:rPr>
        <w:t xml:space="preserve"> </w:t>
      </w:r>
      <w:r>
        <w:rPr>
          <w:rFonts w:asciiTheme="majorBidi" w:hAnsiTheme="majorBidi" w:cstheme="majorBidi"/>
          <w:sz w:val="24"/>
          <w:szCs w:val="24"/>
        </w:rPr>
        <w:t>w</w:t>
      </w:r>
      <w:r w:rsidRPr="0055259B">
        <w:rPr>
          <w:rFonts w:asciiTheme="majorBidi" w:hAnsiTheme="majorBidi" w:cstheme="majorBidi"/>
          <w:sz w:val="24"/>
          <w:szCs w:val="24"/>
        </w:rPr>
        <w:t xml:space="preserve">ealth index is an instrument that measures the economic status of households calculated </w:t>
      </w:r>
      <w:r>
        <w:rPr>
          <w:rFonts w:asciiTheme="majorBidi" w:hAnsiTheme="majorBidi" w:cstheme="majorBidi"/>
          <w:sz w:val="24"/>
          <w:szCs w:val="24"/>
        </w:rPr>
        <w:t xml:space="preserve">based on </w:t>
      </w:r>
      <w:r w:rsidRPr="0055259B">
        <w:rPr>
          <w:rFonts w:asciiTheme="majorBidi" w:hAnsiTheme="majorBidi" w:cstheme="majorBidi"/>
          <w:sz w:val="24"/>
          <w:szCs w:val="24"/>
        </w:rPr>
        <w:t>assets by using principal component analysis.</w:t>
      </w:r>
      <w:r>
        <w:rPr>
          <w:rFonts w:asciiTheme="majorBidi" w:hAnsiTheme="majorBidi" w:cstheme="majorBidi"/>
          <w:sz w:val="24"/>
          <w:szCs w:val="24"/>
        </w:rPr>
        <w:t xml:space="preserve"> The assets include material of house, type of possession of</w:t>
      </w:r>
      <w:r w:rsidRPr="0055259B">
        <w:rPr>
          <w:rFonts w:asciiTheme="majorBidi" w:hAnsiTheme="majorBidi" w:cstheme="majorBidi"/>
          <w:sz w:val="24"/>
          <w:szCs w:val="24"/>
        </w:rPr>
        <w:t xml:space="preserve"> residence</w:t>
      </w:r>
      <w:r>
        <w:rPr>
          <w:rFonts w:asciiTheme="majorBidi" w:hAnsiTheme="majorBidi" w:cstheme="majorBidi"/>
          <w:sz w:val="24"/>
          <w:szCs w:val="24"/>
        </w:rPr>
        <w:t xml:space="preserve">, having car or not, having how many cars, the type of car, house facilities including piped water, piped gas, electricity, bathroom, landline phone, kitchen, air conditioner, heating system, internet, type of television, refrigerator, freezer, oven, vacuum cleaner, washing machine, dish washer, dryer machine, personal computer, laptop, mobile phone, microwave oven, and the type of fuel used for various purposes. </w:t>
      </w:r>
    </w:p>
    <w:p w:rsidR="00D90E2B" w:rsidRDefault="00D90E2B" w:rsidP="00447AF2">
      <w:pPr>
        <w:jc w:val="mediumKashida"/>
        <w:rPr>
          <w:rFonts w:asciiTheme="majorBidi" w:hAnsiTheme="majorBidi" w:cstheme="majorBidi"/>
          <w:sz w:val="24"/>
          <w:szCs w:val="24"/>
        </w:rPr>
      </w:pPr>
      <w:r w:rsidRPr="00216D44">
        <w:rPr>
          <w:rFonts w:asciiTheme="majorBidi" w:hAnsiTheme="majorBidi" w:cstheme="majorBidi"/>
          <w:b/>
          <w:bCs/>
          <w:sz w:val="24"/>
          <w:szCs w:val="24"/>
        </w:rPr>
        <w:t>Metabolic Equivalent of Task (MET):</w:t>
      </w:r>
      <w:r>
        <w:rPr>
          <w:rFonts w:asciiTheme="majorBidi" w:hAnsiTheme="majorBidi" w:cstheme="majorBidi"/>
          <w:sz w:val="24"/>
          <w:szCs w:val="24"/>
        </w:rPr>
        <w:t xml:space="preserve"> MET score is calculated from the</w:t>
      </w:r>
      <w:r w:rsidRPr="00D90E2B">
        <w:t xml:space="preserve"> </w:t>
      </w:r>
      <w:r w:rsidRPr="00D90E2B">
        <w:rPr>
          <w:rFonts w:asciiTheme="majorBidi" w:hAnsiTheme="majorBidi" w:cstheme="majorBidi"/>
          <w:sz w:val="24"/>
          <w:szCs w:val="24"/>
        </w:rPr>
        <w:t>Global Physical Activ</w:t>
      </w:r>
      <w:r>
        <w:rPr>
          <w:rFonts w:asciiTheme="majorBidi" w:hAnsiTheme="majorBidi" w:cstheme="majorBidi"/>
          <w:sz w:val="24"/>
          <w:szCs w:val="24"/>
        </w:rPr>
        <w:t>ity Questionnaire (GPAQ)</w:t>
      </w:r>
      <w:r w:rsidRPr="00D90E2B">
        <w:rPr>
          <w:rFonts w:asciiTheme="majorBidi" w:hAnsiTheme="majorBidi" w:cstheme="majorBidi"/>
          <w:sz w:val="24"/>
          <w:szCs w:val="24"/>
        </w:rPr>
        <w:t xml:space="preserve"> used in WHO STEPS methods</w:t>
      </w:r>
      <w:r>
        <w:rPr>
          <w:rFonts w:asciiTheme="majorBidi" w:hAnsiTheme="majorBidi" w:cstheme="majorBidi"/>
          <w:sz w:val="24"/>
          <w:szCs w:val="24"/>
        </w:rPr>
        <w:t xml:space="preserve"> to evaluate the physical activity in a person</w:t>
      </w:r>
      <w:r w:rsidR="00447AF2">
        <w:rPr>
          <w:rFonts w:asciiTheme="majorBidi" w:hAnsiTheme="majorBidi" w:cstheme="majorBidi"/>
          <w:sz w:val="24"/>
          <w:szCs w:val="24"/>
        </w:rPr>
        <w:t xml:space="preserve"> </w:t>
      </w:r>
      <w:r w:rsidR="00447AF2">
        <w:rPr>
          <w:rFonts w:asciiTheme="majorBidi" w:hAnsiTheme="majorBidi" w:cstheme="majorBidi"/>
          <w:sz w:val="24"/>
          <w:szCs w:val="24"/>
        </w:rPr>
        <w:fldChar w:fldCharType="begin" w:fldLock="1"/>
      </w:r>
      <w:r w:rsidR="00447AF2">
        <w:rPr>
          <w:rFonts w:asciiTheme="majorBidi" w:hAnsiTheme="majorBidi" w:cstheme="majorBidi"/>
          <w:sz w:val="24"/>
          <w:szCs w:val="24"/>
        </w:rPr>
        <w:instrText>ADDIN CSL_CITATION {"citationItems":[{"id":"ITEM-1","itemData":{"DOI":"10.1186/S12889-019-7592-5","ISSN":"1471-2458","PMID":"31519165","abstract":"Background: Insufficient physical activity (IPA) is one of the leading causes of premature mortality through the increased burden of non-communicable diseases. From 1990 to 2017, the percentage of low physical activity attributable disability-adjusted life years (DALY) increased globally by 1.5 times and 2-fold in Iran, causing more than 1.2 million deaths worldwide and 18,000 deaths in Iran in 2017. Reports suggest that Iran, a developing middle-income country, suffers from a high level of IPA. Socioeconomic and cultural alterations along with the country’s developments expose the population to IPA risk. We aimed to describe IPA prevalence in Iran’s adult population, categorized by demographics, geographical region, and activity domains to assess the present pattern of physical inactivity and its domains in the country. Methods: In 2016, in order to represent Iran’s adult population, adult participants (n: 30541) from 30 provinces were selected using systematic proportional to size cluster sampling. Physical activity (PA) was assessed via the Global Physical Activity Questionnaire, calculating the Metabolic Equivalent of Task (MET) value in minutes per week for work, recreation, and transport domains. Insufficient physical activity (IPA) was defined according to WHO’s recommendation (less than 600 METs per week). Adjusted odds ratios of IPA associates for sociodemographic, lifestyle related variables, and metabolic risk factors were reported. Results: A high prevalence of IPA was seen in the total population (54.7%, 95%CI: 54.0–55.3) with a considerable difference between the two genders (males: 45.3% (95%CI: 44.3–46.3); females: 61.9% (95%CI: 61.0–62.7)). Work-related activity was the domain with the greatest percentage of total PA, whereas, both genders lacked recreational activities. In our findings, being female, a housekeeper, younger and living in urban areas were significantly associated with higher levels of IPA. Moreover, insufficient fruit and vegetable consumption, lack of alcohol consumption, having a personal vehicle, and finally, having a medical history of diabetes were significantly associated with the presence of IPA in our population. Among the study population, 33.6% (95%CI: 33.0–34.2) had at least 4 h of sedentary behavior in a typical day.","author":[{"dropping-particle":"","family":"Mohebi","given":"Farnam","non-dropping-particle":"","parse-names":false,"suffix":""},{"dropping-particle":"","family":"Mohajer","given":"Bahram","non-dropping-particle":"","parse-names":false,"suffix":""},{"dropping-particle":"","family":"Yoosefi","given":"Moein","non-dropping-particle":"","parse-names":false,"suffix":""},{"dropping-particle":"","family":"Sheidaei","given":"Ali","non-dropping-particle":"","parse-names":false,"suffix":""},{"dropping-particle":"","family":"Zokaei","given":"Hossein","non-dropping-particle":"","parse-names":false,"suffix":""},{"dropping-particle":"","family":"Damerchilu","given":"Bahman","non-dropping-particle":"","parse-names":false,"suffix":""},{"dropping-particle":"","family":"Mehregan","given":"Ashkan","non-dropping-particle":"","parse-names":false,"suffix":""},{"dropping-particle":"","family":"Shahbal","given":"Nazila","non-dropping-particle":"","parse-names":false,"suffix":""},{"dropping-particle":"","family":"Rezaee","given":"Kamyar","non-dropping-particle":"","parse-names":false,"suffix":""},{"dropping-particle":"","family":"Khezrian","given":"Maryam","non-dropping-particle":"","parse-names":false,"suffix":""},{"dropping-particle":"","family":"Dehmoosa","given":"Ali Nematollahi","non-dropping-particle":"","parse-names":false,"suffix":""},{"dropping-particle":"","family":"Rankohi","given":"Ezzatollah Momen Nia","non-dropping-particle":"","parse-names":false,"suffix":""},{"dropping-particle":"","family":"Darman","given":"Mahboobeh","non-dropping-particle":"","parse-names":false,"suffix":""},{"dropping-particle":"","family":"Moghisi","given":"Alireza","non-dropping-particle":"","parse-names":false,"suffix":""},{"dropping-particle":"","family":"Farzadfar","given":"Farshad","non-dropping-particle":"","parse-names":false,"suffix":""}],"container-title":"BMC public health","id":"ITEM-1","issue":"1","issued":{"date-parts":[["2019"]]},"publisher":"BMC Public Health","title":"Physical activity profile of the Iranian population: STEPS survey, 2016","type":"article-journal","volume":"19"},"uris":["http://www.mendeley.com/documents/?uuid=56b291bb-d033-3a76-8b7b-5d70128f7fd7"]}],"mendeley":{"formattedCitation":"(3)","plainTextFormattedCitation":"(3)","previouslyFormattedCitation":"(3)"},"properties":{"noteIndex":0},"schema":"https://github.com/citation-style-language/schema/raw/master/csl-citation.json"}</w:instrText>
      </w:r>
      <w:r w:rsidR="00447AF2">
        <w:rPr>
          <w:rFonts w:asciiTheme="majorBidi" w:hAnsiTheme="majorBidi" w:cstheme="majorBidi"/>
          <w:sz w:val="24"/>
          <w:szCs w:val="24"/>
        </w:rPr>
        <w:fldChar w:fldCharType="separate"/>
      </w:r>
      <w:r w:rsidR="00447AF2" w:rsidRPr="00447AF2">
        <w:rPr>
          <w:rFonts w:asciiTheme="majorBidi" w:hAnsiTheme="majorBidi" w:cstheme="majorBidi"/>
          <w:noProof/>
          <w:sz w:val="24"/>
          <w:szCs w:val="24"/>
        </w:rPr>
        <w:t>(3)</w:t>
      </w:r>
      <w:r w:rsidR="00447AF2">
        <w:rPr>
          <w:rFonts w:asciiTheme="majorBidi" w:hAnsiTheme="majorBidi" w:cstheme="majorBidi"/>
          <w:sz w:val="24"/>
          <w:szCs w:val="24"/>
        </w:rPr>
        <w:fldChar w:fldCharType="end"/>
      </w:r>
      <w:r>
        <w:rPr>
          <w:rFonts w:asciiTheme="majorBidi" w:hAnsiTheme="majorBidi" w:cstheme="majorBidi"/>
          <w:sz w:val="24"/>
          <w:szCs w:val="24"/>
        </w:rPr>
        <w:t>. One MET means</w:t>
      </w:r>
      <w:r w:rsidRPr="00D90E2B">
        <w:rPr>
          <w:rFonts w:asciiTheme="majorBidi" w:hAnsiTheme="majorBidi" w:cstheme="majorBidi"/>
          <w:sz w:val="24"/>
          <w:szCs w:val="24"/>
        </w:rPr>
        <w:t xml:space="preserve"> 1</w:t>
      </w:r>
      <w:r>
        <w:rPr>
          <w:rFonts w:asciiTheme="majorBidi" w:hAnsiTheme="majorBidi" w:cstheme="majorBidi"/>
          <w:sz w:val="24"/>
          <w:szCs w:val="24"/>
        </w:rPr>
        <w:t xml:space="preserve"> kcal/kg/hour which is the</w:t>
      </w:r>
      <w:r w:rsidRPr="00D90E2B">
        <w:rPr>
          <w:rFonts w:asciiTheme="majorBidi" w:hAnsiTheme="majorBidi" w:cstheme="majorBidi"/>
          <w:sz w:val="24"/>
          <w:szCs w:val="24"/>
        </w:rPr>
        <w:t xml:space="preserve"> energy cost of sitting quietly</w:t>
      </w:r>
      <w:r>
        <w:rPr>
          <w:rFonts w:asciiTheme="majorBidi" w:hAnsiTheme="majorBidi" w:cstheme="majorBidi"/>
          <w:sz w:val="24"/>
          <w:szCs w:val="24"/>
        </w:rPr>
        <w:t xml:space="preserve">; while </w:t>
      </w:r>
      <w:r w:rsidRPr="00D90E2B">
        <w:rPr>
          <w:rFonts w:asciiTheme="majorBidi" w:hAnsiTheme="majorBidi" w:cstheme="majorBidi"/>
          <w:sz w:val="24"/>
          <w:szCs w:val="24"/>
        </w:rPr>
        <w:t>Four METs</w:t>
      </w:r>
      <w:r>
        <w:rPr>
          <w:rFonts w:asciiTheme="majorBidi" w:hAnsiTheme="majorBidi" w:cstheme="majorBidi"/>
          <w:sz w:val="24"/>
          <w:szCs w:val="24"/>
        </w:rPr>
        <w:t xml:space="preserve"> are</w:t>
      </w:r>
      <w:r w:rsidRPr="00D90E2B">
        <w:rPr>
          <w:rFonts w:asciiTheme="majorBidi" w:hAnsiTheme="majorBidi" w:cstheme="majorBidi"/>
          <w:sz w:val="24"/>
          <w:szCs w:val="24"/>
        </w:rPr>
        <w:t xml:space="preserve"> assigned to t</w:t>
      </w:r>
      <w:r>
        <w:rPr>
          <w:rFonts w:asciiTheme="majorBidi" w:hAnsiTheme="majorBidi" w:cstheme="majorBidi"/>
          <w:sz w:val="24"/>
          <w:szCs w:val="24"/>
        </w:rPr>
        <w:t xml:space="preserve">he time spent doing moderate </w:t>
      </w:r>
      <w:r w:rsidRPr="00D90E2B">
        <w:rPr>
          <w:rFonts w:asciiTheme="majorBidi" w:hAnsiTheme="majorBidi" w:cstheme="majorBidi"/>
          <w:sz w:val="24"/>
          <w:szCs w:val="24"/>
        </w:rPr>
        <w:t xml:space="preserve">and 8 METs </w:t>
      </w:r>
      <w:r>
        <w:rPr>
          <w:rFonts w:asciiTheme="majorBidi" w:hAnsiTheme="majorBidi" w:cstheme="majorBidi"/>
          <w:sz w:val="24"/>
          <w:szCs w:val="24"/>
        </w:rPr>
        <w:t xml:space="preserve">are assigned to the time spent doing vigorous </w:t>
      </w:r>
      <w:r>
        <w:rPr>
          <w:rFonts w:asciiTheme="majorBidi" w:hAnsiTheme="majorBidi" w:cstheme="majorBidi"/>
          <w:sz w:val="24"/>
          <w:szCs w:val="24"/>
        </w:rPr>
        <w:lastRenderedPageBreak/>
        <w:t>intensity activity</w:t>
      </w:r>
      <w:r w:rsidRPr="00D90E2B">
        <w:rPr>
          <w:rFonts w:asciiTheme="majorBidi" w:hAnsiTheme="majorBidi" w:cstheme="majorBidi"/>
          <w:sz w:val="24"/>
          <w:szCs w:val="24"/>
        </w:rPr>
        <w:t>.</w:t>
      </w:r>
      <w:r>
        <w:rPr>
          <w:rFonts w:asciiTheme="majorBidi" w:hAnsiTheme="majorBidi" w:cstheme="majorBidi"/>
          <w:sz w:val="24"/>
          <w:szCs w:val="24"/>
        </w:rPr>
        <w:t xml:space="preserve"> </w:t>
      </w:r>
      <w:r w:rsidR="00216D44">
        <w:rPr>
          <w:rFonts w:asciiTheme="majorBidi" w:hAnsiTheme="majorBidi" w:cstheme="majorBidi"/>
          <w:sz w:val="24"/>
          <w:szCs w:val="24"/>
        </w:rPr>
        <w:t>In this study, the MET variable is defined as whether or not an individual having any combin</w:t>
      </w:r>
      <w:r w:rsidR="00216D44" w:rsidRPr="00216D44">
        <w:rPr>
          <w:rFonts w:asciiTheme="majorBidi" w:hAnsiTheme="majorBidi" w:cstheme="majorBidi"/>
          <w:sz w:val="24"/>
          <w:szCs w:val="24"/>
        </w:rPr>
        <w:t xml:space="preserve">ation of physical activities </w:t>
      </w:r>
      <w:r w:rsidR="00216D44">
        <w:rPr>
          <w:rFonts w:asciiTheme="majorBidi" w:hAnsiTheme="majorBidi" w:cstheme="majorBidi"/>
          <w:sz w:val="24"/>
          <w:szCs w:val="24"/>
        </w:rPr>
        <w:t xml:space="preserve">per week that exceeds 600 METs. </w:t>
      </w:r>
    </w:p>
    <w:p w:rsidR="00836404" w:rsidRPr="0055259B" w:rsidRDefault="00836404" w:rsidP="00836404">
      <w:pPr>
        <w:jc w:val="mediumKashida"/>
        <w:rPr>
          <w:rFonts w:asciiTheme="majorBidi" w:hAnsiTheme="majorBidi" w:cstheme="majorBidi"/>
          <w:sz w:val="24"/>
          <w:szCs w:val="24"/>
        </w:rPr>
      </w:pPr>
      <w:r w:rsidRPr="00836404">
        <w:rPr>
          <w:rFonts w:asciiTheme="majorBidi" w:hAnsiTheme="majorBidi" w:cstheme="majorBidi"/>
          <w:b/>
          <w:bCs/>
          <w:sz w:val="24"/>
          <w:szCs w:val="24"/>
        </w:rPr>
        <w:t>Alcohol consumption:</w:t>
      </w:r>
      <w:r w:rsidR="0031030C">
        <w:rPr>
          <w:rFonts w:asciiTheme="majorBidi" w:hAnsiTheme="majorBidi" w:cstheme="majorBidi"/>
          <w:b/>
          <w:bCs/>
          <w:sz w:val="24"/>
          <w:szCs w:val="24"/>
        </w:rPr>
        <w:t xml:space="preserve"> </w:t>
      </w:r>
      <w:r w:rsidR="0055259B">
        <w:rPr>
          <w:rFonts w:asciiTheme="majorBidi" w:hAnsiTheme="majorBidi" w:cstheme="majorBidi"/>
          <w:sz w:val="24"/>
          <w:szCs w:val="24"/>
        </w:rPr>
        <w:t xml:space="preserve">the amount of alcohol consumption in each frequency is defined as six glasses of drink per time. </w:t>
      </w:r>
    </w:p>
    <w:p w:rsidR="00A34F79" w:rsidRDefault="00A34F79">
      <w:pPr>
        <w:rPr>
          <w:rFonts w:asciiTheme="majorBidi" w:hAnsiTheme="majorBidi" w:cstheme="majorBidi"/>
          <w:sz w:val="24"/>
          <w:szCs w:val="24"/>
        </w:rPr>
      </w:pPr>
    </w:p>
    <w:p w:rsidR="00104769" w:rsidRPr="00551A9F" w:rsidRDefault="00104769" w:rsidP="00104769">
      <w:pPr>
        <w:spacing w:line="360" w:lineRule="auto"/>
        <w:jc w:val="mediumKashida"/>
        <w:rPr>
          <w:rFonts w:asciiTheme="majorBidi" w:eastAsiaTheme="minorEastAsia" w:hAnsiTheme="majorBidi" w:cstheme="majorBidi"/>
          <w:b/>
          <w:bCs/>
        </w:rPr>
      </w:pPr>
      <w:r>
        <w:rPr>
          <w:rFonts w:asciiTheme="majorBidi" w:eastAsiaTheme="minorEastAsia" w:hAnsiTheme="majorBidi" w:cstheme="majorBidi"/>
          <w:b/>
          <w:bCs/>
        </w:rPr>
        <w:t xml:space="preserve">Table </w:t>
      </w:r>
      <w:r w:rsidR="00565654">
        <w:rPr>
          <w:rFonts w:asciiTheme="majorBidi" w:eastAsiaTheme="minorEastAsia" w:hAnsiTheme="majorBidi" w:cstheme="majorBidi"/>
          <w:b/>
          <w:bCs/>
        </w:rPr>
        <w:t>S</w:t>
      </w:r>
      <w:bookmarkStart w:id="0" w:name="_GoBack"/>
      <w:bookmarkEnd w:id="0"/>
      <w:r>
        <w:rPr>
          <w:rFonts w:asciiTheme="majorBidi" w:eastAsiaTheme="minorEastAsia" w:hAnsiTheme="majorBidi" w:cstheme="majorBidi"/>
          <w:b/>
          <w:bCs/>
        </w:rPr>
        <w:t>2. The OR of the study</w:t>
      </w:r>
      <w:r w:rsidRPr="00551A9F">
        <w:rPr>
          <w:rFonts w:asciiTheme="majorBidi" w:eastAsiaTheme="minorEastAsia" w:hAnsiTheme="majorBidi" w:cstheme="majorBidi"/>
          <w:b/>
          <w:bCs/>
        </w:rPr>
        <w:t xml:space="preserve"> variables and </w:t>
      </w:r>
      <w:r>
        <w:rPr>
          <w:rFonts w:asciiTheme="majorBidi" w:eastAsiaTheme="minorEastAsia" w:hAnsiTheme="majorBidi" w:cstheme="majorBidi"/>
          <w:b/>
          <w:bCs/>
        </w:rPr>
        <w:t>history of COVID-19 infection based on claims</w:t>
      </w:r>
      <w:r w:rsidRPr="00551A9F">
        <w:rPr>
          <w:rFonts w:asciiTheme="majorBidi" w:eastAsiaTheme="minorEastAsia" w:hAnsiTheme="majorBidi" w:cstheme="majorBidi"/>
          <w:b/>
          <w:bCs/>
        </w:rPr>
        <w:t>, crude and adjusted by age, sex, wealth</w:t>
      </w:r>
      <w:r>
        <w:rPr>
          <w:rFonts w:asciiTheme="majorBidi" w:eastAsiaTheme="minorEastAsia" w:hAnsiTheme="majorBidi" w:cstheme="majorBidi"/>
          <w:b/>
          <w:bCs/>
        </w:rPr>
        <w:t xml:space="preserve"> index</w:t>
      </w:r>
      <w:r w:rsidRPr="00551A9F">
        <w:rPr>
          <w:rFonts w:asciiTheme="majorBidi" w:eastAsiaTheme="minorEastAsia" w:hAnsiTheme="majorBidi" w:cstheme="majorBidi"/>
          <w:b/>
          <w:bCs/>
        </w:rPr>
        <w:t xml:space="preserve">, and </w:t>
      </w:r>
      <w:r>
        <w:rPr>
          <w:rFonts w:asciiTheme="majorBidi" w:eastAsiaTheme="minorEastAsia" w:hAnsiTheme="majorBidi" w:cstheme="majorBidi"/>
          <w:b/>
          <w:bCs/>
        </w:rPr>
        <w:t xml:space="preserve">years of </w:t>
      </w:r>
      <w:r w:rsidRPr="00551A9F">
        <w:rPr>
          <w:rFonts w:asciiTheme="majorBidi" w:eastAsiaTheme="minorEastAsia" w:hAnsiTheme="majorBidi" w:cstheme="majorBidi"/>
          <w:b/>
          <w:bCs/>
        </w:rPr>
        <w:t>education</w:t>
      </w:r>
    </w:p>
    <w:p w:rsidR="00104769" w:rsidRDefault="00104769">
      <w:pPr>
        <w:rPr>
          <w:rFonts w:asciiTheme="majorBidi" w:hAnsiTheme="majorBidi" w:cstheme="majorBidi"/>
          <w:b/>
          <w:bCs/>
          <w:sz w:val="24"/>
          <w:szCs w:val="24"/>
        </w:rPr>
      </w:pPr>
    </w:p>
    <w:tbl>
      <w:tblPr>
        <w:tblStyle w:val="PlainTable2"/>
        <w:tblW w:w="0" w:type="auto"/>
        <w:tblLook w:val="04A0" w:firstRow="1" w:lastRow="0" w:firstColumn="1" w:lastColumn="0" w:noHBand="0" w:noVBand="1"/>
      </w:tblPr>
      <w:tblGrid>
        <w:gridCol w:w="2464"/>
        <w:gridCol w:w="1959"/>
        <w:gridCol w:w="2157"/>
        <w:gridCol w:w="892"/>
        <w:gridCol w:w="2176"/>
        <w:gridCol w:w="1150"/>
      </w:tblGrid>
      <w:tr w:rsidR="000C16A7" w:rsidRPr="000C16A7" w:rsidTr="000C16A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sz w:val="24"/>
                <w:szCs w:val="24"/>
              </w:rPr>
            </w:pPr>
            <w:r w:rsidRPr="000C16A7">
              <w:rPr>
                <w:rFonts w:asciiTheme="majorBidi" w:hAnsiTheme="majorBidi" w:cstheme="majorBidi"/>
                <w:sz w:val="24"/>
                <w:szCs w:val="24"/>
              </w:rPr>
              <w:t>Variable</w:t>
            </w:r>
          </w:p>
        </w:tc>
        <w:tc>
          <w:tcPr>
            <w:tcW w:w="1959" w:type="dxa"/>
            <w:noWrap/>
          </w:tcPr>
          <w:p w:rsidR="00104769" w:rsidRPr="000C16A7" w:rsidRDefault="00104769" w:rsidP="000C16A7">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Status</w:t>
            </w:r>
          </w:p>
        </w:tc>
        <w:tc>
          <w:tcPr>
            <w:tcW w:w="2157" w:type="dxa"/>
            <w:noWrap/>
          </w:tcPr>
          <w:p w:rsidR="00104769" w:rsidRPr="000C16A7" w:rsidRDefault="00104769" w:rsidP="000C16A7">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Crude OR</w:t>
            </w:r>
          </w:p>
        </w:tc>
        <w:tc>
          <w:tcPr>
            <w:tcW w:w="891" w:type="dxa"/>
            <w:noWrap/>
          </w:tcPr>
          <w:p w:rsidR="00104769" w:rsidRPr="000C16A7" w:rsidRDefault="00104769" w:rsidP="000C16A7">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Crude P value</w:t>
            </w:r>
          </w:p>
        </w:tc>
        <w:tc>
          <w:tcPr>
            <w:tcW w:w="2171" w:type="dxa"/>
            <w:noWrap/>
          </w:tcPr>
          <w:p w:rsidR="00104769" w:rsidRPr="000C16A7" w:rsidRDefault="00104769" w:rsidP="000C16A7">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Adjusted OR</w:t>
            </w:r>
          </w:p>
        </w:tc>
        <w:tc>
          <w:tcPr>
            <w:tcW w:w="1148" w:type="dxa"/>
            <w:noWrap/>
          </w:tcPr>
          <w:p w:rsidR="00104769" w:rsidRPr="000C16A7" w:rsidRDefault="00104769" w:rsidP="000C16A7">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Adjusted P value</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sz w:val="24"/>
                <w:szCs w:val="24"/>
              </w:rPr>
            </w:pPr>
            <w:r w:rsidRPr="000C16A7">
              <w:rPr>
                <w:rFonts w:asciiTheme="majorBidi" w:hAnsiTheme="majorBidi" w:cstheme="majorBidi"/>
                <w:sz w:val="24"/>
                <w:szCs w:val="24"/>
              </w:rPr>
              <w:t>Socio-demographic</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Age (reference: 25-29)</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30-39</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1.306(0.974,1.751)</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0.075</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1.274(0.942,1.723)</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0.117</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40-49</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1.26(0.944,1.683)</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0.117</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1.35(0.997,1.828)</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0.052</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50-59</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1.338(0.999,1.792)</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0.051</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1.457(1.067,1.99)</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0.018</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60 and above</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1.258(0.94,1.684)</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0.122</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1.564(1.134,2.157)</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0.006</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Sex (reference: female)</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Male</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0.852(0.733,0.989)</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0.036</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0.809(0.689,0.949)</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0.009</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Education (reference: 0 years)</w:t>
            </w: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 to 7 y</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1.135(0.903,1.427)</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0.278</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1.082(0.846,1.385)</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0.53</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7 to 12 y</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1.075(0.825,1.4)</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0.593</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1.112(0.833,1.486)</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0.472</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12+y</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1.626(1.321,2.002)</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1.586(1.237,2.034)</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Occupation (reference: unemployed)</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Freelancer</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1.351(0.923,1.976)</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0.122</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1.278(0.859,1.902)</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0.227</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Private sector worker</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1.619(1.016,2.579)</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0.043</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1.442(0.893,2.327)</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0.134</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Public sector worker</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3(1.984,4.538)</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2.147(1.371,3.361)</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0.001</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Retired</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1.562(1.045,2.336)</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0.03</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1.066(0.685,1.658)</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0.777</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Unpaid job</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1.539(1.081,2.192)</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0.017</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1.078(0.713,1.632)</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0.721</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Marital status (reference: married)</w:t>
            </w: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Single</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0.78(0.601,1.013)</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0.062</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0.789(0.596,1.045)</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0.099</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Divorced/seprate with partner</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0.686(0.438,1.077)</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0.102</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0.752(0.471,1.202)</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0.234</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Widow</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0.856(0.638,1.149)</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0.301</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0.979(0.707,1.355)</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0.899</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Quality of life (reference: level 1)</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2</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0.917(0.745,1.13)</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0.417</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0.83(0.67,1.029)</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0.089</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3</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0.848(0.695,1.034)</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0.103</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0.792(0.642,0.976)</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0.029</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4</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0.941(0.736,1.204)</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0.629</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0.829(0.638,1.076)</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0.158</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5</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0.708(0.558,0.899)</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0.005</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0.67(0.519,0.864)</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0.002</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Wealth index (reference: low)</w:t>
            </w:r>
          </w:p>
        </w:tc>
        <w:tc>
          <w:tcPr>
            <w:tcW w:w="1959" w:type="dxa"/>
            <w:noWrap/>
          </w:tcPr>
          <w:p w:rsidR="00104769" w:rsidRPr="000C16A7" w:rsidRDefault="00104769" w:rsidP="000C16A7">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Low-middle</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1.682(1.299,2.176)</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1.556(1.201,2.017)</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0.001</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Middle</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1.772(1.41,2.226)</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1.699(1.345,2.145)</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Upper-middle</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2.257(1.803,2.826)</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2.058(1.637,2.587)</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p>
        </w:tc>
        <w:tc>
          <w:tcPr>
            <w:tcW w:w="1959" w:type="dxa"/>
            <w:noWrap/>
          </w:tcPr>
          <w:p w:rsidR="00104769" w:rsidRPr="000C16A7" w:rsidRDefault="00104769" w:rsidP="000C16A7">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Richest</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2.408(1.897,3.057)</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1.981(1.53,2.565)</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sz w:val="24"/>
                <w:szCs w:val="24"/>
              </w:rPr>
            </w:pPr>
            <w:r w:rsidRPr="000C16A7">
              <w:rPr>
                <w:rFonts w:asciiTheme="majorBidi" w:hAnsiTheme="majorBidi" w:cstheme="majorBidi"/>
                <w:sz w:val="24"/>
                <w:szCs w:val="24"/>
              </w:rPr>
              <w:t>Comorbidities</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Diabetes Mellitus</w:t>
            </w: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1.327(1.093,1.612)</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0.004</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1.311(1.062,1.62)</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0.012</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Hypertension</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1.125(0.967,1.309)</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0.128</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1.139(0.931,1.393)</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0.208</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Hypercholesterolemia</w:t>
            </w: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1.2(1.028,1.401)</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0.021</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1.184(0.993,1.411)</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0.06</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MI (ever)</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1.476(1.158,1.882)</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0.002</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1.536(1.182,1.996)</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0.001</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MI (last year)</w:t>
            </w: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1.308(0.833,2.054)</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0.243</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1.418(0.878,2.29)</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0.153</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Lung disease (ever)</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1.915(1.479,2.48)</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1.935(1.484,2.523)</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Lung disease (last year)</w:t>
            </w: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1.515(1.078,2.13)</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0.017</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1.442(1.029,2.02)</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0.034</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Stroke (ever)</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1.198(0.677,2.12)</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0.535</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1.312(0.734,2.344)</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0.36</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Stroke (last year)</w:t>
            </w: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2.444(0.56,10.663)</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0.235</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2.473(0.603,10.144)</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0.209</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Cancer (last year)</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1.199(0.611,2.352)</w:t>
            </w: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0.599</w:t>
            </w: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1.239(0.628,2.443)</w:t>
            </w: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0.537</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Kidney disease</w:t>
            </w:r>
          </w:p>
        </w:tc>
        <w:tc>
          <w:tcPr>
            <w:tcW w:w="1959"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0.944(0.767,1.161)</w:t>
            </w:r>
          </w:p>
        </w:tc>
        <w:tc>
          <w:tcPr>
            <w:tcW w:w="89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0.583</w:t>
            </w:r>
          </w:p>
        </w:tc>
        <w:tc>
          <w:tcPr>
            <w:tcW w:w="2171"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1.01(0.805,1.266)</w:t>
            </w:r>
          </w:p>
        </w:tc>
        <w:tc>
          <w:tcPr>
            <w:tcW w:w="1148" w:type="dxa"/>
            <w:noWrap/>
          </w:tcPr>
          <w:p w:rsidR="00104769" w:rsidRPr="000C16A7" w:rsidRDefault="00104769"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0.934</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104769" w:rsidRPr="000C16A7" w:rsidRDefault="00104769" w:rsidP="000C16A7">
            <w:pPr>
              <w:jc w:val="center"/>
              <w:rPr>
                <w:rFonts w:asciiTheme="majorBidi" w:hAnsiTheme="majorBidi" w:cstheme="majorBidi"/>
                <w:sz w:val="24"/>
                <w:szCs w:val="24"/>
              </w:rPr>
            </w:pPr>
            <w:r w:rsidRPr="000C16A7">
              <w:rPr>
                <w:rFonts w:asciiTheme="majorBidi" w:hAnsiTheme="majorBidi" w:cstheme="majorBidi"/>
                <w:sz w:val="24"/>
                <w:szCs w:val="24"/>
              </w:rPr>
              <w:t>Behavioral factors</w:t>
            </w:r>
          </w:p>
        </w:tc>
        <w:tc>
          <w:tcPr>
            <w:tcW w:w="1959"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2157"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89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2171"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1148" w:type="dxa"/>
            <w:noWrap/>
          </w:tcPr>
          <w:p w:rsidR="00104769" w:rsidRPr="000C16A7" w:rsidRDefault="00104769"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Current cigarette smoker</w:t>
            </w:r>
          </w:p>
        </w:tc>
        <w:tc>
          <w:tcPr>
            <w:tcW w:w="1959"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0.537(0.375,0.77)</w:t>
            </w:r>
          </w:p>
        </w:tc>
        <w:tc>
          <w:tcPr>
            <w:tcW w:w="89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0.001</w:t>
            </w:r>
          </w:p>
        </w:tc>
        <w:tc>
          <w:tcPr>
            <w:tcW w:w="217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0.592(0.407,0.86)</w:t>
            </w:r>
          </w:p>
        </w:tc>
        <w:tc>
          <w:tcPr>
            <w:tcW w:w="1148"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0.006</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Second-hand smoker</w:t>
            </w:r>
          </w:p>
        </w:tc>
        <w:tc>
          <w:tcPr>
            <w:tcW w:w="1959"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0.918(0.778,1.083)</w:t>
            </w:r>
          </w:p>
        </w:tc>
        <w:tc>
          <w:tcPr>
            <w:tcW w:w="89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0.31</w:t>
            </w:r>
          </w:p>
        </w:tc>
        <w:tc>
          <w:tcPr>
            <w:tcW w:w="217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1(0.84,1.19)</w:t>
            </w:r>
          </w:p>
        </w:tc>
        <w:tc>
          <w:tcPr>
            <w:tcW w:w="1148"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0.997</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Physical activity (MET)</w:t>
            </w:r>
          </w:p>
        </w:tc>
        <w:tc>
          <w:tcPr>
            <w:tcW w:w="1959"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1.046(0.899,1.217)</w:t>
            </w:r>
          </w:p>
        </w:tc>
        <w:tc>
          <w:tcPr>
            <w:tcW w:w="89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0.56</w:t>
            </w:r>
          </w:p>
        </w:tc>
        <w:tc>
          <w:tcPr>
            <w:tcW w:w="217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0.999(0.852,1.171)</w:t>
            </w:r>
          </w:p>
        </w:tc>
        <w:tc>
          <w:tcPr>
            <w:tcW w:w="1148"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0.987</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Toothbrush</w:t>
            </w:r>
          </w:p>
        </w:tc>
        <w:tc>
          <w:tcPr>
            <w:tcW w:w="1959"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1.417(1.168,1.719)</w:t>
            </w:r>
          </w:p>
        </w:tc>
        <w:tc>
          <w:tcPr>
            <w:tcW w:w="89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1.28(1.033,1.586)</w:t>
            </w:r>
          </w:p>
        </w:tc>
        <w:tc>
          <w:tcPr>
            <w:tcW w:w="1148"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0.024</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Dental floss</w:t>
            </w:r>
          </w:p>
        </w:tc>
        <w:tc>
          <w:tcPr>
            <w:tcW w:w="1959"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1.625(1.367,1.931)</w:t>
            </w:r>
          </w:p>
        </w:tc>
        <w:tc>
          <w:tcPr>
            <w:tcW w:w="89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1.404(1.154,1.708)</w:t>
            </w:r>
          </w:p>
        </w:tc>
        <w:tc>
          <w:tcPr>
            <w:tcW w:w="1148"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0.001</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No oral hygiene</w:t>
            </w:r>
          </w:p>
        </w:tc>
        <w:tc>
          <w:tcPr>
            <w:tcW w:w="1959"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0.609(0.503,0.739)</w:t>
            </w:r>
          </w:p>
        </w:tc>
        <w:tc>
          <w:tcPr>
            <w:tcW w:w="89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0.748(0.61,0.917)</w:t>
            </w:r>
          </w:p>
        </w:tc>
        <w:tc>
          <w:tcPr>
            <w:tcW w:w="1148"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0.005</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Alcohol consumption frequency (reference: never)</w:t>
            </w:r>
          </w:p>
        </w:tc>
        <w:tc>
          <w:tcPr>
            <w:tcW w:w="1959"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Daily</w:t>
            </w:r>
          </w:p>
        </w:tc>
        <w:tc>
          <w:tcPr>
            <w:tcW w:w="2157"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0.273(0.034,2.176)</w:t>
            </w:r>
          </w:p>
        </w:tc>
        <w:tc>
          <w:tcPr>
            <w:tcW w:w="89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0.22</w:t>
            </w:r>
          </w:p>
        </w:tc>
        <w:tc>
          <w:tcPr>
            <w:tcW w:w="217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0.372(0.047,2.958)</w:t>
            </w:r>
          </w:p>
        </w:tc>
        <w:tc>
          <w:tcPr>
            <w:tcW w:w="1148"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0.35</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p>
        </w:tc>
        <w:tc>
          <w:tcPr>
            <w:tcW w:w="1959"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Weekly</w:t>
            </w:r>
          </w:p>
        </w:tc>
        <w:tc>
          <w:tcPr>
            <w:tcW w:w="2157"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0.452(0.124,1.649)</w:t>
            </w:r>
          </w:p>
        </w:tc>
        <w:tc>
          <w:tcPr>
            <w:tcW w:w="89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0.229</w:t>
            </w:r>
          </w:p>
        </w:tc>
        <w:tc>
          <w:tcPr>
            <w:tcW w:w="217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0.451(0.124,1.635)</w:t>
            </w:r>
          </w:p>
        </w:tc>
        <w:tc>
          <w:tcPr>
            <w:tcW w:w="1148"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0.226</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p>
        </w:tc>
        <w:tc>
          <w:tcPr>
            <w:tcW w:w="1959"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Monthly</w:t>
            </w:r>
          </w:p>
        </w:tc>
        <w:tc>
          <w:tcPr>
            <w:tcW w:w="2157"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1.121(0.44,2.854)</w:t>
            </w:r>
          </w:p>
        </w:tc>
        <w:tc>
          <w:tcPr>
            <w:tcW w:w="89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0.811</w:t>
            </w:r>
          </w:p>
        </w:tc>
        <w:tc>
          <w:tcPr>
            <w:tcW w:w="217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1.199(0.471,3.047)</w:t>
            </w:r>
          </w:p>
        </w:tc>
        <w:tc>
          <w:tcPr>
            <w:tcW w:w="1148"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0.704</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p>
        </w:tc>
        <w:tc>
          <w:tcPr>
            <w:tcW w:w="1959"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Seasonal</w:t>
            </w:r>
          </w:p>
        </w:tc>
        <w:tc>
          <w:tcPr>
            <w:tcW w:w="2157"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1.011(0.464,2.206)</w:t>
            </w:r>
          </w:p>
        </w:tc>
        <w:tc>
          <w:tcPr>
            <w:tcW w:w="89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0.978</w:t>
            </w:r>
          </w:p>
        </w:tc>
        <w:tc>
          <w:tcPr>
            <w:tcW w:w="217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1.125(0.51,2.482)</w:t>
            </w:r>
          </w:p>
        </w:tc>
        <w:tc>
          <w:tcPr>
            <w:tcW w:w="1148"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0.77</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p>
        </w:tc>
        <w:tc>
          <w:tcPr>
            <w:tcW w:w="1959"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6 months or more</w:t>
            </w:r>
          </w:p>
        </w:tc>
        <w:tc>
          <w:tcPr>
            <w:tcW w:w="2157"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0.717(0.347,1.481)</w:t>
            </w:r>
          </w:p>
        </w:tc>
        <w:tc>
          <w:tcPr>
            <w:tcW w:w="89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0.369</w:t>
            </w:r>
          </w:p>
        </w:tc>
        <w:tc>
          <w:tcPr>
            <w:tcW w:w="217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0.819(0.396,1.697)</w:t>
            </w:r>
          </w:p>
        </w:tc>
        <w:tc>
          <w:tcPr>
            <w:tcW w:w="1148"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0.592</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sz w:val="24"/>
                <w:szCs w:val="24"/>
              </w:rPr>
              <w:t>BMI</w:t>
            </w:r>
            <w:r w:rsidRPr="000C16A7">
              <w:rPr>
                <w:rFonts w:asciiTheme="majorBidi" w:hAnsiTheme="majorBidi" w:cstheme="majorBidi"/>
                <w:b w:val="0"/>
                <w:bCs w:val="0"/>
                <w:sz w:val="24"/>
                <w:szCs w:val="24"/>
              </w:rPr>
              <w:t xml:space="preserve"> (reference: normal)</w:t>
            </w:r>
          </w:p>
        </w:tc>
        <w:tc>
          <w:tcPr>
            <w:tcW w:w="1959"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Underweight</w:t>
            </w:r>
          </w:p>
        </w:tc>
        <w:tc>
          <w:tcPr>
            <w:tcW w:w="2157"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0.764(0.362,1.613)</w:t>
            </w:r>
          </w:p>
        </w:tc>
        <w:tc>
          <w:tcPr>
            <w:tcW w:w="89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0.481</w:t>
            </w:r>
          </w:p>
        </w:tc>
        <w:tc>
          <w:tcPr>
            <w:tcW w:w="217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1.055(0.502,2.218)</w:t>
            </w:r>
          </w:p>
        </w:tc>
        <w:tc>
          <w:tcPr>
            <w:tcW w:w="1148"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0.887</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p>
        </w:tc>
        <w:tc>
          <w:tcPr>
            <w:tcW w:w="1959"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Overweight</w:t>
            </w:r>
          </w:p>
        </w:tc>
        <w:tc>
          <w:tcPr>
            <w:tcW w:w="2157"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1.27(1.056,1.527)</w:t>
            </w:r>
          </w:p>
        </w:tc>
        <w:tc>
          <w:tcPr>
            <w:tcW w:w="89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0.011</w:t>
            </w:r>
          </w:p>
        </w:tc>
        <w:tc>
          <w:tcPr>
            <w:tcW w:w="217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1.193(0.987,1.442)</w:t>
            </w:r>
          </w:p>
        </w:tc>
        <w:tc>
          <w:tcPr>
            <w:tcW w:w="1148"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0.069</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b w:val="0"/>
                <w:bCs w:val="0"/>
                <w:sz w:val="24"/>
                <w:szCs w:val="24"/>
              </w:rPr>
            </w:pPr>
          </w:p>
        </w:tc>
        <w:tc>
          <w:tcPr>
            <w:tcW w:w="1959"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Obesity</w:t>
            </w:r>
          </w:p>
        </w:tc>
        <w:tc>
          <w:tcPr>
            <w:tcW w:w="2157"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1.533(1.268,1.853)</w:t>
            </w:r>
          </w:p>
        </w:tc>
        <w:tc>
          <w:tcPr>
            <w:tcW w:w="89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1.439(1.177,1.758)</w:t>
            </w:r>
          </w:p>
        </w:tc>
        <w:tc>
          <w:tcPr>
            <w:tcW w:w="1148" w:type="dxa"/>
            <w:noWrap/>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tcPr>
          <w:p w:rsidR="000C16A7" w:rsidRPr="000C16A7" w:rsidRDefault="000C16A7" w:rsidP="000C16A7">
            <w:pPr>
              <w:jc w:val="center"/>
              <w:rPr>
                <w:rFonts w:asciiTheme="majorBidi" w:hAnsiTheme="majorBidi" w:cstheme="majorBidi"/>
                <w:sz w:val="24"/>
                <w:szCs w:val="24"/>
              </w:rPr>
            </w:pPr>
            <w:r w:rsidRPr="000C16A7">
              <w:rPr>
                <w:rFonts w:asciiTheme="majorBidi" w:hAnsiTheme="majorBidi" w:cstheme="majorBidi"/>
                <w:sz w:val="24"/>
                <w:szCs w:val="24"/>
              </w:rPr>
              <w:t>COVID-19 safety protocols</w:t>
            </w:r>
          </w:p>
        </w:tc>
        <w:tc>
          <w:tcPr>
            <w:tcW w:w="1959"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c>
          <w:tcPr>
            <w:tcW w:w="2157"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c>
          <w:tcPr>
            <w:tcW w:w="89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c>
          <w:tcPr>
            <w:tcW w:w="2171"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c>
          <w:tcPr>
            <w:tcW w:w="1148" w:type="dxa"/>
            <w:noWrap/>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hideMark/>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Mask</w:t>
            </w:r>
          </w:p>
        </w:tc>
        <w:tc>
          <w:tcPr>
            <w:tcW w:w="1959"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2.378(1.55,3.649)</w:t>
            </w:r>
          </w:p>
        </w:tc>
        <w:tc>
          <w:tcPr>
            <w:tcW w:w="891"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c>
          <w:tcPr>
            <w:tcW w:w="2171"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2.197(1.466,3.292)</w:t>
            </w:r>
          </w:p>
        </w:tc>
        <w:tc>
          <w:tcPr>
            <w:tcW w:w="1148"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&lt;0.001</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hideMark/>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Gloves</w:t>
            </w:r>
          </w:p>
        </w:tc>
        <w:tc>
          <w:tcPr>
            <w:tcW w:w="1959"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1.012(0.868,1.179)</w:t>
            </w:r>
          </w:p>
        </w:tc>
        <w:tc>
          <w:tcPr>
            <w:tcW w:w="891"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0.881</w:t>
            </w:r>
          </w:p>
        </w:tc>
        <w:tc>
          <w:tcPr>
            <w:tcW w:w="2171"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0.962(0.823,1.124)</w:t>
            </w:r>
          </w:p>
        </w:tc>
        <w:tc>
          <w:tcPr>
            <w:tcW w:w="1148"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0.624</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hideMark/>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Shield</w:t>
            </w:r>
          </w:p>
        </w:tc>
        <w:tc>
          <w:tcPr>
            <w:tcW w:w="1959"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1.089(0.76,1.561)</w:t>
            </w:r>
          </w:p>
        </w:tc>
        <w:tc>
          <w:tcPr>
            <w:tcW w:w="891"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0.642</w:t>
            </w:r>
          </w:p>
        </w:tc>
        <w:tc>
          <w:tcPr>
            <w:tcW w:w="2171"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1.145(0.788,1.663)</w:t>
            </w:r>
          </w:p>
        </w:tc>
        <w:tc>
          <w:tcPr>
            <w:tcW w:w="1148"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0.477</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hideMark/>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Washing hands</w:t>
            </w:r>
          </w:p>
        </w:tc>
        <w:tc>
          <w:tcPr>
            <w:tcW w:w="1959"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1.497(1.1,2.036)</w:t>
            </w:r>
          </w:p>
        </w:tc>
        <w:tc>
          <w:tcPr>
            <w:tcW w:w="891"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0.01</w:t>
            </w:r>
          </w:p>
        </w:tc>
        <w:tc>
          <w:tcPr>
            <w:tcW w:w="2171"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1.384(0.997,1.921)</w:t>
            </w:r>
          </w:p>
        </w:tc>
        <w:tc>
          <w:tcPr>
            <w:tcW w:w="1148"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0.052</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hideMark/>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transport</w:t>
            </w:r>
          </w:p>
        </w:tc>
        <w:tc>
          <w:tcPr>
            <w:tcW w:w="1959"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0.977(0.818,1.167)</w:t>
            </w:r>
          </w:p>
        </w:tc>
        <w:tc>
          <w:tcPr>
            <w:tcW w:w="891"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0.8</w:t>
            </w:r>
          </w:p>
        </w:tc>
        <w:tc>
          <w:tcPr>
            <w:tcW w:w="2171"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1.037(0.852,1.262)</w:t>
            </w:r>
          </w:p>
        </w:tc>
        <w:tc>
          <w:tcPr>
            <w:tcW w:w="1148"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0.717</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hideMark/>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t>Children attending school</w:t>
            </w:r>
          </w:p>
        </w:tc>
        <w:tc>
          <w:tcPr>
            <w:tcW w:w="1959"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Yes</w:t>
            </w:r>
          </w:p>
        </w:tc>
        <w:tc>
          <w:tcPr>
            <w:tcW w:w="2157"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0.663(0.514,0.855)</w:t>
            </w:r>
          </w:p>
        </w:tc>
        <w:tc>
          <w:tcPr>
            <w:tcW w:w="891"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0.002</w:t>
            </w:r>
          </w:p>
        </w:tc>
        <w:tc>
          <w:tcPr>
            <w:tcW w:w="2171"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0.63(0.475,0.837)</w:t>
            </w:r>
          </w:p>
        </w:tc>
        <w:tc>
          <w:tcPr>
            <w:tcW w:w="1148"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0.001</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hideMark/>
          </w:tcPr>
          <w:p w:rsidR="000C16A7" w:rsidRPr="000C16A7" w:rsidRDefault="000C16A7" w:rsidP="000C16A7">
            <w:pPr>
              <w:jc w:val="center"/>
              <w:rPr>
                <w:rFonts w:asciiTheme="majorBidi" w:hAnsiTheme="majorBidi" w:cstheme="majorBidi"/>
                <w:b w:val="0"/>
                <w:bCs w:val="0"/>
                <w:sz w:val="24"/>
                <w:szCs w:val="24"/>
              </w:rPr>
            </w:pPr>
            <w:r w:rsidRPr="000C16A7">
              <w:rPr>
                <w:rFonts w:asciiTheme="majorBidi" w:hAnsiTheme="majorBidi" w:cstheme="majorBidi"/>
                <w:b w:val="0"/>
                <w:bCs w:val="0"/>
                <w:sz w:val="24"/>
                <w:szCs w:val="24"/>
              </w:rPr>
              <w:lastRenderedPageBreak/>
              <w:t>Number of daily contacts (reference: under 10)</w:t>
            </w:r>
          </w:p>
        </w:tc>
        <w:tc>
          <w:tcPr>
            <w:tcW w:w="1959"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10 to 30</w:t>
            </w:r>
          </w:p>
        </w:tc>
        <w:tc>
          <w:tcPr>
            <w:tcW w:w="2157"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1.329(1.093,1.615)</w:t>
            </w:r>
          </w:p>
        </w:tc>
        <w:tc>
          <w:tcPr>
            <w:tcW w:w="891"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0.004</w:t>
            </w:r>
          </w:p>
        </w:tc>
        <w:tc>
          <w:tcPr>
            <w:tcW w:w="2171"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1.454(1.157,1.826)</w:t>
            </w:r>
          </w:p>
        </w:tc>
        <w:tc>
          <w:tcPr>
            <w:tcW w:w="1148"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0.001</w:t>
            </w:r>
          </w:p>
        </w:tc>
      </w:tr>
      <w:tr w:rsidR="000C16A7" w:rsidRPr="000C16A7" w:rsidTr="000C16A7">
        <w:trPr>
          <w:trHeight w:val="300"/>
        </w:trPr>
        <w:tc>
          <w:tcPr>
            <w:cnfStyle w:val="001000000000" w:firstRow="0" w:lastRow="0" w:firstColumn="1" w:lastColumn="0" w:oddVBand="0" w:evenVBand="0" w:oddHBand="0" w:evenHBand="0" w:firstRowFirstColumn="0" w:firstRowLastColumn="0" w:lastRowFirstColumn="0" w:lastRowLastColumn="0"/>
            <w:tcW w:w="2464" w:type="dxa"/>
            <w:noWrap/>
            <w:hideMark/>
          </w:tcPr>
          <w:p w:rsidR="000C16A7" w:rsidRPr="000C16A7" w:rsidRDefault="000C16A7" w:rsidP="000C16A7">
            <w:pPr>
              <w:jc w:val="center"/>
              <w:rPr>
                <w:rFonts w:asciiTheme="majorBidi" w:hAnsiTheme="majorBidi" w:cstheme="majorBidi"/>
                <w:b w:val="0"/>
                <w:bCs w:val="0"/>
                <w:sz w:val="24"/>
                <w:szCs w:val="24"/>
              </w:rPr>
            </w:pPr>
          </w:p>
        </w:tc>
        <w:tc>
          <w:tcPr>
            <w:tcW w:w="1959"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30 to 50</w:t>
            </w:r>
          </w:p>
        </w:tc>
        <w:tc>
          <w:tcPr>
            <w:tcW w:w="2157"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1.251(0.872,1.796)</w:t>
            </w:r>
          </w:p>
        </w:tc>
        <w:tc>
          <w:tcPr>
            <w:tcW w:w="891"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0.225</w:t>
            </w:r>
          </w:p>
        </w:tc>
        <w:tc>
          <w:tcPr>
            <w:tcW w:w="2171"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1.378(0.937,2.028)</w:t>
            </w:r>
          </w:p>
        </w:tc>
        <w:tc>
          <w:tcPr>
            <w:tcW w:w="1148" w:type="dxa"/>
            <w:noWrap/>
            <w:hideMark/>
          </w:tcPr>
          <w:p w:rsidR="000C16A7" w:rsidRPr="000C16A7" w:rsidRDefault="000C16A7" w:rsidP="000C16A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0.104</w:t>
            </w:r>
          </w:p>
        </w:tc>
      </w:tr>
      <w:tr w:rsidR="000C16A7" w:rsidRPr="000C16A7" w:rsidTr="000C16A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4" w:type="dxa"/>
            <w:noWrap/>
            <w:hideMark/>
          </w:tcPr>
          <w:p w:rsidR="000C16A7" w:rsidRPr="000C16A7" w:rsidRDefault="000C16A7" w:rsidP="000C16A7">
            <w:pPr>
              <w:jc w:val="center"/>
              <w:rPr>
                <w:rFonts w:asciiTheme="majorBidi" w:hAnsiTheme="majorBidi" w:cstheme="majorBidi"/>
                <w:b w:val="0"/>
                <w:bCs w:val="0"/>
                <w:sz w:val="24"/>
                <w:szCs w:val="24"/>
              </w:rPr>
            </w:pPr>
          </w:p>
        </w:tc>
        <w:tc>
          <w:tcPr>
            <w:tcW w:w="1959"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50 and more</w:t>
            </w:r>
          </w:p>
        </w:tc>
        <w:tc>
          <w:tcPr>
            <w:tcW w:w="2157"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1.399(1.019,1.921)</w:t>
            </w:r>
          </w:p>
        </w:tc>
        <w:tc>
          <w:tcPr>
            <w:tcW w:w="891"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0.038</w:t>
            </w:r>
          </w:p>
        </w:tc>
        <w:tc>
          <w:tcPr>
            <w:tcW w:w="2171"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1.582(1.123,2.227)</w:t>
            </w:r>
          </w:p>
        </w:tc>
        <w:tc>
          <w:tcPr>
            <w:tcW w:w="1148" w:type="dxa"/>
            <w:noWrap/>
            <w:hideMark/>
          </w:tcPr>
          <w:p w:rsidR="000C16A7" w:rsidRPr="000C16A7" w:rsidRDefault="000C16A7" w:rsidP="000C16A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C16A7">
              <w:rPr>
                <w:rFonts w:asciiTheme="majorBidi" w:hAnsiTheme="majorBidi" w:cstheme="majorBidi"/>
                <w:sz w:val="24"/>
                <w:szCs w:val="24"/>
              </w:rPr>
              <w:t>0.009</w:t>
            </w:r>
          </w:p>
        </w:tc>
      </w:tr>
    </w:tbl>
    <w:p w:rsidR="00104769" w:rsidRDefault="00104769">
      <w:pPr>
        <w:rPr>
          <w:rFonts w:asciiTheme="majorBidi" w:hAnsiTheme="majorBidi" w:cstheme="majorBidi"/>
          <w:b/>
          <w:bCs/>
          <w:sz w:val="24"/>
          <w:szCs w:val="24"/>
        </w:rPr>
      </w:pPr>
    </w:p>
    <w:p w:rsidR="00A34F79" w:rsidRPr="00A34F79" w:rsidRDefault="00A34F79">
      <w:pPr>
        <w:rPr>
          <w:rFonts w:asciiTheme="majorBidi" w:hAnsiTheme="majorBidi" w:cstheme="majorBidi"/>
          <w:b/>
          <w:bCs/>
          <w:sz w:val="24"/>
          <w:szCs w:val="24"/>
        </w:rPr>
      </w:pPr>
    </w:p>
    <w:p w:rsidR="00FF3FC4" w:rsidRDefault="00447AF2">
      <w:pPr>
        <w:rPr>
          <w:rFonts w:asciiTheme="majorBidi" w:hAnsiTheme="majorBidi" w:cstheme="majorBidi"/>
          <w:b/>
          <w:bCs/>
          <w:sz w:val="24"/>
          <w:szCs w:val="24"/>
        </w:rPr>
      </w:pPr>
      <w:r>
        <w:rPr>
          <w:rFonts w:asciiTheme="majorBidi" w:hAnsiTheme="majorBidi" w:cstheme="majorBidi"/>
          <w:b/>
          <w:bCs/>
          <w:sz w:val="24"/>
          <w:szCs w:val="24"/>
        </w:rPr>
        <w:t>References</w:t>
      </w:r>
    </w:p>
    <w:p w:rsidR="00883285" w:rsidRPr="00883285" w:rsidRDefault="00447AF2" w:rsidP="00883285">
      <w:pPr>
        <w:widowControl w:val="0"/>
        <w:autoSpaceDE w:val="0"/>
        <w:autoSpaceDN w:val="0"/>
        <w:adjustRightInd w:val="0"/>
        <w:spacing w:line="240" w:lineRule="auto"/>
        <w:ind w:left="640" w:hanging="640"/>
        <w:rPr>
          <w:rFonts w:ascii="Times New Roman" w:hAnsi="Times New Roman" w:cs="Times New Roman"/>
          <w:noProof/>
          <w:sz w:val="24"/>
          <w:szCs w:val="24"/>
        </w:rPr>
      </w:pPr>
      <w:r>
        <w:rPr>
          <w:rFonts w:asciiTheme="majorBidi" w:hAnsiTheme="majorBidi" w:cstheme="majorBidi"/>
          <w:b/>
          <w:bCs/>
          <w:sz w:val="24"/>
          <w:szCs w:val="24"/>
        </w:rPr>
        <w:fldChar w:fldCharType="begin" w:fldLock="1"/>
      </w:r>
      <w:r>
        <w:rPr>
          <w:rFonts w:asciiTheme="majorBidi" w:hAnsiTheme="majorBidi" w:cstheme="majorBidi"/>
          <w:b/>
          <w:bCs/>
          <w:sz w:val="24"/>
          <w:szCs w:val="24"/>
        </w:rPr>
        <w:instrText xml:space="preserve">ADDIN Mendeley Bibliography CSL_BIBLIOGRAPHY </w:instrText>
      </w:r>
      <w:r>
        <w:rPr>
          <w:rFonts w:asciiTheme="majorBidi" w:hAnsiTheme="majorBidi" w:cstheme="majorBidi"/>
          <w:b/>
          <w:bCs/>
          <w:sz w:val="24"/>
          <w:szCs w:val="24"/>
        </w:rPr>
        <w:fldChar w:fldCharType="separate"/>
      </w:r>
      <w:r w:rsidR="00883285" w:rsidRPr="00883285">
        <w:rPr>
          <w:rFonts w:ascii="Times New Roman" w:hAnsi="Times New Roman" w:cs="Times New Roman"/>
          <w:noProof/>
          <w:sz w:val="24"/>
          <w:szCs w:val="24"/>
        </w:rPr>
        <w:t xml:space="preserve">1. </w:t>
      </w:r>
      <w:r w:rsidR="00883285" w:rsidRPr="00883285">
        <w:rPr>
          <w:rFonts w:ascii="Times New Roman" w:hAnsi="Times New Roman" w:cs="Times New Roman"/>
          <w:noProof/>
          <w:sz w:val="24"/>
          <w:szCs w:val="24"/>
        </w:rPr>
        <w:tab/>
        <w:t>Poustchi H, Darvishian M, Mohammadi Z, Shayanrad A, Delavari A, Bahadorimonfared A, et al. SARS-CoV-2 antibody seroprevalence in the general population and high-risk occupational groups across 18 cities in Iran: a population-based cross-sectional study. Lancet Infect Dis [Internet]. 2021 Apr 1 [cited 2022 Jan 7];21(4):473–81. Available from: https://pubmed.ncbi.nlm.nih.gov/33338441/</w:t>
      </w:r>
    </w:p>
    <w:p w:rsidR="00883285" w:rsidRPr="00883285" w:rsidRDefault="00883285" w:rsidP="00883285">
      <w:pPr>
        <w:widowControl w:val="0"/>
        <w:autoSpaceDE w:val="0"/>
        <w:autoSpaceDN w:val="0"/>
        <w:adjustRightInd w:val="0"/>
        <w:spacing w:line="240" w:lineRule="auto"/>
        <w:ind w:left="640" w:hanging="640"/>
        <w:rPr>
          <w:rFonts w:ascii="Times New Roman" w:hAnsi="Times New Roman" w:cs="Times New Roman"/>
          <w:noProof/>
          <w:sz w:val="24"/>
          <w:szCs w:val="24"/>
        </w:rPr>
      </w:pPr>
      <w:r w:rsidRPr="00883285">
        <w:rPr>
          <w:rFonts w:ascii="Times New Roman" w:hAnsi="Times New Roman" w:cs="Times New Roman"/>
          <w:noProof/>
          <w:sz w:val="24"/>
          <w:szCs w:val="24"/>
        </w:rPr>
        <w:t xml:space="preserve">2. </w:t>
      </w:r>
      <w:r w:rsidRPr="00883285">
        <w:rPr>
          <w:rFonts w:ascii="Times New Roman" w:hAnsi="Times New Roman" w:cs="Times New Roman"/>
          <w:noProof/>
          <w:sz w:val="24"/>
          <w:szCs w:val="24"/>
        </w:rPr>
        <w:tab/>
        <w:t xml:space="preserve">Zare F, Ameri H, Madadizadeh F, Aghaei MR. Validity and reliability of the EQ-5D-3L (a generic preference-based instrument used for calculating quality-adjusted life -years) for patients with type 2 diabetes in Iran. Diabetes Metab Syndr Clin Res Rev. 2021 Jan 1;15(1):319–24. </w:t>
      </w:r>
    </w:p>
    <w:p w:rsidR="00883285" w:rsidRPr="00883285" w:rsidRDefault="00883285" w:rsidP="00883285">
      <w:pPr>
        <w:widowControl w:val="0"/>
        <w:autoSpaceDE w:val="0"/>
        <w:autoSpaceDN w:val="0"/>
        <w:adjustRightInd w:val="0"/>
        <w:spacing w:line="240" w:lineRule="auto"/>
        <w:ind w:left="640" w:hanging="640"/>
        <w:rPr>
          <w:rFonts w:ascii="Times New Roman" w:hAnsi="Times New Roman" w:cs="Times New Roman"/>
          <w:noProof/>
          <w:sz w:val="24"/>
        </w:rPr>
      </w:pPr>
      <w:r w:rsidRPr="00883285">
        <w:rPr>
          <w:rFonts w:ascii="Times New Roman" w:hAnsi="Times New Roman" w:cs="Times New Roman"/>
          <w:noProof/>
          <w:sz w:val="24"/>
          <w:szCs w:val="24"/>
        </w:rPr>
        <w:t xml:space="preserve">3. </w:t>
      </w:r>
      <w:r w:rsidRPr="00883285">
        <w:rPr>
          <w:rFonts w:ascii="Times New Roman" w:hAnsi="Times New Roman" w:cs="Times New Roman"/>
          <w:noProof/>
          <w:sz w:val="24"/>
          <w:szCs w:val="24"/>
        </w:rPr>
        <w:tab/>
        <w:t>Mohebi F, Mohajer B, Yoosefi M, Sheidaei A, Zokaei H, Damerchilu B, et al. Physical activity profile of the Iranian population: STEPS survey, 2016. BMC Public Health [Internet]. 2019 [cited 2022 Apr 20];19(1). Available from: https://pubmed.ncbi.nlm.nih.gov/31519165/</w:t>
      </w:r>
    </w:p>
    <w:p w:rsidR="00447AF2" w:rsidRPr="00FF3FC4" w:rsidRDefault="00447AF2" w:rsidP="00447AF2">
      <w:pPr>
        <w:rPr>
          <w:rFonts w:asciiTheme="majorBidi" w:hAnsiTheme="majorBidi" w:cstheme="majorBidi"/>
          <w:b/>
          <w:bCs/>
          <w:sz w:val="24"/>
          <w:szCs w:val="24"/>
        </w:rPr>
      </w:pPr>
      <w:r>
        <w:rPr>
          <w:rFonts w:asciiTheme="majorBidi" w:hAnsiTheme="majorBidi" w:cstheme="majorBidi"/>
          <w:b/>
          <w:bCs/>
          <w:sz w:val="24"/>
          <w:szCs w:val="24"/>
        </w:rPr>
        <w:fldChar w:fldCharType="end"/>
      </w:r>
    </w:p>
    <w:sectPr w:rsidR="00447AF2" w:rsidRPr="00FF3FC4" w:rsidSect="00C917F4">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5D84" w:rsidRDefault="00175D84" w:rsidP="00674E46">
      <w:pPr>
        <w:spacing w:after="0" w:line="240" w:lineRule="auto"/>
      </w:pPr>
      <w:r>
        <w:separator/>
      </w:r>
    </w:p>
  </w:endnote>
  <w:endnote w:type="continuationSeparator" w:id="0">
    <w:p w:rsidR="00175D84" w:rsidRDefault="00175D84" w:rsidP="00674E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88199666"/>
      <w:docPartObj>
        <w:docPartGallery w:val="Page Numbers (Bottom of Page)"/>
        <w:docPartUnique/>
      </w:docPartObj>
    </w:sdtPr>
    <w:sdtEndPr>
      <w:rPr>
        <w:noProof/>
      </w:rPr>
    </w:sdtEndPr>
    <w:sdtContent>
      <w:p w:rsidR="00104769" w:rsidRDefault="00104769">
        <w:pPr>
          <w:pStyle w:val="Footer"/>
          <w:jc w:val="right"/>
        </w:pPr>
        <w:r>
          <w:fldChar w:fldCharType="begin"/>
        </w:r>
        <w:r>
          <w:instrText xml:space="preserve"> PAGE   \* MERGEFORMAT </w:instrText>
        </w:r>
        <w:r>
          <w:fldChar w:fldCharType="separate"/>
        </w:r>
        <w:r w:rsidR="00565654">
          <w:rPr>
            <w:noProof/>
          </w:rPr>
          <w:t>5</w:t>
        </w:r>
        <w:r>
          <w:rPr>
            <w:noProof/>
          </w:rPr>
          <w:fldChar w:fldCharType="end"/>
        </w:r>
      </w:p>
    </w:sdtContent>
  </w:sdt>
  <w:p w:rsidR="00104769" w:rsidRDefault="001047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5D84" w:rsidRDefault="00175D84" w:rsidP="00674E46">
      <w:pPr>
        <w:spacing w:after="0" w:line="240" w:lineRule="auto"/>
      </w:pPr>
      <w:r>
        <w:separator/>
      </w:r>
    </w:p>
  </w:footnote>
  <w:footnote w:type="continuationSeparator" w:id="0">
    <w:p w:rsidR="00175D84" w:rsidRDefault="00175D84" w:rsidP="00674E4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628"/>
    <w:rsid w:val="000C16A7"/>
    <w:rsid w:val="000E50F2"/>
    <w:rsid w:val="00104769"/>
    <w:rsid w:val="0017480F"/>
    <w:rsid w:val="00175D84"/>
    <w:rsid w:val="00216D44"/>
    <w:rsid w:val="0031030C"/>
    <w:rsid w:val="004001E0"/>
    <w:rsid w:val="00447AF2"/>
    <w:rsid w:val="004E2BFD"/>
    <w:rsid w:val="004E35F8"/>
    <w:rsid w:val="005012A2"/>
    <w:rsid w:val="0055259B"/>
    <w:rsid w:val="00565654"/>
    <w:rsid w:val="00646628"/>
    <w:rsid w:val="00674E46"/>
    <w:rsid w:val="007A40F3"/>
    <w:rsid w:val="00802197"/>
    <w:rsid w:val="00802242"/>
    <w:rsid w:val="0081313D"/>
    <w:rsid w:val="00836404"/>
    <w:rsid w:val="00883285"/>
    <w:rsid w:val="008C233C"/>
    <w:rsid w:val="008E6004"/>
    <w:rsid w:val="00A2456A"/>
    <w:rsid w:val="00A34F79"/>
    <w:rsid w:val="00A7292A"/>
    <w:rsid w:val="00C8469F"/>
    <w:rsid w:val="00C917F4"/>
    <w:rsid w:val="00D03F5B"/>
    <w:rsid w:val="00D90E2B"/>
    <w:rsid w:val="00E228CC"/>
    <w:rsid w:val="00FF3FC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9C2A8A"/>
  <w15:chartTrackingRefBased/>
  <w15:docId w15:val="{20CB4E8D-8904-47FB-8B9A-25C7890D3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8C233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674E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4E46"/>
  </w:style>
  <w:style w:type="paragraph" w:styleId="Footer">
    <w:name w:val="footer"/>
    <w:basedOn w:val="Normal"/>
    <w:link w:val="FooterChar"/>
    <w:uiPriority w:val="99"/>
    <w:unhideWhenUsed/>
    <w:rsid w:val="00674E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4E46"/>
  </w:style>
  <w:style w:type="table" w:styleId="TableGrid">
    <w:name w:val="Table Grid"/>
    <w:basedOn w:val="TableNormal"/>
    <w:uiPriority w:val="39"/>
    <w:rsid w:val="001047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990426">
      <w:bodyDiv w:val="1"/>
      <w:marLeft w:val="0"/>
      <w:marRight w:val="0"/>
      <w:marTop w:val="0"/>
      <w:marBottom w:val="0"/>
      <w:divBdr>
        <w:top w:val="none" w:sz="0" w:space="0" w:color="auto"/>
        <w:left w:val="none" w:sz="0" w:space="0" w:color="auto"/>
        <w:bottom w:val="none" w:sz="0" w:space="0" w:color="auto"/>
        <w:right w:val="none" w:sz="0" w:space="0" w:color="auto"/>
      </w:divBdr>
    </w:div>
    <w:div w:id="769400564">
      <w:bodyDiv w:val="1"/>
      <w:marLeft w:val="0"/>
      <w:marRight w:val="0"/>
      <w:marTop w:val="0"/>
      <w:marBottom w:val="0"/>
      <w:divBdr>
        <w:top w:val="none" w:sz="0" w:space="0" w:color="auto"/>
        <w:left w:val="none" w:sz="0" w:space="0" w:color="auto"/>
        <w:bottom w:val="none" w:sz="0" w:space="0" w:color="auto"/>
        <w:right w:val="none" w:sz="0" w:space="0" w:color="auto"/>
      </w:divBdr>
      <w:divsChild>
        <w:div w:id="972753122">
          <w:marLeft w:val="0"/>
          <w:marRight w:val="0"/>
          <w:marTop w:val="0"/>
          <w:marBottom w:val="0"/>
          <w:divBdr>
            <w:top w:val="none" w:sz="0" w:space="0" w:color="auto"/>
            <w:left w:val="none" w:sz="0" w:space="0" w:color="auto"/>
            <w:bottom w:val="none" w:sz="0" w:space="0" w:color="auto"/>
            <w:right w:val="none" w:sz="0" w:space="0" w:color="auto"/>
          </w:divBdr>
        </w:div>
        <w:div w:id="67192955">
          <w:marLeft w:val="0"/>
          <w:marRight w:val="0"/>
          <w:marTop w:val="0"/>
          <w:marBottom w:val="0"/>
          <w:divBdr>
            <w:top w:val="none" w:sz="0" w:space="0" w:color="auto"/>
            <w:left w:val="none" w:sz="0" w:space="0" w:color="auto"/>
            <w:bottom w:val="none" w:sz="0" w:space="0" w:color="auto"/>
            <w:right w:val="none" w:sz="0" w:space="0" w:color="auto"/>
          </w:divBdr>
          <w:divsChild>
            <w:div w:id="639580881">
              <w:marLeft w:val="0"/>
              <w:marRight w:val="0"/>
              <w:marTop w:val="0"/>
              <w:marBottom w:val="0"/>
              <w:divBdr>
                <w:top w:val="none" w:sz="0" w:space="0" w:color="auto"/>
                <w:left w:val="none" w:sz="0" w:space="0" w:color="auto"/>
                <w:bottom w:val="none" w:sz="0" w:space="0" w:color="auto"/>
                <w:right w:val="none" w:sz="0" w:space="0" w:color="auto"/>
              </w:divBdr>
              <w:divsChild>
                <w:div w:id="787434195">
                  <w:marLeft w:val="0"/>
                  <w:marRight w:val="0"/>
                  <w:marTop w:val="0"/>
                  <w:marBottom w:val="0"/>
                  <w:divBdr>
                    <w:top w:val="none" w:sz="0" w:space="0" w:color="auto"/>
                    <w:left w:val="none" w:sz="0" w:space="0" w:color="auto"/>
                    <w:bottom w:val="none" w:sz="0" w:space="0" w:color="auto"/>
                    <w:right w:val="none" w:sz="0" w:space="0" w:color="auto"/>
                  </w:divBdr>
                  <w:divsChild>
                    <w:div w:id="1060398488">
                      <w:marLeft w:val="0"/>
                      <w:marRight w:val="0"/>
                      <w:marTop w:val="0"/>
                      <w:marBottom w:val="0"/>
                      <w:divBdr>
                        <w:top w:val="none" w:sz="0" w:space="0" w:color="auto"/>
                        <w:left w:val="none" w:sz="0" w:space="0" w:color="auto"/>
                        <w:bottom w:val="none" w:sz="0" w:space="0" w:color="auto"/>
                        <w:right w:val="none" w:sz="0" w:space="0" w:color="auto"/>
                      </w:divBdr>
                      <w:divsChild>
                        <w:div w:id="1956908952">
                          <w:marLeft w:val="0"/>
                          <w:marRight w:val="0"/>
                          <w:marTop w:val="0"/>
                          <w:marBottom w:val="0"/>
                          <w:divBdr>
                            <w:top w:val="none" w:sz="0" w:space="0" w:color="auto"/>
                            <w:left w:val="none" w:sz="0" w:space="0" w:color="auto"/>
                            <w:bottom w:val="none" w:sz="0" w:space="0" w:color="auto"/>
                            <w:right w:val="none" w:sz="0" w:space="0" w:color="auto"/>
                          </w:divBdr>
                          <w:divsChild>
                            <w:div w:id="146252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2305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46E274-A75F-4303-B7E0-A3A7BDF573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3784</Words>
  <Characters>21574</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Mohammadreza</dc:creator>
  <cp:keywords/>
  <dc:description/>
  <cp:lastModifiedBy>Mohammadreza</cp:lastModifiedBy>
  <cp:revision>2</cp:revision>
  <dcterms:created xsi:type="dcterms:W3CDTF">2022-05-24T13:34:00Z</dcterms:created>
  <dcterms:modified xsi:type="dcterms:W3CDTF">2022-05-24T13:34:00Z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9125ebfa-7a3c-3185-a9d1-84957f6386a5</vt:lpwstr>
  </property>
  <property fmtid="{D5CDD505-2E9C-101B-9397-08002B2CF9AE}" pid="24" name="Mendeley Citation Style_1">
    <vt:lpwstr>http://www.zotero.org/styles/vancouver</vt:lpwstr>
  </property>
</Properties>
</file>