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 w:eastAsiaTheme="minorEastAsia"/>
          <w:b w:val="0"/>
          <w:bCs/>
          <w:i w:val="0"/>
          <w:iCs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cs="Times New Roman" w:eastAsiaTheme="minorEastAsia"/>
          <w:b w:val="0"/>
          <w:bCs/>
          <w:i w:val="0"/>
          <w:iCs/>
          <w:kern w:val="0"/>
          <w:sz w:val="32"/>
          <w:szCs w:val="32"/>
          <w:lang w:val="en-US" w:eastAsia="zh-CN" w:bidi="ar-SA"/>
        </w:rPr>
        <w:t>Supporting information for</w:t>
      </w:r>
    </w:p>
    <w:p>
      <w:pPr>
        <w:widowControl/>
        <w:spacing w:before="120" w:after="240" w:line="240" w:lineRule="auto"/>
        <w:jc w:val="center"/>
        <w:rPr>
          <w:rFonts w:hint="eastAsia" w:ascii="Times New Roman" w:hAnsi="Times New Roman" w:eastAsia="宋体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32"/>
          <w:szCs w:val="32"/>
          <w:lang w:val="en-US" w:eastAsia="zh-CN"/>
        </w:rPr>
        <w:t>BMI mediates the effects of gut microbes on bone mineral density in the "intestinal bone axis": an observational study versus a mediation Mendelian randomization study</w:t>
      </w:r>
    </w:p>
    <w:p>
      <w:pPr>
        <w:pStyle w:val="4"/>
        <w:widowControl/>
        <w:spacing w:line="240" w:lineRule="auto"/>
        <w:jc w:val="both"/>
        <w:rPr>
          <w:rFonts w:hint="eastAsia"/>
        </w:rPr>
      </w:pPr>
      <w:r>
        <w:rPr>
          <w:rFonts w:ascii="Times New Roman" w:hAnsi="Times New Roman"/>
          <w:b w:val="0"/>
          <w:bCs/>
          <w:kern w:val="0"/>
          <w:sz w:val="28"/>
          <w:szCs w:val="28"/>
          <w:lang w:eastAsia="en-US"/>
        </w:rPr>
        <w:t>This</w:t>
      </w:r>
      <w:r>
        <w:rPr>
          <w:rFonts w:hint="eastAsia" w:ascii="Times New Roman" w:hAnsi="Times New Roman"/>
          <w:b w:val="0"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/>
          <w:b w:val="0"/>
          <w:bCs/>
          <w:kern w:val="0"/>
          <w:sz w:val="28"/>
          <w:szCs w:val="28"/>
          <w:lang w:eastAsia="en-US"/>
        </w:rPr>
        <w:t xml:space="preserve">supplementary material contains </w:t>
      </w:r>
      <w:r>
        <w:rPr>
          <w:rFonts w:hint="eastAsia" w:ascii="Times New Roman" w:hAnsi="Times New Roman"/>
          <w:b w:val="0"/>
          <w:bCs/>
          <w:kern w:val="0"/>
          <w:sz w:val="28"/>
          <w:szCs w:val="28"/>
          <w:lang w:val="en-US" w:eastAsia="zh-CN"/>
        </w:rPr>
        <w:t>9</w:t>
      </w:r>
      <w:r>
        <w:rPr>
          <w:rFonts w:ascii="Times New Roman" w:hAnsi="Times New Roman"/>
          <w:b w:val="0"/>
          <w:bCs/>
          <w:kern w:val="0"/>
          <w:sz w:val="28"/>
          <w:szCs w:val="28"/>
          <w:lang w:eastAsia="en-US"/>
        </w:rPr>
        <w:t xml:space="preserve"> supplementary materials</w:t>
      </w:r>
      <w:r>
        <w:rPr>
          <w:rFonts w:hint="eastAsia" w:ascii="Times New Roman" w:hAnsi="Times New Roman"/>
          <w:b w:val="0"/>
          <w:bCs/>
          <w:kern w:val="0"/>
          <w:sz w:val="28"/>
          <w:szCs w:val="28"/>
          <w:lang w:val="en-US" w:eastAsia="zh-CN"/>
        </w:rPr>
        <w:t xml:space="preserve"> (Including 5 </w:t>
      </w:r>
      <w:r>
        <w:rPr>
          <w:rFonts w:ascii="Times New Roman" w:hAnsi="Times New Roman"/>
          <w:b w:val="0"/>
          <w:bCs/>
          <w:kern w:val="0"/>
          <w:sz w:val="28"/>
          <w:szCs w:val="28"/>
          <w:lang w:eastAsia="en-US"/>
        </w:rPr>
        <w:t>supplementary</w:t>
      </w:r>
      <w:r>
        <w:rPr>
          <w:rFonts w:hint="eastAsia" w:ascii="Times New Roman" w:hAnsi="Times New Roman"/>
          <w:b w:val="0"/>
          <w:bCs/>
          <w:kern w:val="0"/>
          <w:sz w:val="28"/>
          <w:szCs w:val="28"/>
          <w:lang w:val="en-US" w:eastAsia="zh-CN"/>
        </w:rPr>
        <w:t xml:space="preserve"> tables and 4 supplementary figures)</w:t>
      </w:r>
      <w:r>
        <w:rPr>
          <w:rFonts w:ascii="Times New Roman" w:hAnsi="Times New Roman"/>
          <w:b w:val="0"/>
          <w:bCs/>
          <w:kern w:val="0"/>
          <w:sz w:val="28"/>
          <w:szCs w:val="28"/>
          <w:lang w:eastAsia="en-US"/>
        </w:rPr>
        <w:t>.</w:t>
      </w:r>
    </w:p>
    <w:p>
      <w:pP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-US" w:eastAsia="zh-CN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 1.</w:t>
      </w:r>
      <w:r>
        <w:rPr>
          <w:rFonts w:hint="eastAsia" w:ascii="Times New Roman" w:hAnsi="Times New Roman" w:eastAsia="宋体" w:cs="Times New Roman"/>
          <w:kern w:val="0"/>
          <w:sz w:val="22"/>
          <w:lang w:val="en" w:eastAsia="zh-Hans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IVs related to 211 GM taxa and eBMD (locus-wide significance, P&lt; 1.00E-05)</w:t>
      </w:r>
    </w:p>
    <w:p>
      <w:pPr>
        <w:rPr>
          <w:rFonts w:hint="eastAsi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-US" w:eastAsia="zh-CN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 2. 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Results of the MR analysis between all gut microbes and eBMD</w:t>
      </w:r>
    </w:p>
    <w:p>
      <w:pPr>
        <w:rPr>
          <w:rFonts w:hint="eastAsi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-US" w:eastAsia="zh-CN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 3.</w:t>
      </w:r>
      <w:r>
        <w:rPr>
          <w:rFonts w:hint="eastAsia" w:ascii="Times New Roman" w:hAnsi="Times New Roman" w:eastAsia="宋体" w:cs="Times New Roman"/>
          <w:kern w:val="0"/>
          <w:sz w:val="22"/>
          <w:lang w:val="en" w:eastAsia="zh-Hans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IVs related to 211 GM taxa and BMI (locus-wide significance, P&lt; 1.00E-05)</w:t>
      </w:r>
    </w:p>
    <w:p>
      <w:pPr>
        <w:rPr>
          <w:rFonts w:hint="eastAsi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-US" w:eastAsia="zh-CN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 4.</w:t>
      </w:r>
      <w:r>
        <w:rPr>
          <w:rFonts w:hint="eastAsia" w:ascii="Times New Roman" w:hAnsi="Times New Roman" w:eastAsia="宋体" w:cs="Times New Roman"/>
          <w:kern w:val="0"/>
          <w:sz w:val="22"/>
          <w:lang w:val="en" w:eastAsia="zh-Hans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Results of the MR analysis between all gut microbes and eBMD </w:t>
      </w:r>
    </w:p>
    <w:p>
      <w:pPr>
        <w:rPr>
          <w:rFonts w:hint="eastAsi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-US" w:eastAsia="zh-CN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 5.</w:t>
      </w:r>
      <w:r>
        <w:rPr>
          <w:rFonts w:hint="eastAsia" w:ascii="Times New Roman" w:hAnsi="Times New Roman" w:eastAsia="宋体" w:cs="Times New Roman"/>
          <w:kern w:val="0"/>
          <w:sz w:val="22"/>
          <w:lang w:val="en" w:eastAsia="zh-Hans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IVs related to BMI and eBMD (locus-wide significance, P&lt; 1.00E-05) </w:t>
      </w:r>
    </w:p>
    <w:p>
      <w:pP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2"/>
          <w:lang w:val="en" w:eastAsia="zh-Hans"/>
        </w:rPr>
        <w:t xml:space="preserve">Supplementary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2"/>
          <w:lang w:val="en-US" w:eastAsia="zh-CN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1-5 contain too much data to be put in the file, so we showed them in Supplement Table alone.)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-US" w:eastAsia="zh-CN"/>
        </w:rPr>
        <w:t>Figure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 1.</w:t>
      </w:r>
      <w:r>
        <w:rPr>
          <w:rFonts w:hint="eastAsia" w:ascii="Times New Roman" w:hAnsi="Times New Roman" w:eastAsia="宋体" w:cs="Times New Roman"/>
          <w:kern w:val="0"/>
          <w:sz w:val="22"/>
          <w:lang w:val="en" w:eastAsia="zh-Hans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Scatter plots with gut microbiota as the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exposure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 and eBMD as the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outcome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. </w:t>
      </w:r>
    </w:p>
    <w:p>
      <w:pPr>
        <w:rPr>
          <w:rFonts w:hint="eastAsi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-US" w:eastAsia="zh-CN"/>
        </w:rPr>
        <w:t>Figure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 2.</w:t>
      </w:r>
      <w:r>
        <w:rPr>
          <w:rFonts w:hint="eastAsia" w:ascii="Times New Roman" w:hAnsi="Times New Roman" w:eastAsia="宋体" w:cs="Times New Roman"/>
          <w:kern w:val="0"/>
          <w:sz w:val="22"/>
          <w:lang w:val="en" w:eastAsia="zh-Hans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Leave-one-out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 plots with gut microbiota as the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exposure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 and eBMD as the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outcome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.  </w:t>
      </w:r>
    </w:p>
    <w:p>
      <w:pPr>
        <w:rPr>
          <w:rFonts w:hint="eastAsia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-US" w:eastAsia="zh-CN"/>
        </w:rPr>
        <w:t>Figure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 3. 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Scatter plots with gut microbiota as the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exposur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 and BMI as the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outcome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. </w:t>
      </w:r>
    </w:p>
    <w:p>
      <w:pP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-US" w:eastAsia="zh-CN"/>
        </w:rPr>
        <w:t>Figure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-US" w:eastAsia="zh-CN"/>
        </w:rPr>
        <w:t>4</w:t>
      </w:r>
      <w:r>
        <w:rPr>
          <w:rFonts w:ascii="Times New Roman" w:hAnsi="Times New Roman" w:eastAsia="宋体" w:cs="Times New Roman"/>
          <w:b/>
          <w:bCs/>
          <w:kern w:val="0"/>
          <w:sz w:val="22"/>
          <w:lang w:val="en" w:eastAsia="zh-Hans"/>
        </w:rPr>
        <w:t>.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Leave-one-out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 plots with gut microbiota as the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exposure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 and BMI as the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outcome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. </w:t>
      </w:r>
    </w:p>
    <w:p>
      <w:pPr>
        <w:widowControl/>
        <w:shd w:val="clear" w:color="auto" w:fill="FFFFFF"/>
        <w:jc w:val="left"/>
        <w:rPr>
          <w:rFonts w:ascii="Times New Roman" w:hAnsi="Times New Roman" w:cs="Times New Roman"/>
          <w:b/>
          <w:bCs/>
          <w:sz w:val="22"/>
          <w:lang w:val="e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hd w:val="clear" w:color="auto" w:fill="FFFFFF"/>
        <w:jc w:val="left"/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</w:pPr>
      <w:r>
        <w:rPr>
          <w:rFonts w:ascii="Times New Roman" w:hAnsi="Times New Roman" w:cs="Times New Roman"/>
          <w:b/>
          <w:bCs/>
          <w:sz w:val="22"/>
          <w:lang w:val="en"/>
        </w:rPr>
        <w:t>Supplementary</w:t>
      </w:r>
      <w:r>
        <w:rPr>
          <w:rFonts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 Figure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-US" w:eastAsia="zh-CN"/>
        </w:rPr>
        <w:t>1</w:t>
      </w:r>
      <w:r>
        <w:rPr>
          <w:rFonts w:ascii="Times New Roman" w:hAnsi="Times New Roman" w:eastAsia="宋体" w:cs="Times New Roman"/>
          <w:b/>
          <w:bCs/>
          <w:kern w:val="0"/>
          <w:sz w:val="22"/>
          <w:lang w:val="en" w:eastAsia="zh-Hans"/>
        </w:rPr>
        <w:t>.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Scatter plot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with gut microbiota as 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</w:rPr>
        <w:t>exposure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and 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eBMD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as the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</w:rPr>
        <w:t>outcome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. 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drawing>
          <wp:inline distT="0" distB="0" distL="114300" distR="114300">
            <wp:extent cx="5147310" cy="5705475"/>
            <wp:effectExtent l="0" t="0" r="8890" b="9525"/>
            <wp:docPr id="5" name="图片 5" descr="gut-eBMD散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gut-eBMD散点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 xml:space="preserve">There are the 8 scatter plots which the IVW methods showing correlations.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>(a) exposure: genus.RuminococcaceaeNK4A214group, outcome: eBMD; (b) exposure: genus.Eubacteriumfissicatenagroup, outcome: eBMD; (c) exposure: genus.RikenellaceaeRC9gutgroup, outcome: eBMD; (d) exposure: family.Clostridiaceae1, outcome: eBMD; (e) exposure: family.Actinomycetaceae, outcome: eBMD; (f) exposure: genus.Coprococcus2, outcome: eBMD; (g) exposure: phylum.Actinobacteria, outcome: eBMD; (h) exposure: order.Actinomycetales, outcome: eBMD;</w:t>
      </w:r>
    </w:p>
    <w:p>
      <w:pPr>
        <w:pStyle w:val="2"/>
        <w:ind w:left="0" w:leftChars="0" w:firstLine="0" w:firstLineChars="0"/>
        <w:rPr>
          <w:rFonts w:hint="eastAsia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hd w:val="clear" w:color="auto" w:fill="FFFFFF"/>
        <w:jc w:val="left"/>
        <w:rPr>
          <w:rFonts w:hint="default" w:ascii="Times New Roman" w:hAnsi="Times New Roman" w:eastAsia="宋体" w:cs="Times New Roman"/>
          <w:b/>
          <w:bCs/>
          <w:kern w:val="0"/>
          <w:sz w:val="22"/>
          <w:lang w:val="en-US" w:eastAsia="zh-Hans"/>
        </w:rPr>
      </w:pPr>
      <w:r>
        <w:rPr>
          <w:rFonts w:ascii="Times New Roman" w:hAnsi="Times New Roman" w:cs="Times New Roman"/>
          <w:b/>
          <w:bCs/>
          <w:sz w:val="22"/>
          <w:lang w:val="en"/>
        </w:rPr>
        <w:t>Supplementary</w:t>
      </w:r>
      <w:r>
        <w:rPr>
          <w:rFonts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 Figure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bCs/>
          <w:kern w:val="0"/>
          <w:sz w:val="22"/>
          <w:lang w:val="en" w:eastAsia="zh-Hans"/>
        </w:rPr>
        <w:t>.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Leave-one-out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plot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with gut microbiota as 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</w:rPr>
        <w:t>exposure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and 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eBMD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as the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</w:rPr>
        <w:t>outcome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. </w:t>
      </w:r>
    </w:p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013960" cy="6901815"/>
            <wp:effectExtent l="0" t="0" r="2540" b="6985"/>
            <wp:docPr id="6" name="图片 6" descr="gut-eBMD留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gut-eBMD留一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690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 xml:space="preserve">There are the 8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>Leave-one-out</w:t>
      </w: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 xml:space="preserve"> plots which the IVW methods showing correlations.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>(a) exposure: family.Clostridiaceae1, outcome: eBMD; (b) exposure: genus.RikenellaceaeRC9gutgroup , outcome: eBMD; (c) exposure: genus.Coprococcus2, outcome: eBMD; (d) exposure: genus.RuminococcaceaeNK4A214group, outcome: eBMD; (e)  exposure: order.Actinomycetales, outcome: eBMD; (f) exposure: genus.Eubacteriumfissicatenagroup, outcome: eBMD; (g) exposure: phylum.Actinobacteria, outcome: eBMD; (h) exposure: family.Actinomycetaceae, outcome: eBMD;</w:t>
      </w:r>
    </w:p>
    <w:p>
      <w:pPr>
        <w:widowControl/>
        <w:shd w:val="clear" w:color="auto" w:fill="FFFFFF"/>
        <w:jc w:val="left"/>
        <w:rPr>
          <w:rFonts w:hint="default" w:ascii="Times New Roman" w:hAnsi="Times New Roman" w:eastAsia="宋体" w:cs="Times New Roman"/>
          <w:b/>
          <w:bCs/>
          <w:kern w:val="0"/>
          <w:sz w:val="22"/>
          <w:lang w:val="en-US" w:eastAsia="zh-Hans"/>
        </w:rPr>
      </w:pPr>
      <w:r>
        <w:rPr>
          <w:rFonts w:ascii="Times New Roman" w:hAnsi="Times New Roman" w:cs="Times New Roman"/>
          <w:b/>
          <w:bCs/>
          <w:sz w:val="22"/>
          <w:lang w:val="en"/>
        </w:rPr>
        <w:t>Supplementary</w:t>
      </w:r>
      <w:r>
        <w:rPr>
          <w:rFonts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 Figure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-US" w:eastAsia="zh-CN"/>
        </w:rPr>
        <w:t>3</w:t>
      </w:r>
      <w:r>
        <w:rPr>
          <w:rFonts w:ascii="Times New Roman" w:hAnsi="Times New Roman" w:eastAsia="宋体" w:cs="Times New Roman"/>
          <w:b/>
          <w:bCs/>
          <w:kern w:val="0"/>
          <w:sz w:val="22"/>
          <w:lang w:val="en" w:eastAsia="zh-Hans"/>
        </w:rPr>
        <w:t>.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Scatter plot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with gut microbiota as 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</w:rPr>
        <w:t>exposure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and BMI as the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</w:rPr>
        <w:t>outcome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. </w:t>
      </w:r>
    </w:p>
    <w:p>
      <w:pPr>
        <w:pStyle w:val="2"/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5746115"/>
            <wp:effectExtent l="0" t="0" r="1905" b="6985"/>
            <wp:docPr id="1" name="图片 1" descr="gut-BMI散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ut-BMI散点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74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 w:eastAsiaTheme="minorEastAsia"/>
          <w:lang w:eastAsia="zh-CN"/>
        </w:rPr>
      </w:pPr>
    </w:p>
    <w:p>
      <w:pPr>
        <w:pStyle w:val="2"/>
        <w:ind w:left="0" w:leftChars="0" w:firstLine="0" w:firstLineChars="0"/>
        <w:rPr>
          <w:rFonts w:hint="eastAsia" w:eastAsiaTheme="minorEastAsia"/>
          <w:lang w:eastAsia="zh-CN"/>
        </w:rPr>
      </w:pPr>
    </w:p>
    <w:p>
      <w:pPr>
        <w:pStyle w:val="2"/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5625465"/>
            <wp:effectExtent l="0" t="0" r="9525" b="635"/>
            <wp:docPr id="2" name="图片 2" descr="gut-BMI散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ut-BMI散点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62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b/>
          <w:bCs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>There are the 15 scatter plots which the IVW methods showing correlations.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 xml:space="preserve"> (a)exposure: family.Bifidobacteriaceae, outcome: BMI; (b)exposure: genus.Coprobacter, outcome: BMI; (c)exposure: class.Actinobacteria, outcome: BMI; (d)exposure: genus.Olsenella, outcome: BMI; (e) exposure: family.Christensenellaceae, outcome: BMI; (f)exposure: class.Methanobacteria, outcome: BMI; (g)exposure: class.Melainabacteria, outcome: BMI; (h)exposure: family.Methanobacteriaceae, outcome: BMI; (i)exposure: genus.RuminococcaceaeUCG002, outcome: BMI. (j)exposure: genus.RuminococcaceaeUCG010, outcome: BMI; (k)exposure: genus.Eubacteriumhalliigroup, outcome: BMI; (l)exposure: order.Methanobacteriales, outcome: BMI; (m)exposure: order.Gastranaerophilales, outcome: BMI; (n) exposure: order.Bifidobacteriales, outcome: BMI; (o)exposure: phylum.Actinobacteria, outcome: BMI.</w:t>
      </w:r>
    </w:p>
    <w:p>
      <w:pPr>
        <w:widowControl/>
        <w:shd w:val="clear" w:color="auto" w:fill="FFFFFF"/>
        <w:jc w:val="left"/>
        <w:rPr>
          <w:rFonts w:hint="default" w:ascii="Times New Roman" w:hAnsi="Times New Roman" w:eastAsia="宋体" w:cs="Times New Roman"/>
          <w:b/>
          <w:bCs/>
          <w:kern w:val="0"/>
          <w:sz w:val="22"/>
          <w:lang w:val="en-US" w:eastAsia="zh-Hans"/>
        </w:rPr>
      </w:pPr>
      <w:r>
        <w:rPr>
          <w:rFonts w:ascii="Times New Roman" w:hAnsi="Times New Roman" w:cs="Times New Roman"/>
          <w:b/>
          <w:bCs/>
          <w:sz w:val="22"/>
          <w:lang w:val="en"/>
        </w:rPr>
        <w:t>Supplementary</w:t>
      </w:r>
      <w:r>
        <w:rPr>
          <w:rFonts w:ascii="Times New Roman" w:hAnsi="Times New Roman" w:eastAsia="宋体" w:cs="Times New Roman"/>
          <w:b/>
          <w:bCs/>
          <w:kern w:val="0"/>
          <w:sz w:val="22"/>
          <w:lang w:val="en" w:eastAsia="zh-Hans"/>
        </w:rPr>
        <w:t xml:space="preserve"> Figure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lang w:val="en-US" w:eastAsia="zh-CN"/>
        </w:rPr>
        <w:t>4</w:t>
      </w:r>
      <w:r>
        <w:rPr>
          <w:rFonts w:ascii="Times New Roman" w:hAnsi="Times New Roman" w:eastAsia="宋体" w:cs="Times New Roman"/>
          <w:b/>
          <w:bCs/>
          <w:kern w:val="0"/>
          <w:sz w:val="22"/>
          <w:lang w:val="en" w:eastAsia="zh-Hans"/>
        </w:rPr>
        <w:t>.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Leave-one-out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plot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with gut microbiota as 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</w:rPr>
        <w:t>exposure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and BMI as the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</w:rPr>
        <w:t>outcome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 xml:space="preserve">. </w:t>
      </w:r>
    </w:p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040" cy="7178040"/>
            <wp:effectExtent l="0" t="0" r="10160" b="10160"/>
            <wp:docPr id="3" name="图片 3" descr="gut-BMI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gut-BMI图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17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2405" cy="7564755"/>
            <wp:effectExtent l="0" t="0" r="10795" b="4445"/>
            <wp:docPr id="4" name="图片 4" descr="gut-BMI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gut-BMI图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>There are the 15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2"/>
          <w:lang w:val="en-US" w:eastAsia="zh-CN"/>
        </w:rPr>
        <w:t>Leave-one-out</w:t>
      </w:r>
      <w:r>
        <w:rPr>
          <w:rFonts w:hint="default" w:ascii="Times New Roman" w:hAnsi="Times New Roman" w:eastAsia="宋体" w:cs="Times New Roman"/>
          <w:kern w:val="0"/>
          <w:sz w:val="22"/>
          <w:lang w:val="en-US" w:eastAsia="zh-CN"/>
        </w:rPr>
        <w:t>”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 xml:space="preserve"> plots which the IVW methods showing correlations. (a)exposure: class.Methanobacteria family.Bifidobacteriaceae, outcome: BMI; (b)exposure: family.Bifidobacteriaceae , outcome: BMI; (c)exposure: genus.Coprobacter , outcome: BMI; (d)exposure: class.Actinobacteria , outcome: BMI; (e) exposure: genus.Olsenella , outcome: BMI; (f)exposure: family.Christensenellaceae, outcome: BMI; (g) exposure: class.Methanobacteria, outcome: BMI; (h)exposure:  class.Melainabacteria, outcome: BMI; (i)exposure: genus.RuminococcaceaeUCG010, outcome: BMI. (j)exposure: genus.RuminococcaceaeUCG002, outcome: BMI; (k)exposure: genus.Eubacteriumhalliigroup, outcome: BMI; (l)exposure: order.Methanobacteriales, outcome: BMI; (m)exposure: order.Bifidobacteriales, outcome: BMI; (n) exposure: order.Gastranaerophilales, outcome: BMI; (o)exposure: phylum.Actinobacteria, outcome: BMI</w:t>
      </w:r>
    </w:p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669" w:bottom="1440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xMWM0NmY4N2ZjNGQ0NTg5ZDY3ZmRhN2FkODUzZjAifQ=="/>
  </w:docVars>
  <w:rsids>
    <w:rsidRoot w:val="0D39698C"/>
    <w:rsid w:val="0D2F0330"/>
    <w:rsid w:val="0D39698C"/>
    <w:rsid w:val="24FB1618"/>
    <w:rsid w:val="35FA4063"/>
    <w:rsid w:val="390A4620"/>
    <w:rsid w:val="4A165892"/>
    <w:rsid w:val="62792788"/>
    <w:rsid w:val="70F7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customStyle="1" w:styleId="7">
    <w:name w:val="Supplementary Material"/>
    <w:basedOn w:val="4"/>
    <w:next w:val="4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522</Words>
  <Characters>4024</Characters>
  <Lines>0</Lines>
  <Paragraphs>0</Paragraphs>
  <TotalTime>7</TotalTime>
  <ScaleCrop>false</ScaleCrop>
  <LinksUpToDate>false</LinksUpToDate>
  <CharactersWithSpaces>4538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2023-04-04T03:21:00Z</dcterms:created>
  <dc:creator>许文昌</dc:creator>
  <cp:lastModifiedBy>许文昌</cp:lastModifiedBy>
  <dcterms:modified xsi:type="dcterms:W3CDTF">2023-07-05T15:05:02Z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C37965AC16E244BCAE3AF4443F8EC5AA_13</vt:lpwstr>
  </property>
</Properties>
</file>