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 Instrumental variables in MR analysis of the association between gut microbiota and </w:t>
      </w:r>
      <w:r>
        <w:rPr>
          <w:rFonts w:hint="eastAsia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GC</w:t>
      </w:r>
      <w:r>
        <w:rPr>
          <w:rFonts w:hint="default" w:ascii="Times New Roman" w:hAnsi="Times New Roman" w:eastAsia="等线" w:cs="Times New Roman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.</w:t>
      </w:r>
    </w:p>
    <w:tbl>
      <w:tblPr>
        <w:tblW w:w="1442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9"/>
        <w:gridCol w:w="1429"/>
        <w:gridCol w:w="1462"/>
        <w:gridCol w:w="1277"/>
        <w:gridCol w:w="1516"/>
        <w:gridCol w:w="1451"/>
        <w:gridCol w:w="1472"/>
        <w:gridCol w:w="1211"/>
        <w:gridCol w:w="13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30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Bacterial taxa (exposure)</w:t>
            </w:r>
          </w:p>
        </w:tc>
        <w:tc>
          <w:tcPr>
            <w:tcW w:w="142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SNP</w:t>
            </w:r>
          </w:p>
        </w:tc>
        <w:tc>
          <w:tcPr>
            <w:tcW w:w="146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beta.exposure</w:t>
            </w:r>
          </w:p>
        </w:tc>
        <w:tc>
          <w:tcPr>
            <w:tcW w:w="127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se.exposure</w:t>
            </w:r>
          </w:p>
        </w:tc>
        <w:tc>
          <w:tcPr>
            <w:tcW w:w="151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pval.exposure</w:t>
            </w:r>
          </w:p>
        </w:tc>
        <w:tc>
          <w:tcPr>
            <w:tcW w:w="145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beta.outcome</w:t>
            </w:r>
          </w:p>
        </w:tc>
        <w:tc>
          <w:tcPr>
            <w:tcW w:w="147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pval.outcome</w:t>
            </w:r>
          </w:p>
        </w:tc>
        <w:tc>
          <w:tcPr>
            <w:tcW w:w="121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se.outcome</w:t>
            </w:r>
          </w:p>
        </w:tc>
        <w:tc>
          <w:tcPr>
            <w:tcW w:w="130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eaf.outcome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Peptococcus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rs10031059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1.24E-07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Peptococcus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rs11001941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-0.20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1.33E-06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Peptococcus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rs2054133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2.14E-06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Peptococcus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rs413827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3.30E-06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Peptococcus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rs5770862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3.22E-06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Peptococcus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rs6918730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1.15E-06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Peptococcus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rs7033353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2.22E-06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rs7766680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9.65E-06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rs1035691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4.63E-06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rs112381107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3.94E-06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rs11599763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5.68E-06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rs16851319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5.69E-06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rs17084793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1.60E-06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rs17791387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3.14E-06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rs2692012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5.45E-06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rs2838334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7.50E-06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rs3935584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3.59E-06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rs4506934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7.31E-06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rs55744759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3.40E-07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rs6058181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4.85E-06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(UCG005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rs62020470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(UCG006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rs9928243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8.17E-06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(UCG007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rs10873449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4.30E-07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(UCG008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rs10937802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3.22E-06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(UCG009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rs10950694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3.10E-06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(UCG010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rs114279581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2.41E-06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(UCG011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rs12288512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3.54E-06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(UCG012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rs12458218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3.75E-06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(UCG013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rs2893871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2.60E-06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Ruminococcaceae (UCG014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rs35166120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9.28E-07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1.13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rs394449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3.22E-06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rs60081663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2.61E-06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rs72776570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2.70E-06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rs7449320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2.25E-06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rs7555878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8.74E-06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rs7586445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2.27E-06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rs898577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rs112381107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7.20E-06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rs11599763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2.43E-06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rs16851319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2.53E-07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rs17791387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7.51E-06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rs186073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9.00E-06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Clostridium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  <w:lang w:val="en-US" w:eastAsia="zh-CN" w:bidi="ar"/>
              </w:rPr>
              <w:t>sensu stricto1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rs2692012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2.38E-06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Clostridium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  <w:lang w:val="en-US" w:eastAsia="zh-CN" w:bidi="ar"/>
              </w:rPr>
              <w:t>sensu stricto2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rs2838334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9.27E-06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Clostridium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  <w:lang w:val="en-US" w:eastAsia="zh-CN" w:bidi="ar"/>
              </w:rPr>
              <w:t>sensu stricto3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rs3935584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7.97E-06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Clostridium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  <w:lang w:val="en-US" w:eastAsia="zh-CN" w:bidi="ar"/>
              </w:rPr>
              <w:t>sensu stricto4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rs4506934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6.99E-06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Clostridium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  <w:lang w:val="en-US" w:eastAsia="zh-CN" w:bidi="ar"/>
              </w:rPr>
              <w:t>sensu stricto5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rs6058181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4.56E-06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Clostridium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  <w:lang w:val="en-US" w:eastAsia="zh-CN" w:bidi="ar"/>
              </w:rPr>
              <w:t>sensu stricto6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rs62020470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3.73E-06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Clostridium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  <w:lang w:val="en-US" w:eastAsia="zh-CN" w:bidi="ar"/>
              </w:rPr>
              <w:t>sensu stricto7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rs72647048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7.34E-06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Clostridium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  <w:lang w:val="en-US" w:eastAsia="zh-CN" w:bidi="ar"/>
              </w:rPr>
              <w:t>sensu stricto8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rs9928243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7.03E-06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Eubacterium (brachy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rs112617308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7.76E-06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Eubacterium (brachy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rs12151423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8.85E-06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Eubacterium (brachy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rs13139592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4.82E-06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Eubacterium (brachy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rs1384962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7.49E-06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Prevotella 7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rs2913110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9.49E-06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Prevotella 8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rs4862235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8.73E-06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Prevotella 9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rs6591893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9.64E-06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Prevotella 10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rs720439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4.84E-06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Prevotella 11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rs11264403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2.87E-06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Prevotella 12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rs11586026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6.22E-07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Prevotella 13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rs12341505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7.51E-06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Prevotella 14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rs12490337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9.72E-06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Prevotella 15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rs2817172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2.07E-06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Lachnospiraceae (NC2004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rs550843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3.11E-06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Lachnospiraceae (NC2005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rs12124567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9.75E-06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Lachnospiraceae (NC2006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rs12195431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6.04E-06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Lachnospiraceae (NC2007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rs16937247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5.34E-06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Lachnospiraceae (NC2008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rs2240542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5.61E-06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Lachnospiraceae (NC2009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rs430270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9.06E-06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Lachnospiraceae (NC2010 group)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rs57404562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3.33E-06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Roseburia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rs79263163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9.64E-07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Roseburia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rs9426434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9.27E-06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Roseburia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rs9608249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8.37E-06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Roseburia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rs9959718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8.84E-06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Roseburia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rs12127733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8.58E-06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Roseburia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rs12208226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4.99E-06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rs12863463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7.34E-06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rs1331592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2.91E-06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rs17067076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5.01E-07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0.85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rs1929743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9.70E-07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rs3756315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4.11E-06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rs6116753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8.13E-06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0.33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rs12675596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5.90E-06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rs17380632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4.67E-06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rs2154444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8.30E-06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rs34619204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3.53E-06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0.57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rs4364940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7.50E-06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-0.02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rs4680035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9.98E-06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0.17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SNP, single nucleotide polymorphism;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se, standard error; eaf, effect allele frequency.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/>
    <w:p/>
    <w:p/>
    <w:p/>
    <w:p/>
    <w:p/>
    <w:p/>
    <w:p/>
    <w:p/>
    <w:p/>
    <w:p/>
    <w:p/>
    <w:p>
      <w:p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Table S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The heterogeneity of gut microbiota instrumental variables.</w:t>
      </w:r>
    </w:p>
    <w:tbl>
      <w:tblPr>
        <w:tblStyle w:val="2"/>
        <w:tblW w:w="99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8"/>
        <w:gridCol w:w="2866"/>
        <w:gridCol w:w="960"/>
        <w:gridCol w:w="1067"/>
        <w:gridCol w:w="1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Bacterial taxa (exposure)</w:t>
            </w:r>
          </w:p>
        </w:tc>
        <w:tc>
          <w:tcPr>
            <w:tcW w:w="2866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method</w:t>
            </w:r>
          </w:p>
        </w:tc>
        <w:tc>
          <w:tcPr>
            <w:tcW w:w="960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</w:t>
            </w:r>
          </w:p>
        </w:tc>
        <w:tc>
          <w:tcPr>
            <w:tcW w:w="1067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df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866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7.99</w:t>
            </w:r>
          </w:p>
        </w:tc>
        <w:tc>
          <w:tcPr>
            <w:tcW w:w="1067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40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6.61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stricto1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stricto1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13.52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(NC2004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(NC2004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16.04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(UCG005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(UCG005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10.12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7.89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866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0.70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sz w:val="21"/>
          <w:szCs w:val="21"/>
        </w:rPr>
        <w:t>f, degree of freedom.</w:t>
      </w: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Directional horizontal pleiotropy assessed by intercept term in MR Egger regression of the association between gut microbiota and 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GC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.</w:t>
      </w:r>
    </w:p>
    <w:tbl>
      <w:tblPr>
        <w:tblStyle w:val="2"/>
        <w:tblW w:w="783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0"/>
        <w:gridCol w:w="2170"/>
        <w:gridCol w:w="10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39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Bacterial taxa (exposure)</w:t>
            </w:r>
          </w:p>
        </w:tc>
        <w:tc>
          <w:tcPr>
            <w:tcW w:w="217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gger_intercept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SE</w:t>
            </w:r>
          </w:p>
        </w:tc>
        <w:tc>
          <w:tcPr>
            <w:tcW w:w="119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17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119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stricto1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(NC2004 group)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 7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(UCG005 group)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3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17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MR, Mendelian randomization;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GC</w:t>
      </w:r>
      <w:r>
        <w:rPr>
          <w:rFonts w:hint="default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gastric cancer</w:t>
      </w:r>
      <w:r>
        <w:rPr>
          <w:rFonts w:hint="default" w:ascii="Times New Roman" w:hAnsi="Times New Roman" w:cs="Times New Roman"/>
          <w:sz w:val="21"/>
          <w:szCs w:val="21"/>
        </w:rPr>
        <w:t>; SE, standard error.</w:t>
      </w: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tbl>
      <w:tblPr>
        <w:tblStyle w:val="2"/>
        <w:tblW w:w="4898" w:type="pct"/>
        <w:jc w:val="center"/>
        <w:tblDescription w:val="{&quot;styleId&quot;:2}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2"/>
        <w:gridCol w:w="1824"/>
        <w:gridCol w:w="2222"/>
        <w:gridCol w:w="764"/>
        <w:gridCol w:w="1000"/>
        <w:gridCol w:w="1175"/>
        <w:gridCol w:w="1050"/>
        <w:gridCol w:w="25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Table S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MR-PRESSO analysis for the association between gut microbiota and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GC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Bacterial taxa (exposure)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 Analysis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Causal Estimate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SD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RSS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obs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Distortion Test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P-value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等线" w:cs="Times New Roman"/>
                <w:i/>
                <w:i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0.0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-1.01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0.31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等线" w:cs="Times New Roman"/>
                <w:i/>
                <w:i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-0.04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-1.40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0.16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等线" w:cs="Times New Roman"/>
                <w:i/>
                <w:i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-0.04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-1.40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等线" w:cs="Times New Roman"/>
                <w:i/>
                <w:i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stricto1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-0.04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-1.40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0.16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等线" w:cs="Times New Roman"/>
                <w:i/>
                <w:i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(NC2004 group)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-0.04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-1.40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等线" w:cs="Times New Roman"/>
                <w:i/>
                <w:i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-0.04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-1.40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0.16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等线" w:cs="Times New Roman"/>
                <w:i/>
                <w:i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 7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-0.04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-1.40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-0.04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-1.40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0.16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(UCG005 group)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-0.04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-1.40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175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等线" w:cs="Times New Roman"/>
                <w:i/>
                <w:i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MR-PRESSO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-0.04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-1.40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0.16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182.15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decimal" w:pos="420"/>
              </w:tabs>
              <w:spacing w:line="240" w:lineRule="auto"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0.177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eastAsia="等线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MR, Mendelian randomization; 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GC</w:t>
            </w: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gastric cancer</w:t>
            </w: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; SD, standard deviation; RSS</w:t>
            </w: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obs</w:t>
            </w: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 observed residual sum of squares.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p>
      <w:pPr>
        <w:spacing w:line="360" w:lineRule="auto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z w:val="21"/>
          <w:szCs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4"/>
          <w:lang w:val="en-US" w:eastAsia="zh-CN"/>
        </w:rPr>
        <w:t>S5</w:t>
      </w:r>
      <w:r>
        <w:rPr>
          <w:rFonts w:hint="default" w:ascii="Times New Roman" w:hAnsi="Times New Roman" w:cs="Times New Roman"/>
          <w:sz w:val="21"/>
          <w:szCs w:val="24"/>
        </w:rPr>
        <w:t xml:space="preserve"> </w:t>
      </w:r>
      <w:r>
        <w:rPr>
          <w:rFonts w:hint="eastAsia" w:ascii="Times New Roman" w:hAnsi="Times New Roman" w:cs="Times New Roman"/>
          <w:sz w:val="21"/>
          <w:szCs w:val="24"/>
          <w:lang w:val="en-US" w:eastAsia="zh-CN"/>
        </w:rPr>
        <w:t xml:space="preserve">Reversal </w:t>
      </w:r>
      <w:r>
        <w:rPr>
          <w:rFonts w:hint="default" w:ascii="Times New Roman" w:hAnsi="Times New Roman" w:cs="Times New Roman"/>
          <w:sz w:val="21"/>
          <w:szCs w:val="24"/>
        </w:rPr>
        <w:t xml:space="preserve">MR </w:t>
      </w:r>
      <w:r>
        <w:rPr>
          <w:rFonts w:hint="eastAsia" w:ascii="Times New Roman" w:hAnsi="Times New Roman" w:cs="Times New Roman"/>
          <w:sz w:val="21"/>
          <w:szCs w:val="24"/>
          <w:lang w:val="en-US" w:eastAsia="zh-CN"/>
        </w:rPr>
        <w:t>result</w:t>
      </w:r>
      <w:r>
        <w:rPr>
          <w:rFonts w:hint="default" w:ascii="Times New Roman" w:hAnsi="Times New Roman" w:cs="Times New Roman"/>
          <w:sz w:val="21"/>
          <w:szCs w:val="24"/>
        </w:rPr>
        <w:t xml:space="preserve">s for the association </w:t>
      </w:r>
      <w:r>
        <w:rPr>
          <w:rFonts w:hint="eastAsia" w:ascii="Times New Roman" w:hAnsi="Times New Roman" w:cs="Times New Roman"/>
          <w:sz w:val="21"/>
          <w:szCs w:val="24"/>
          <w:lang w:val="en-US" w:eastAsia="zh-CN"/>
        </w:rPr>
        <w:t>of</w:t>
      </w:r>
      <w:r>
        <w:rPr>
          <w:rFonts w:hint="default" w:ascii="Times New Roman" w:hAnsi="Times New Roman" w:cs="Times New Roman"/>
          <w:sz w:val="21"/>
          <w:szCs w:val="24"/>
        </w:rPr>
        <w:t xml:space="preserve"> </w:t>
      </w:r>
      <w:r>
        <w:rPr>
          <w:rFonts w:hint="default" w:ascii="Times New Roman" w:hAnsi="Times New Roman" w:cs="Times New Roman"/>
          <w:sz w:val="21"/>
          <w:szCs w:val="24"/>
          <w:lang w:val="en-US" w:eastAsia="zh-CN"/>
        </w:rPr>
        <w:t>GC</w:t>
      </w:r>
      <w:r>
        <w:rPr>
          <w:rFonts w:hint="default" w:ascii="Times New Roman" w:hAnsi="Times New Roman" w:cs="Times New Roman"/>
          <w:sz w:val="21"/>
          <w:szCs w:val="24"/>
        </w:rPr>
        <w:t xml:space="preserve"> and gut microbiota</w:t>
      </w:r>
      <w:r>
        <w:rPr>
          <w:rFonts w:hint="eastAsia" w:ascii="Times New Roman" w:hAnsi="Times New Roman" w:cs="Times New Roman"/>
          <w:sz w:val="21"/>
          <w:szCs w:val="24"/>
          <w:lang w:val="en-US" w:eastAsia="zh-CN"/>
        </w:rPr>
        <w:t>.</w:t>
      </w:r>
    </w:p>
    <w:tbl>
      <w:tblPr>
        <w:tblStyle w:val="2"/>
        <w:tblW w:w="1345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2"/>
        <w:gridCol w:w="2940"/>
        <w:gridCol w:w="1812"/>
        <w:gridCol w:w="1100"/>
        <w:gridCol w:w="720"/>
        <w:gridCol w:w="1264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Bacterial taxa (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outcome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9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method</w:t>
            </w:r>
          </w:p>
        </w:tc>
        <w:tc>
          <w:tcPr>
            <w:tcW w:w="181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 of SNP</w:t>
            </w:r>
          </w:p>
        </w:tc>
        <w:tc>
          <w:tcPr>
            <w:tcW w:w="11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P-value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</w:t>
            </w:r>
          </w:p>
        </w:tc>
        <w:tc>
          <w:tcPr>
            <w:tcW w:w="12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% LCI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95% UCI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94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6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(NC2004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(NC2005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(NC2006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(NC2007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(NC2008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 7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 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 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 10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 11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(UCG005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(UCG006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(UCG007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(UCG008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(UCG009 group)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0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MR, Mendelian randomization;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GC</w:t>
      </w:r>
      <w:r>
        <w:rPr>
          <w:rFonts w:hint="default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gastric cancer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; SNP, single nucleotide polymorphism; OR, odds ratio;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L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CI,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lower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confidence interval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; U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CI,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upper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confidence interval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.</w:t>
      </w: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Table S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The heterogeneity of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GC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instrumental variables.</w:t>
      </w:r>
    </w:p>
    <w:tbl>
      <w:tblPr>
        <w:tblStyle w:val="2"/>
        <w:tblW w:w="99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8"/>
        <w:gridCol w:w="2866"/>
        <w:gridCol w:w="960"/>
        <w:gridCol w:w="1067"/>
        <w:gridCol w:w="1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Bacterial taxa (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outcome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866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method</w:t>
            </w:r>
          </w:p>
        </w:tc>
        <w:tc>
          <w:tcPr>
            <w:tcW w:w="960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</w:t>
            </w:r>
          </w:p>
        </w:tc>
        <w:tc>
          <w:tcPr>
            <w:tcW w:w="1067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df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866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</w:t>
            </w:r>
          </w:p>
        </w:tc>
        <w:tc>
          <w:tcPr>
            <w:tcW w:w="1067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single" w:color="auto" w:sz="6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stricto1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stricto1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(NC2004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(NC2004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12.69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(UCG005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(UCG005 group)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12.65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 Egger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866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</w:t>
            </w:r>
          </w:p>
        </w:tc>
      </w:tr>
    </w:tbl>
    <w:p>
      <w:pPr>
        <w:jc w:val="left"/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sz w:val="21"/>
          <w:szCs w:val="21"/>
        </w:rPr>
        <w:t>f, degree of freedom.</w:t>
      </w: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7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Directional horizontal pleiotropy assessed by intercept term in MR Egger regression of the association between 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GC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and gut microbiota.</w:t>
      </w:r>
    </w:p>
    <w:tbl>
      <w:tblPr>
        <w:tblStyle w:val="2"/>
        <w:tblW w:w="783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0"/>
        <w:gridCol w:w="2170"/>
        <w:gridCol w:w="10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39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Bacterial taxa (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outcome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gger_intercept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SE</w:t>
            </w:r>
          </w:p>
        </w:tc>
        <w:tc>
          <w:tcPr>
            <w:tcW w:w="119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Deltaproteobacteria</w:t>
            </w:r>
          </w:p>
        </w:tc>
        <w:tc>
          <w:tcPr>
            <w:tcW w:w="217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119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Eubacterium (brachy group)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Alloprevotella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Clostridium sensu stricto1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Lachnospiraceae (NC2004 group)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Peptococcus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Prevotella 7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Roseburia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Ruminococcaceae (UCG005 group)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3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Desulfovibrionales</w:t>
            </w:r>
          </w:p>
        </w:tc>
        <w:tc>
          <w:tcPr>
            <w:tcW w:w="217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MR, Mendelian randomization;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GC</w:t>
      </w:r>
      <w:r>
        <w:rPr>
          <w:rFonts w:hint="default" w:ascii="Times New Roman" w:hAnsi="Times New Roman" w:eastAsia="等线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等线" w:cs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gastric cancer</w:t>
      </w:r>
      <w:r>
        <w:rPr>
          <w:rFonts w:hint="default" w:ascii="Times New Roman" w:hAnsi="Times New Roman" w:cs="Times New Roman"/>
          <w:sz w:val="21"/>
          <w:szCs w:val="21"/>
        </w:rPr>
        <w:t>; SE, standard error.</w:t>
      </w: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ind w:firstLine="2100" w:firstLineChars="1000"/>
        <w:jc w:val="left"/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p/>
    <w:p/>
    <w:p/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000000"/>
    <w:rsid w:val="07FC4100"/>
    <w:rsid w:val="1EC61264"/>
    <w:rsid w:val="2172065D"/>
    <w:rsid w:val="5B04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i/>
      <w:iCs/>
      <w:color w:val="000000"/>
      <w:sz w:val="21"/>
      <w:szCs w:val="21"/>
      <w:u w:val="none"/>
    </w:rPr>
  </w:style>
  <w:style w:type="character" w:customStyle="1" w:styleId="5">
    <w:name w:val="font31"/>
    <w:basedOn w:val="3"/>
    <w:uiPriority w:val="0"/>
    <w:rPr>
      <w:rFonts w:hint="default" w:ascii="Times New Roman" w:hAnsi="Times New Roman" w:cs="Times New Roman"/>
      <w:i/>
      <w:iCs/>
      <w:color w:val="000000"/>
      <w:sz w:val="21"/>
      <w:szCs w:val="21"/>
      <w:u w:val="none"/>
    </w:rPr>
  </w:style>
  <w:style w:type="character" w:customStyle="1" w:styleId="6">
    <w:name w:val="font41"/>
    <w:basedOn w:val="3"/>
    <w:uiPriority w:val="0"/>
    <w:rPr>
      <w:rFonts w:hint="default" w:ascii="Times New Roman" w:hAnsi="Times New Roman" w:cs="Times New Roman"/>
      <w:i/>
      <w:i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2023-06-06T14:30:00Z</dcterms:created>
  <dc:creator>admin</dc:creator>
  <cp:lastModifiedBy>虞永凯</cp:lastModifiedBy>
  <dcterms:modified xsi:type="dcterms:W3CDTF">2023-06-09T16:32:12Z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9CC3A8234D6B44728DA51C5E5AE11C9F_12</vt:lpwstr>
  </property>
</Properties>
</file>