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480" w:lineRule="auto"/>
        <w:jc w:val="center"/>
        <w:textAlignment w:val="auto"/>
        <w:rPr>
          <w:rFonts w:hint="default" w:ascii="Times New Roman" w:hAnsi="Times New Roman" w:eastAsia="宋体" w:cs="Times New Roman"/>
          <w:b/>
          <w:bCs/>
          <w:i/>
          <w:i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 xml:space="preserve">Anti-α-glucosidase, anti-proliferative and anti-enterovirus 71 activity of secondary metabolites identified from </w:t>
      </w:r>
      <w:r>
        <w:rPr>
          <w:rFonts w:hint="default" w:ascii="Times New Roman" w:hAnsi="Times New Roman" w:eastAsia="宋体" w:cs="Times New Roman"/>
          <w:b/>
          <w:bCs/>
          <w:i/>
          <w:iCs/>
          <w:color w:val="000000" w:themeColor="text1"/>
          <w:sz w:val="24"/>
          <w:szCs w:val="24"/>
          <w:highlight w:val="none"/>
          <w:vertAlign w:val="baseline"/>
          <w14:textFill>
            <w14:solidFill>
              <w14:schemeClr w14:val="tx1"/>
            </w14:solidFill>
          </w14:textFill>
        </w:rPr>
        <w:t>Grifola frondosa</w:t>
      </w:r>
    </w:p>
    <w:p>
      <w:pPr>
        <w:keepNext w:val="0"/>
        <w:keepLines w:val="0"/>
        <w:pageBreakBefore w:val="0"/>
        <w:kinsoku/>
        <w:wordWrap/>
        <w:overflowPunct/>
        <w:topLinePunct w:val="0"/>
        <w:bidi w:val="0"/>
        <w:spacing w:line="480" w:lineRule="auto"/>
        <w:textAlignment w:val="auto"/>
        <w:rPr>
          <w:rFonts w:hint="default" w:ascii="Times New Roman" w:hAnsi="Times New Roman" w:cs="Times New Roman"/>
          <w:sz w:val="24"/>
          <w:szCs w:val="24"/>
          <w:highlight w:val="none"/>
          <w:vertAlign w:val="baseline"/>
        </w:rPr>
      </w:pPr>
      <w:r>
        <w:rPr>
          <w:rFonts w:hint="default" w:ascii="Times New Roman" w:hAnsi="Times New Roman" w:cs="Times New Roman"/>
          <w:sz w:val="24"/>
          <w:szCs w:val="24"/>
          <w:highlight w:val="none"/>
          <w:vertAlign w:val="baseline"/>
        </w:rPr>
        <w:t xml:space="preserve">Junqiang He </w:t>
      </w:r>
      <w:r>
        <w:rPr>
          <w:rFonts w:hint="default" w:ascii="Times New Roman" w:hAnsi="Times New Roman" w:cs="Times New Roman"/>
          <w:sz w:val="24"/>
          <w:szCs w:val="24"/>
          <w:highlight w:val="none"/>
          <w:vertAlign w:val="superscript"/>
        </w:rPr>
        <w:t>a</w:t>
      </w:r>
      <w:r>
        <w:rPr>
          <w:rFonts w:hint="default" w:ascii="Times New Roman" w:hAnsi="Times New Roman" w:eastAsia="STIX-Regular" w:cs="Times New Roman"/>
          <w:color w:val="000000"/>
          <w:kern w:val="0"/>
          <w:sz w:val="24"/>
          <w:szCs w:val="24"/>
          <w:highlight w:val="none"/>
          <w:vertAlign w:val="baseline"/>
          <w:lang w:val="en-US" w:eastAsia="zh-CN" w:bidi="ar"/>
        </w:rPr>
        <w:t xml:space="preserve"> · </w:t>
      </w:r>
      <w:r>
        <w:rPr>
          <w:rFonts w:hint="default" w:ascii="Times New Roman" w:hAnsi="Times New Roman" w:cs="Times New Roman"/>
          <w:sz w:val="24"/>
          <w:szCs w:val="24"/>
          <w:highlight w:val="none"/>
          <w:vertAlign w:val="baseline"/>
        </w:rPr>
        <w:t xml:space="preserve">Wenyu Xiong </w:t>
      </w:r>
      <w:r>
        <w:rPr>
          <w:rFonts w:hint="default" w:ascii="Times New Roman" w:hAnsi="Times New Roman" w:cs="Times New Roman"/>
          <w:sz w:val="24"/>
          <w:szCs w:val="24"/>
          <w:highlight w:val="none"/>
          <w:vertAlign w:val="superscript"/>
        </w:rPr>
        <w:t>a</w:t>
      </w:r>
      <w:r>
        <w:rPr>
          <w:rFonts w:hint="default" w:ascii="Times New Roman" w:hAnsi="Times New Roman" w:eastAsia="STIX-Regular" w:cs="Times New Roman"/>
          <w:color w:val="000000"/>
          <w:kern w:val="0"/>
          <w:sz w:val="24"/>
          <w:szCs w:val="24"/>
          <w:highlight w:val="none"/>
          <w:vertAlign w:val="baseline"/>
          <w:lang w:val="en-US" w:eastAsia="zh-CN" w:bidi="ar"/>
        </w:rPr>
        <w:t xml:space="preserve"> · </w:t>
      </w:r>
      <w:r>
        <w:rPr>
          <w:rFonts w:hint="default" w:ascii="Times New Roman" w:hAnsi="Times New Roman" w:cs="Times New Roman"/>
          <w:sz w:val="24"/>
          <w:szCs w:val="24"/>
          <w:highlight w:val="none"/>
          <w:vertAlign w:val="baseline"/>
        </w:rPr>
        <w:t xml:space="preserve">Lina Zhao </w:t>
      </w:r>
      <w:r>
        <w:rPr>
          <w:rFonts w:hint="default" w:ascii="Times New Roman" w:hAnsi="Times New Roman" w:cs="Times New Roman"/>
          <w:sz w:val="24"/>
          <w:szCs w:val="24"/>
          <w:highlight w:val="none"/>
          <w:vertAlign w:val="superscript"/>
        </w:rPr>
        <w:t>a,b</w:t>
      </w:r>
      <w:r>
        <w:rPr>
          <w:rFonts w:hint="default" w:ascii="Times New Roman" w:hAnsi="Times New Roman" w:eastAsia="STIX-Regular" w:cs="Times New Roman"/>
          <w:color w:val="000000"/>
          <w:kern w:val="0"/>
          <w:sz w:val="24"/>
          <w:szCs w:val="24"/>
          <w:highlight w:val="none"/>
          <w:vertAlign w:val="baseline"/>
          <w:lang w:val="en-US" w:eastAsia="zh-CN" w:bidi="ar"/>
        </w:rPr>
        <w:t xml:space="preserve"> · </w:t>
      </w:r>
      <w:r>
        <w:rPr>
          <w:rFonts w:hint="default" w:ascii="Times New Roman" w:hAnsi="Times New Roman" w:cs="Times New Roman"/>
          <w:sz w:val="24"/>
          <w:szCs w:val="24"/>
          <w:highlight w:val="none"/>
          <w:vertAlign w:val="baseline"/>
        </w:rPr>
        <w:t xml:space="preserve">Bin Liu </w:t>
      </w:r>
      <w:r>
        <w:rPr>
          <w:rFonts w:hint="default" w:ascii="Times New Roman" w:hAnsi="Times New Roman" w:cs="Times New Roman"/>
          <w:sz w:val="24"/>
          <w:szCs w:val="24"/>
          <w:highlight w:val="none"/>
          <w:vertAlign w:val="superscript"/>
        </w:rPr>
        <w:t>a,b,**</w:t>
      </w:r>
      <w:r>
        <w:rPr>
          <w:rFonts w:hint="default" w:ascii="Times New Roman" w:hAnsi="Times New Roman" w:eastAsia="STIX-Regular" w:cs="Times New Roman"/>
          <w:color w:val="000000"/>
          <w:kern w:val="0"/>
          <w:sz w:val="24"/>
          <w:szCs w:val="24"/>
          <w:highlight w:val="none"/>
          <w:vertAlign w:val="baseline"/>
          <w:lang w:val="en-US" w:eastAsia="zh-CN" w:bidi="ar"/>
        </w:rPr>
        <w:t xml:space="preserve"> · </w:t>
      </w:r>
      <w:r>
        <w:rPr>
          <w:rFonts w:hint="default" w:ascii="Times New Roman" w:hAnsi="Times New Roman" w:cs="Times New Roman"/>
          <w:sz w:val="24"/>
          <w:szCs w:val="24"/>
          <w:highlight w:val="none"/>
          <w:vertAlign w:val="baseline"/>
        </w:rPr>
        <w:t xml:space="preserve">Ying Huang </w:t>
      </w:r>
      <w:r>
        <w:rPr>
          <w:rFonts w:hint="default" w:ascii="Times New Roman" w:hAnsi="Times New Roman" w:cs="Times New Roman"/>
          <w:sz w:val="24"/>
          <w:szCs w:val="24"/>
          <w:highlight w:val="none"/>
          <w:vertAlign w:val="superscript"/>
        </w:rPr>
        <w:t>a,*</w:t>
      </w: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p>
    <w:p>
      <w:pPr>
        <w:pageBreakBefore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color w:val="000000" w:themeColor="text1"/>
          <w:sz w:val="24"/>
          <w:szCs w:val="24"/>
          <w:highlight w:val="none"/>
          <w:lang w:val="en-US"/>
          <w14:textFill>
            <w14:solidFill>
              <w14:schemeClr w14:val="tx1"/>
            </w14:solidFill>
          </w14:textFill>
        </w:rPr>
      </w:pPr>
      <w:r>
        <w:rPr>
          <w:rFonts w:hint="default" w:ascii="Times New Roman" w:hAnsi="Times New Roman" w:cs="Times New Roman"/>
          <w:b/>
          <w:color w:val="000000" w:themeColor="text1"/>
          <w:sz w:val="24"/>
          <w:szCs w:val="24"/>
          <w:highlight w:val="none"/>
          <w:lang w:val="en-US"/>
          <w14:textFill>
            <w14:solidFill>
              <w14:schemeClr w14:val="tx1"/>
            </w14:solidFill>
          </w14:textFill>
        </w:rPr>
        <w:t xml:space="preserve">Electronic Supplementary Material </w:t>
      </w:r>
      <w:r>
        <w:rPr>
          <w:rFonts w:hint="default" w:ascii="Times New Roman" w:hAnsi="Times New Roman" w:cs="Times New Roman"/>
          <w:b/>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b/>
          <w:color w:val="000000" w:themeColor="text1"/>
          <w:sz w:val="24"/>
          <w:szCs w:val="24"/>
          <w:highlight w:val="none"/>
          <w:lang w:val="en-US"/>
          <w14:textFill>
            <w14:solidFill>
              <w14:schemeClr w14:val="tx1"/>
            </w14:solidFill>
          </w14:textFill>
        </w:rPr>
        <w:t xml:space="preserve"> (ESM_</w:t>
      </w:r>
      <w:r>
        <w:rPr>
          <w:rFonts w:hint="default" w:ascii="Times New Roman" w:hAnsi="Times New Roman" w:cs="Times New Roman"/>
          <w:b/>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b/>
          <w:color w:val="000000" w:themeColor="text1"/>
          <w:sz w:val="24"/>
          <w:szCs w:val="24"/>
          <w:highlight w:val="none"/>
          <w:lang w:val="en-US"/>
          <w14:textFill>
            <w14:solidFill>
              <w14:schemeClr w14:val="tx1"/>
            </w14:solidFill>
          </w14:textFill>
        </w:rPr>
        <w:t>)</w:t>
      </w: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Materials and methods</w:t>
      </w: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General experimental procedures</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1H-NMR and 13C-NMR spectra were recorded on a Bruker AV-400 spectrometer (Bruker, Karlsruhe, Germany). The ESI-MS spectra were recorded on a 6430 Triple Quad mass spectrometer (Agilent Technologies, Santa Clara, USA). Semi-preparative HPLC was performed on a Waters 2489 UV/Vis spectrophotometer and a ZORBAX SB-C18 column (5 μm, 9.4 × 250 mm). Column chromatography (CC) was performed on silica gel (200 - 300 mesh; Macklin, Shanghai, China). TLC experiments were carried out on silica gel pre-coated plates (0.25 mm, Merck, Darmstadt, Germany), and the detection was achieved by UV light (254 or 366 nm). </w:t>
      </w: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Materials and chemicals</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i/>
          <w:iCs/>
          <w:color w:val="000000" w:themeColor="text1"/>
          <w:sz w:val="24"/>
          <w:szCs w:val="24"/>
          <w:highlight w:val="none"/>
          <w:vertAlign w:val="baseline"/>
          <w14:textFill>
            <w14:solidFill>
              <w14:schemeClr w14:val="tx1"/>
            </w14:solidFill>
          </w14:textFill>
        </w:rPr>
        <w:t>G. frondosa</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was provided by Zhejiang Jiansong Native Products Management Department (Longquan, Zhejiang, China), </w:t>
      </w:r>
      <w:r>
        <w:rPr>
          <w:rFonts w:hint="default" w:ascii="Times New Roman" w:hAnsi="Times New Roman" w:cs="Times New Roman"/>
          <w:color w:val="2C3E50"/>
          <w:spacing w:val="15"/>
          <w:sz w:val="24"/>
          <w:szCs w:val="24"/>
          <w:highlight w:val="none"/>
          <w:vertAlign w:val="baseline"/>
        </w:rPr>
        <w:t>i</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dentified by </w:t>
      </w:r>
      <w:r>
        <w:rPr>
          <w:rFonts w:hint="default" w:ascii="Times New Roman" w:hAnsi="Times New Roman" w:eastAsia="宋体" w:cs="Times New Roman"/>
          <w:iCs/>
          <w:color w:val="000000" w:themeColor="text1"/>
          <w:sz w:val="24"/>
          <w:szCs w:val="24"/>
          <w:highlight w:val="none"/>
          <w:vertAlign w:val="baseline"/>
          <w14:textFill>
            <w14:solidFill>
              <w14:schemeClr w14:val="tx1"/>
            </w14:solidFill>
          </w14:textFill>
        </w:rPr>
        <w:t>National Engineering Research Center of JUNCAO Technology.</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iCs/>
          <w:color w:val="000000" w:themeColor="text1"/>
          <w:sz w:val="24"/>
          <w:szCs w:val="24"/>
          <w:highlight w:val="none"/>
          <w:vertAlign w:val="baseline"/>
          <w14:textFill>
            <w14:solidFill>
              <w14:schemeClr w14:val="tx1"/>
            </w14:solidFill>
          </w14:textFill>
        </w:rPr>
        <w:t>African green monkey kidney epithelial (Vero) cells were purchased from American Type Culture Collection. EV71 Fuyang0805 strain was obtained from Nanjing First Hospital, Nanjing Medical University (Nanjing, Jiangsu, China). Acarbose, ribavirin and α-Glucosidase were obtained from Macklin Biochemical Technology Co., Ltd. (Shanghai, China).</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iCs/>
          <w:color w:val="000000" w:themeColor="text1"/>
          <w:sz w:val="24"/>
          <w:szCs w:val="24"/>
          <w:highlight w:val="none"/>
          <w:vertAlign w:val="baseline"/>
          <w14:textFill>
            <w14:solidFill>
              <w14:schemeClr w14:val="tx1"/>
            </w14:solidFill>
          </w14:textFill>
        </w:rPr>
        <w:t>The tumor cell lines were purchased from National Collection of Authenticated cell Cultures (Shanghai, China).</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Extraction and isolation</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The dried and powdered fruiting body of </w:t>
      </w:r>
      <w:r>
        <w:rPr>
          <w:rFonts w:hint="default" w:ascii="Times New Roman" w:hAnsi="Times New Roman" w:eastAsia="宋体" w:cs="Times New Roman"/>
          <w:i/>
          <w:iCs/>
          <w:color w:val="000000" w:themeColor="text1"/>
          <w:sz w:val="24"/>
          <w:szCs w:val="24"/>
          <w:highlight w:val="none"/>
          <w:vertAlign w:val="baseline"/>
          <w14:textFill>
            <w14:solidFill>
              <w14:schemeClr w14:val="tx1"/>
            </w14:solidFill>
          </w14:textFill>
        </w:rPr>
        <w:t>G. frondosa</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(3 kg) was extracted twice in 4.5 L of 70% ethanol at 55 </w:t>
      </w:r>
      <w:r>
        <w:rPr>
          <w:rFonts w:hint="default" w:ascii="Times New Roman" w:hAnsi="Times New Roman" w:eastAsia="宋体" w:cs="Times New Roman"/>
          <w:sz w:val="24"/>
          <w:szCs w:val="24"/>
          <w:highlight w:val="none"/>
          <w:vertAlign w:val="baseline"/>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for one hour</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of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each extraction. After filtration, the filtrate was concentrated under vacuum. </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The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concentrated solution of the total extract</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was suspended in water and partition with petroleum ether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1.5 L, 3 times</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EtOAc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1.5 L, 3 times</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and water saturated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n-butanol</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1.5 L, 3 times</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successively, yielding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petroleum ether extract (PE), </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EtOAc</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extract (EAE) and n-butanol extract (NBE),</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respectively.</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The isolation procedures of </w:t>
      </w:r>
      <w:r>
        <w:rPr>
          <w:rFonts w:hint="default" w:ascii="Times New Roman" w:hAnsi="Times New Roman" w:eastAsia="宋体" w:cs="Times New Roman"/>
          <w:i/>
          <w:iCs/>
          <w:color w:val="000000" w:themeColor="text1"/>
          <w:sz w:val="24"/>
          <w:szCs w:val="24"/>
          <w:highlight w:val="none"/>
          <w:vertAlign w:val="baseline"/>
          <w14:textFill>
            <w14:solidFill>
              <w14:schemeClr w14:val="tx1"/>
            </w14:solidFill>
          </w14:textFill>
        </w:rPr>
        <w:t>G. frondosa</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extracts is shown in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Fig. 1</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PE, EAE and NBE</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were subjected to silica gel CC and gradient eluting with MSO - EtOAc and EtOAc - MeOH (v/v = 10:1 - 0:1), 23 fractions (PE.1 - PE.7, EAE.1 - EAE.6 and NBE.1 - NBE.10) were obtained.</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Fraction PE.2 was further purified by preparative TLC (MSO - EtOAc, 5:1)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 xml:space="preserve">1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(41.98 mg). Fraction PE.7 was further purified by semi-preparative HPLC (MeOH - H2O, 95:5)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2</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(11.91 mg, tR = 32.99 min).</w:t>
      </w:r>
      <w:r>
        <w:rPr>
          <w:rFonts w:hint="default" w:ascii="Times New Roman" w:hAnsi="Times New Roman" w:eastAsia="宋体" w:cs="Times New Roman"/>
          <w:color w:val="000000" w:themeColor="text1"/>
          <w:sz w:val="24"/>
          <w:szCs w:val="24"/>
          <w:highlight w:val="none"/>
          <w:shd w:val="clear" w:color="auto" w:fill="FFFFFF"/>
          <w:vertAlign w:val="baselin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Fraction EAE.1 was further purified by preparative TLC (EtOAc - MeOH, 7:1)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3</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(13.35 mg). Fraction EAE.2 was further purified by preparative TLC (EtOAc - MeOH, 6:1)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4</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(19.23 mg). Fraction EAE.6 was further purified by semi-preparative HPLC (MeOH - H2O, 95:5)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5</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(34.23 mg, tR=10.58 min). Fraction NBE.2 was further purified by preparative TLC (EtOAc - MeOH, 5:1)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6</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(14.96 mg). Fraction NBE.5 was further purified by semi-preparative HPLC (CAN - H2O, 70:30) to afford compound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7</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(18.75 mg, tR = 25.59 min), and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8</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(23.60 mg, tR = 27.34 min).</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bookmarkStart w:id="0" w:name="_Hlk116757253"/>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α-</w:t>
      </w:r>
      <w:bookmarkEnd w:id="0"/>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Glucosidase inhibitory activity assay</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The inhibition assay of α-glucosidase was conducted using the conditions previously reported with slight modification</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s</w:t>
      </w:r>
      <w:r>
        <w:rPr>
          <w:rFonts w:hint="default" w:ascii="Times New Roman" w:hAnsi="Times New Roman" w:eastAsia="宋体" w:cs="Times New Roman"/>
          <w:sz w:val="24"/>
          <w:szCs w:val="24"/>
          <w:highlight w:val="none"/>
          <w:vertAlign w:val="baseline"/>
          <w:lang w:val="en-US" w:eastAsia="zh-CN"/>
        </w:rPr>
        <w:t>[1]</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Briefly, 100 µL of five two-fold concentrations (31.25, 62.5, 125, 250, 500 μg/ml) of compounds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1-8</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30 µL of p-NPG (5 mM), and 30 µL of α-glucosidase solution (0.2 units/mL) were mixed in 0.1 M phosphate buffer (pH = 6.8). After incubation at 37 </w:t>
      </w:r>
      <w:r>
        <w:rPr>
          <w:rFonts w:hint="default" w:ascii="Times New Roman" w:hAnsi="Times New Roman" w:eastAsia="宋体" w:cs="Times New Roman"/>
          <w:sz w:val="24"/>
          <w:szCs w:val="24"/>
          <w:highlight w:val="none"/>
          <w:vertAlign w:val="baseline"/>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for 15 min, 90 µL of Na2CO3 solution (0.1 M) was added in order to quench the reaction. The test control was prepared by adding phosphate buffer instead of the sample in the same way, while the blank was prepared by adding phosphate buffer instead of α-glucosidase. Acarbose was used a positive control. The assay was conducted in a 96-well plate, and the absorbance of released p-PNP was measured by calculating the decrease in absorbance measured at 405 nm based on the following equation: α-glucosidase inhibition (%) = [(ODcontrol </w:t>
      </w:r>
      <w:r>
        <w:rPr>
          <w:rFonts w:hint="default" w:ascii="Times New Roman" w:hAnsi="Times New Roman" w:eastAsia="微软雅黑" w:cs="Times New Roman"/>
          <w:color w:val="000000" w:themeColor="text1"/>
          <w:sz w:val="24"/>
          <w:szCs w:val="24"/>
          <w:highlight w:val="none"/>
          <w:vertAlign w:val="baseline"/>
          <w14:textFill>
            <w14:solidFill>
              <w14:schemeClr w14:val="tx1"/>
            </w14:solidFill>
          </w14:textFill>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ODcontrol blank) </w:t>
      </w:r>
      <w:r>
        <w:rPr>
          <w:rFonts w:hint="default" w:ascii="Times New Roman" w:hAnsi="Times New Roman" w:eastAsia="微软雅黑" w:cs="Times New Roman"/>
          <w:color w:val="000000" w:themeColor="text1"/>
          <w:sz w:val="24"/>
          <w:szCs w:val="24"/>
          <w:highlight w:val="none"/>
          <w:vertAlign w:val="baseline"/>
          <w14:textFill>
            <w14:solidFill>
              <w14:schemeClr w14:val="tx1"/>
            </w14:solidFill>
          </w14:textFill>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(ODtest </w:t>
      </w:r>
      <w:r>
        <w:rPr>
          <w:rFonts w:hint="default" w:ascii="Times New Roman" w:hAnsi="Times New Roman" w:eastAsia="微软雅黑" w:cs="Times New Roman"/>
          <w:color w:val="000000" w:themeColor="text1"/>
          <w:sz w:val="24"/>
          <w:szCs w:val="24"/>
          <w:highlight w:val="none"/>
          <w:vertAlign w:val="baseline"/>
          <w14:textFill>
            <w14:solidFill>
              <w14:schemeClr w14:val="tx1"/>
            </w14:solidFill>
          </w14:textFill>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ODtest blank)] / (ODcontrol </w:t>
      </w:r>
      <w:r>
        <w:rPr>
          <w:rFonts w:hint="default" w:ascii="Times New Roman" w:hAnsi="Times New Roman" w:eastAsia="微软雅黑" w:cs="Times New Roman"/>
          <w:color w:val="000000" w:themeColor="text1"/>
          <w:sz w:val="24"/>
          <w:szCs w:val="24"/>
          <w:highlight w:val="none"/>
          <w:vertAlign w:val="baseline"/>
          <w14:textFill>
            <w14:solidFill>
              <w14:schemeClr w14:val="tx1"/>
            </w14:solidFill>
          </w14:textFill>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ODcontrol blank) × 100%.</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Cell culture and EV71 infection</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The Vero cells and three tumor cell lines</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including human colon carcinoma cell line SW480, human hepatocellular carcinoma cell line HepG2, human lung carcinoma cell</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line A549 were cultured in Dulbecco’s Modified Eagle’s Medium (DMEM) with 10% heat-inactivated fetal bovine serum (FBS) and 1% penicillin-streptomycin solution (PS) at 37 </w:t>
      </w:r>
      <w:r>
        <w:rPr>
          <w:rFonts w:hint="default" w:ascii="Times New Roman" w:hAnsi="Times New Roman" w:eastAsia="宋体" w:cs="Times New Roman"/>
          <w:sz w:val="24"/>
          <w:szCs w:val="24"/>
          <w:highlight w:val="none"/>
          <w:vertAlign w:val="baseline"/>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in a 5% CO2 atmosphere. After removing the supernatant, the Vero cells in the plate were washed with phosphate buffered saline (PBS, pH = 7.2). Then the DMEM medium, containing virus-infected cells, was added into the plates and incubated at 37 </w:t>
      </w:r>
      <w:r>
        <w:rPr>
          <w:rFonts w:hint="default" w:ascii="Times New Roman" w:hAnsi="Times New Roman" w:eastAsia="宋体" w:cs="Times New Roman"/>
          <w:sz w:val="24"/>
          <w:szCs w:val="24"/>
          <w:highlight w:val="none"/>
          <w:vertAlign w:val="baseline"/>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with 5% CO2 for about 2 h. The fresh DMEM </w:t>
      </w:r>
      <w:bookmarkStart w:id="1" w:name="_Hlk118477733"/>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medium, containing 2% FBS</w:t>
      </w:r>
      <w:bookmarkEnd w:id="1"/>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was used to replace the supernatant</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in the plate and incubated at the same condition for 12 h. After that, the culture was transferred to the centrifuge tube and frozen at </w:t>
      </w:r>
      <w:r>
        <w:rPr>
          <w:rFonts w:hint="default" w:ascii="Times New Roman" w:hAnsi="Times New Roman" w:eastAsia="宋体" w:cs="Times New Roman"/>
          <w:sz w:val="24"/>
          <w:szCs w:val="24"/>
          <w:highlight w:val="none"/>
          <w:vertAlign w:val="baseline"/>
        </w:rPr>
        <w:t>−80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then thawed and repeated for three times. After centrifugation, </w:t>
      </w:r>
      <w:r>
        <w:rPr>
          <w:rFonts w:hint="default" w:ascii="Times New Roman" w:hAnsi="Times New Roman" w:cs="Times New Roman"/>
          <w:sz w:val="24"/>
          <w:szCs w:val="24"/>
          <w:highlight w:val="none"/>
          <w:vertAlign w:val="baseline"/>
        </w:rPr>
        <w:t xml:space="preserve">the supernatant was obtained by using 0.22-μm filter. </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Cell viability and anti-proliferation assay</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The viability of cells were investigated using commercial CCK-8 kits (Shanghai, China) according to manufacturer instructions. In brief, Vero cells and</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three tumor cells at a density of 5 × 104 cells/mL were seeded into a 96-well plate (100 μL per well) and incubated for 24 h (37 </w:t>
      </w:r>
      <w:r>
        <w:rPr>
          <w:rFonts w:hint="default" w:ascii="Times New Roman" w:hAnsi="Times New Roman" w:eastAsia="宋体" w:cs="Times New Roman"/>
          <w:sz w:val="24"/>
          <w:szCs w:val="24"/>
          <w:highlight w:val="none"/>
          <w:vertAlign w:val="baseline"/>
        </w:rPr>
        <w:t>℃</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5% CO2). Cells were then treated with different concentrations of compounds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1-8</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(25, 50, 100, 200, 400 μg/mL) for 24 h, respectively. The 10 μL CCK-8 assay solutions were added into each well for additional 2 h- reaction. The test control was prepared by adding DMEM</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medium with 2% FBS instead of the sample in the same way. The absorbance of the solution was measured at 450 nm to calculate the viability of cells. </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In vitro antiviral assay</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The Vero cells adhered to the wells of the 96-well plate, as previously described. </w:t>
      </w:r>
      <w:bookmarkStart w:id="3" w:name="_GoBack"/>
      <w:bookmarkEnd w:id="3"/>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Then 10 μL of EV71 viral solution was added to each well for 2 h. Then five different concentrations of compounds </w:t>
      </w: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1-8</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and ribavirin were added, respectively. After 24 h of co-incubation, CCK-8 kits were used to measure the cellular activity,</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and the cell survival rates were calculated. Ribavirin was used a positive control.</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Each treatment was performed with </w:t>
      </w:r>
      <w:bookmarkStart w:id="2" w:name="_Hlk118557599"/>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three</w:t>
      </w:r>
      <w:bookmarkEnd w:id="2"/>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replicates. IC</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50</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values and TC</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50</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values were expressed as mean ± SD.</w:t>
      </w:r>
      <w:r>
        <w:rPr>
          <w:rFonts w:hint="default" w:ascii="Times New Roman" w:hAnsi="Times New Roman" w:cs="Times New Roman"/>
          <w:sz w:val="24"/>
          <w:szCs w:val="24"/>
          <w:highlight w:val="none"/>
          <w:vertAlign w:val="baseline"/>
        </w:rPr>
        <w:t xml:space="preserve"> </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Molecular modeling docking study</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The adenosine, ergosterol-5,8-peroxide and ergosterol structural formula come from PubChem database (https://pubchem.ncbi.nlm.nih.gov/), and then were optimized by ChemDraw3D 20.0. The 3D model of a-glucosidase,</w:t>
      </w:r>
      <w:r>
        <w:rPr>
          <w:rFonts w:hint="default" w:ascii="Times New Roman" w:hAnsi="Times New Roman" w:cs="Times New Roman"/>
          <w:sz w:val="24"/>
          <w:szCs w:val="24"/>
          <w:highlight w:val="none"/>
          <w:vertAlign w:val="baseline"/>
        </w:rPr>
        <w:t xml:space="preserve"> </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CASP3 and VP1 protein was obtained from the protein database (https://www.rcsb.org/) and processed through Schrödinger software. Docking simulations were performed using AutoDock Vina to generate docked results.</w:t>
      </w:r>
    </w:p>
    <w:p>
      <w:pPr>
        <w:keepNext w:val="0"/>
        <w:keepLines w:val="0"/>
        <w:pageBreakBefore w:val="0"/>
        <w:kinsoku/>
        <w:wordWrap/>
        <w:overflowPunct/>
        <w:topLinePunct w:val="0"/>
        <w:bidi w:val="0"/>
        <w:spacing w:line="480" w:lineRule="auto"/>
        <w:textAlignment w:val="auto"/>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Data analysis</w:t>
      </w:r>
    </w:p>
    <w:p>
      <w:pPr>
        <w:keepNext w:val="0"/>
        <w:keepLines w:val="0"/>
        <w:pageBreakBefore w:val="0"/>
        <w:kinsoku/>
        <w:wordWrap/>
        <w:overflowPunct/>
        <w:topLinePunct w:val="0"/>
        <w:bidi w:val="0"/>
        <w:spacing w:line="480" w:lineRule="auto"/>
        <w:ind w:firstLine="480" w:firstLineChars="200"/>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IC</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50</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values and TC</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50</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values were calculated and analyzed using SPSS26.0 and expressed as mean ± SD. Statistical analysis was carried out using Student’s t-test. A probability of 0.05 or less was considered statistically significant. All experiments were performed at least three times.</w:t>
      </w:r>
    </w:p>
    <w:p>
      <w:pPr>
        <w:pStyle w:val="2"/>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p>
    <w:p>
      <w:pPr>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References</w:t>
      </w:r>
    </w:p>
    <w:p>
      <w:pPr>
        <w:keepNext w:val="0"/>
        <w:keepLines w:val="0"/>
        <w:pageBreakBefore w:val="0"/>
        <w:numPr>
          <w:ilvl w:val="0"/>
          <w:numId w:val="0"/>
        </w:numPr>
        <w:kinsoku/>
        <w:wordWrap/>
        <w:overflowPunct/>
        <w:topLinePunct w:val="0"/>
        <w:bidi w:val="0"/>
        <w:spacing w:line="480" w:lineRule="auto"/>
        <w:textAlignment w:val="auto"/>
        <w:rPr>
          <w:rFonts w:hint="eastAsia" w:ascii="Times New Roman" w:hAnsi="Times New Roman" w:cs="Times New Roman" w:eastAsiaTheme="minorEastAsia"/>
          <w:sz w:val="24"/>
          <w:szCs w:val="24"/>
          <w:highlight w:val="none"/>
          <w:vertAlign w:val="baseline"/>
          <w:lang w:val="en-US" w:eastAsia="zh-CN"/>
        </w:rPr>
      </w:pPr>
      <w:r>
        <w:rPr>
          <w:rFonts w:hint="eastAsia" w:ascii="Times New Roman" w:hAnsi="Times New Roman" w:eastAsia="宋体" w:cs="Times New Roman"/>
          <w:sz w:val="24"/>
          <w:highlight w:val="none"/>
          <w:lang w:val="en-US" w:eastAsia="zh-CN"/>
        </w:rPr>
        <w:t>1.</w:t>
      </w:r>
      <w:r>
        <w:rPr>
          <w:rFonts w:hint="eastAsia" w:ascii="Times New Roman" w:hAnsi="Times New Roman" w:cs="Times New Roman"/>
          <w:sz w:val="24"/>
          <w:szCs w:val="24"/>
          <w:highlight w:val="none"/>
          <w:vertAlign w:val="baseline"/>
          <w:lang w:val="en-US" w:eastAsia="zh-CN"/>
        </w:rPr>
        <w:t xml:space="preserve"> </w:t>
      </w:r>
      <w:r>
        <w:rPr>
          <w:rFonts w:hint="default" w:ascii="Times New Roman" w:hAnsi="Times New Roman" w:cs="Times New Roman"/>
          <w:sz w:val="24"/>
          <w:szCs w:val="24"/>
          <w:highlight w:val="none"/>
          <w:vertAlign w:val="baseline"/>
        </w:rPr>
        <w:t xml:space="preserve">Chu YC, Yang CS, Cheng MJ, </w:t>
      </w:r>
      <w:r>
        <w:rPr>
          <w:rFonts w:hint="eastAsia" w:ascii="Times New Roman" w:hAnsi="Times New Roman" w:cs="Times New Roman"/>
          <w:sz w:val="24"/>
          <w:szCs w:val="24"/>
          <w:highlight w:val="none"/>
          <w:vertAlign w:val="baseline"/>
          <w:lang w:val="en-US" w:eastAsia="zh-CN"/>
        </w:rPr>
        <w:t>et al</w:t>
      </w:r>
      <w:r>
        <w:rPr>
          <w:rFonts w:hint="default" w:ascii="Times New Roman" w:hAnsi="Times New Roman" w:cs="Times New Roman"/>
          <w:sz w:val="24"/>
          <w:szCs w:val="24"/>
          <w:highlight w:val="none"/>
          <w:vertAlign w:val="baseline"/>
        </w:rPr>
        <w:t xml:space="preserve"> </w:t>
      </w:r>
      <w:r>
        <w:rPr>
          <w:rFonts w:hint="eastAsia" w:ascii="Times New Roman" w:hAnsi="Times New Roman" w:cs="Times New Roman"/>
          <w:sz w:val="24"/>
          <w:szCs w:val="24"/>
          <w:highlight w:val="none"/>
          <w:vertAlign w:val="baseline"/>
          <w:lang w:val="en-US" w:eastAsia="zh-CN"/>
        </w:rPr>
        <w:t>(</w:t>
      </w:r>
      <w:r>
        <w:rPr>
          <w:rFonts w:hint="default" w:ascii="Times New Roman" w:hAnsi="Times New Roman" w:cs="Times New Roman"/>
          <w:sz w:val="24"/>
          <w:szCs w:val="24"/>
          <w:highlight w:val="none"/>
          <w:vertAlign w:val="baseline"/>
        </w:rPr>
        <w:t>2022</w:t>
      </w:r>
      <w:r>
        <w:rPr>
          <w:rFonts w:hint="eastAsia" w:ascii="Times New Roman" w:hAnsi="Times New Roman" w:cs="Times New Roman"/>
          <w:sz w:val="24"/>
          <w:szCs w:val="24"/>
          <w:highlight w:val="none"/>
          <w:vertAlign w:val="baseline"/>
          <w:lang w:val="en-US" w:eastAsia="zh-CN"/>
        </w:rPr>
        <w:t>)</w:t>
      </w:r>
      <w:r>
        <w:rPr>
          <w:rFonts w:hint="default" w:ascii="Times New Roman" w:hAnsi="Times New Roman" w:cs="Times New Roman"/>
          <w:sz w:val="24"/>
          <w:szCs w:val="24"/>
          <w:highlight w:val="none"/>
          <w:vertAlign w:val="baseline"/>
        </w:rPr>
        <w:t xml:space="preserve"> Comparison of various solvent extracts and major bioactive components from unsalt-fried and salt-fried rhizomes of anemarrhena asphodeloides for antioxidant, anti-alpha-glucosidase, and anti-acetylcholinesterase activities. Antioxidants (Basel). 11</w:t>
      </w:r>
      <w:r>
        <w:rPr>
          <w:rFonts w:hint="eastAsia" w:ascii="Times New Roman" w:hAnsi="Times New Roman" w:cs="Times New Roman"/>
          <w:sz w:val="24"/>
          <w:szCs w:val="24"/>
          <w:highlight w:val="none"/>
          <w:vertAlign w:val="baseline"/>
          <w:lang w:val="en-US" w:eastAsia="zh-CN"/>
        </w:rPr>
        <w:t>:</w:t>
      </w:r>
      <w:r>
        <w:rPr>
          <w:rFonts w:hint="default" w:ascii="Times New Roman" w:hAnsi="Times New Roman" w:cs="Times New Roman"/>
          <w:sz w:val="24"/>
          <w:szCs w:val="24"/>
          <w:highlight w:val="none"/>
          <w:vertAlign w:val="baseline"/>
        </w:rPr>
        <w:t xml:space="preserve"> 385-385.</w:t>
      </w:r>
      <w:r>
        <w:rPr>
          <w:rFonts w:hint="eastAsia" w:ascii="Times New Roman" w:hAnsi="Times New Roman" w:cs="Times New Roman"/>
          <w:sz w:val="24"/>
          <w:szCs w:val="24"/>
          <w:highlight w:val="none"/>
          <w:vertAlign w:val="baseline"/>
          <w:lang w:val="en-US" w:eastAsia="zh-CN"/>
        </w:rPr>
        <w:t xml:space="preserve"> </w:t>
      </w:r>
      <w:r>
        <w:rPr>
          <w:rFonts w:hint="default" w:ascii="Times New Roman" w:hAnsi="Times New Roman" w:cs="Times New Roman"/>
          <w:sz w:val="24"/>
          <w:szCs w:val="24"/>
          <w:highlight w:val="none"/>
        </w:rPr>
        <w:t>https://doi.org/</w:t>
      </w:r>
      <w:r>
        <w:rPr>
          <w:rFonts w:hint="eastAsia" w:ascii="Times New Roman" w:hAnsi="Times New Roman" w:cs="Times New Roman"/>
          <w:sz w:val="24"/>
          <w:szCs w:val="24"/>
          <w:highlight w:val="none"/>
          <w:vertAlign w:val="baseline"/>
        </w:rPr>
        <w:t>10.3390/antiox11020398</w:t>
      </w:r>
    </w:p>
    <w:p>
      <w:pPr>
        <w:pStyle w:val="2"/>
        <w:numPr>
          <w:ilvl w:val="0"/>
          <w:numId w:val="0"/>
        </w:numPr>
        <w:rPr>
          <w:rFonts w:hint="default"/>
          <w:highlight w:val="none"/>
          <w:lang w:val="en-US" w:eastAsia="zh-CN"/>
        </w:rPr>
      </w:pPr>
    </w:p>
    <w:p>
      <w:pPr>
        <w:keepNext w:val="0"/>
        <w:keepLines w:val="0"/>
        <w:pageBreakBefore w:val="0"/>
        <w:kinsoku/>
        <w:wordWrap/>
        <w:overflowPunct/>
        <w:topLinePunct w:val="0"/>
        <w:bidi w:val="0"/>
        <w:spacing w:line="480" w:lineRule="auto"/>
        <w:jc w:val="left"/>
        <w:textAlignment w:val="auto"/>
        <w:rPr>
          <w:rFonts w:hint="default" w:ascii="Times New Roman" w:hAnsi="Times New Roman" w:eastAsia="宋体" w:cs="Times New Roman"/>
          <w:i/>
          <w:iCs/>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14:textFill>
            <w14:solidFill>
              <w14:schemeClr w14:val="tx1"/>
            </w14:solidFill>
          </w14:textFill>
        </w:rPr>
        <w:t>Fig. 1</w:t>
      </w: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t xml:space="preserve"> The isolation procedure of </w:t>
      </w:r>
      <w:r>
        <w:rPr>
          <w:rFonts w:hint="default" w:ascii="Times New Roman" w:hAnsi="Times New Roman" w:eastAsia="宋体" w:cs="Times New Roman"/>
          <w:i/>
          <w:iCs/>
          <w:sz w:val="24"/>
          <w:szCs w:val="24"/>
          <w:highlight w:val="none"/>
          <w:vertAlign w:val="baseline"/>
        </w:rPr>
        <w:t>Grifola frondosa</w:t>
      </w:r>
      <w:r>
        <w:rPr>
          <w:rFonts w:hint="default" w:ascii="Times New Roman" w:hAnsi="Times New Roman" w:eastAsia="宋体" w:cs="Times New Roman"/>
          <w:i/>
          <w:iCs/>
          <w:color w:val="000000" w:themeColor="text1"/>
          <w:sz w:val="24"/>
          <w:szCs w:val="24"/>
          <w:highlight w:val="none"/>
          <w:vertAlign w:val="baseline"/>
          <w14:textFill>
            <w14:solidFill>
              <w14:schemeClr w14:val="tx1"/>
            </w14:solidFill>
          </w14:textFill>
        </w:rPr>
        <w:t>.</w:t>
      </w:r>
    </w:p>
    <w:p>
      <w:pPr>
        <w:keepNext w:val="0"/>
        <w:keepLines w:val="0"/>
        <w:pageBreakBefore w:val="0"/>
        <w:kinsoku/>
        <w:wordWrap/>
        <w:overflowPunct/>
        <w:topLinePunct w:val="0"/>
        <w:bidi w:val="0"/>
        <w:spacing w:line="480" w:lineRule="auto"/>
        <w:jc w:val="center"/>
        <w:textAlignment w:val="auto"/>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4"/>
          <w:szCs w:val="24"/>
          <w:highlight w:val="none"/>
          <w:vertAlign w:val="baseline"/>
          <w14:textFill>
            <w14:solidFill>
              <w14:schemeClr w14:val="tx1"/>
            </w14:solidFill>
          </w14:textFill>
        </w:rPr>
        <w:drawing>
          <wp:inline distT="0" distB="0" distL="0" distR="0">
            <wp:extent cx="4359910" cy="34442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59910" cy="3444240"/>
                    </a:xfrm>
                    <a:prstGeom prst="rect">
                      <a:avLst/>
                    </a:prstGeom>
                  </pic:spPr>
                </pic:pic>
              </a:graphicData>
            </a:graphic>
          </wp:inline>
        </w:drawing>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IX-Regular">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zNTRhYTk1OWVkNGM4ZDI3NzZiZmU5ZDg4ZDQ0NjQifQ=="/>
  </w:docVars>
  <w:rsids>
    <w:rsidRoot w:val="00000000"/>
    <w:rsid w:val="2953678D"/>
    <w:rsid w:val="55FB366E"/>
    <w:rsid w:val="6C1A0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outlineLvl w:val="3"/>
    </w:pPr>
    <w:rPr>
      <w:rFonts w:hint="eastAsia" w:eastAsia="黑体"/>
      <w:kern w:val="0"/>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endnote reference"/>
    <w:basedOn w:val="4"/>
    <w:qFormat/>
    <w:uiPriority w:val="0"/>
    <w:rPr>
      <w:vertAlign w:val="super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1198</Words>
  <Characters>6500</Characters>
  <Lines>0</Lines>
  <Paragraphs>0</Paragraphs>
  <TotalTime>1</TotalTime>
  <ScaleCrop>false</ScaleCrop>
  <LinksUpToDate>false</LinksUpToDate>
  <CharactersWithSpaces>7676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2023-07-04T03:12:00Z</dcterms:created>
  <dc:creator>11845</dc:creator>
  <cp:lastModifiedBy>XXXWWYY</cp:lastModifiedBy>
  <dcterms:modified xsi:type="dcterms:W3CDTF">2023-07-05T04:12:21Z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7DC6BC135063438D873FBAA03FA97C21_12</vt:lpwstr>
  </property>
</Properties>
</file>