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default" w:ascii="Times New Roman" w:hAnsi="Times New Roman" w:eastAsia="宋体" w:cs="Times New Roman"/>
          <w:b/>
          <w:bCs/>
          <w:i/>
          <w:iCs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/>
          <w:bCs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Anti-α-glucosidase, anti-proliferative and anti-enterovirus 71 activity of secondary metabolites identified from </w:t>
      </w:r>
      <w:r>
        <w:rPr>
          <w:rFonts w:hint="default" w:ascii="Times New Roman" w:hAnsi="Times New Roman" w:eastAsia="宋体" w:cs="Times New Roman"/>
          <w:b/>
          <w:bCs/>
          <w:i/>
          <w:iCs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Grifola frondosa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cs="Times New Roman"/>
          <w:sz w:val="24"/>
          <w:szCs w:val="24"/>
          <w:highlight w:val="none"/>
          <w:vertAlign w:val="baseline"/>
        </w:rPr>
      </w:pPr>
      <w:r>
        <w:rPr>
          <w:rFonts w:hint="default" w:ascii="Times New Roman" w:hAnsi="Times New Roman" w:cs="Times New Roman"/>
          <w:sz w:val="24"/>
          <w:szCs w:val="24"/>
          <w:highlight w:val="none"/>
          <w:vertAlign w:val="baseline"/>
        </w:rPr>
        <w:t xml:space="preserve">Junqiang He </w:t>
      </w:r>
      <w:r>
        <w:rPr>
          <w:rFonts w:hint="default" w:ascii="Times New Roman" w:hAnsi="Times New Roman" w:cs="Times New Roman"/>
          <w:sz w:val="24"/>
          <w:szCs w:val="24"/>
          <w:highlight w:val="none"/>
          <w:vertAlign w:val="superscript"/>
        </w:rPr>
        <w:t>a</w:t>
      </w:r>
      <w:r>
        <w:rPr>
          <w:rFonts w:hint="default" w:ascii="Times New Roman" w:hAnsi="Times New Roman" w:eastAsia="STIX-Regular" w:cs="Times New Roman"/>
          <w:color w:val="000000"/>
          <w:kern w:val="0"/>
          <w:sz w:val="24"/>
          <w:szCs w:val="24"/>
          <w:highlight w:val="none"/>
          <w:vertAlign w:val="baseline"/>
          <w:lang w:val="en-US" w:eastAsia="zh-CN" w:bidi="ar"/>
        </w:rPr>
        <w:t xml:space="preserve"> · </w:t>
      </w:r>
      <w:r>
        <w:rPr>
          <w:rFonts w:hint="default" w:ascii="Times New Roman" w:hAnsi="Times New Roman" w:cs="Times New Roman"/>
          <w:sz w:val="24"/>
          <w:szCs w:val="24"/>
          <w:highlight w:val="none"/>
          <w:vertAlign w:val="baseline"/>
        </w:rPr>
        <w:t xml:space="preserve">Wenyu Xiong </w:t>
      </w:r>
      <w:r>
        <w:rPr>
          <w:rFonts w:hint="default" w:ascii="Times New Roman" w:hAnsi="Times New Roman" w:cs="Times New Roman"/>
          <w:sz w:val="24"/>
          <w:szCs w:val="24"/>
          <w:highlight w:val="none"/>
          <w:vertAlign w:val="superscript"/>
        </w:rPr>
        <w:t>a</w:t>
      </w:r>
      <w:r>
        <w:rPr>
          <w:rFonts w:hint="default" w:ascii="Times New Roman" w:hAnsi="Times New Roman" w:eastAsia="STIX-Regular" w:cs="Times New Roman"/>
          <w:color w:val="000000"/>
          <w:kern w:val="0"/>
          <w:sz w:val="24"/>
          <w:szCs w:val="24"/>
          <w:highlight w:val="none"/>
          <w:vertAlign w:val="baseline"/>
          <w:lang w:val="en-US" w:eastAsia="zh-CN" w:bidi="ar"/>
        </w:rPr>
        <w:t xml:space="preserve"> · </w:t>
      </w:r>
      <w:r>
        <w:rPr>
          <w:rFonts w:hint="default" w:ascii="Times New Roman" w:hAnsi="Times New Roman" w:cs="Times New Roman"/>
          <w:sz w:val="24"/>
          <w:szCs w:val="24"/>
          <w:highlight w:val="none"/>
          <w:vertAlign w:val="baseline"/>
        </w:rPr>
        <w:t xml:space="preserve">Lina Zhao </w:t>
      </w:r>
      <w:r>
        <w:rPr>
          <w:rFonts w:hint="default" w:ascii="Times New Roman" w:hAnsi="Times New Roman" w:cs="Times New Roman"/>
          <w:sz w:val="24"/>
          <w:szCs w:val="24"/>
          <w:highlight w:val="none"/>
          <w:vertAlign w:val="superscript"/>
        </w:rPr>
        <w:t>a,b</w:t>
      </w:r>
      <w:r>
        <w:rPr>
          <w:rFonts w:hint="default" w:ascii="Times New Roman" w:hAnsi="Times New Roman" w:eastAsia="STIX-Regular" w:cs="Times New Roman"/>
          <w:color w:val="000000"/>
          <w:kern w:val="0"/>
          <w:sz w:val="24"/>
          <w:szCs w:val="24"/>
          <w:highlight w:val="none"/>
          <w:vertAlign w:val="baseline"/>
          <w:lang w:val="en-US" w:eastAsia="zh-CN" w:bidi="ar"/>
        </w:rPr>
        <w:t xml:space="preserve"> · </w:t>
      </w:r>
      <w:r>
        <w:rPr>
          <w:rFonts w:hint="default" w:ascii="Times New Roman" w:hAnsi="Times New Roman" w:cs="Times New Roman"/>
          <w:sz w:val="24"/>
          <w:szCs w:val="24"/>
          <w:highlight w:val="none"/>
          <w:vertAlign w:val="baseline"/>
        </w:rPr>
        <w:t xml:space="preserve">Bin Liu </w:t>
      </w:r>
      <w:r>
        <w:rPr>
          <w:rFonts w:hint="default" w:ascii="Times New Roman" w:hAnsi="Times New Roman" w:cs="Times New Roman"/>
          <w:sz w:val="24"/>
          <w:szCs w:val="24"/>
          <w:highlight w:val="none"/>
          <w:vertAlign w:val="superscript"/>
        </w:rPr>
        <w:t>a,b,**</w:t>
      </w:r>
      <w:r>
        <w:rPr>
          <w:rFonts w:hint="default" w:ascii="Times New Roman" w:hAnsi="Times New Roman" w:eastAsia="STIX-Regular" w:cs="Times New Roman"/>
          <w:color w:val="000000"/>
          <w:kern w:val="0"/>
          <w:sz w:val="24"/>
          <w:szCs w:val="24"/>
          <w:highlight w:val="none"/>
          <w:vertAlign w:val="baseline"/>
          <w:lang w:val="en-US" w:eastAsia="zh-CN" w:bidi="ar"/>
        </w:rPr>
        <w:t xml:space="preserve"> · </w:t>
      </w:r>
      <w:r>
        <w:rPr>
          <w:rFonts w:hint="default" w:ascii="Times New Roman" w:hAnsi="Times New Roman" w:cs="Times New Roman"/>
          <w:sz w:val="24"/>
          <w:szCs w:val="24"/>
          <w:highlight w:val="none"/>
          <w:vertAlign w:val="baseline"/>
        </w:rPr>
        <w:t xml:space="preserve">Ying Huang </w:t>
      </w:r>
      <w:r>
        <w:rPr>
          <w:rFonts w:hint="default" w:ascii="Times New Roman" w:hAnsi="Times New Roman" w:cs="Times New Roman"/>
          <w:sz w:val="24"/>
          <w:szCs w:val="24"/>
          <w:highlight w:val="none"/>
          <w:vertAlign w:val="superscript"/>
        </w:rPr>
        <w:t>a,*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="Times New Roman" w:hAnsi="Times New Roman" w:eastAsia="宋体" w:cs="Times New Roman"/>
          <w:b/>
          <w:bCs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default" w:ascii="Times New Roman" w:hAnsi="Times New Roman" w:cs="Times New Roman"/>
          <w:b/>
          <w:color w:val="000000" w:themeColor="text1"/>
          <w:sz w:val="24"/>
          <w:szCs w:val="24"/>
          <w:highlight w:val="none"/>
          <w:lang w:val="en-US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b/>
          <w:color w:val="000000" w:themeColor="text1"/>
          <w:sz w:val="24"/>
          <w:szCs w:val="24"/>
          <w:highlight w:val="none"/>
          <w:lang w:val="en-US"/>
          <w14:textFill>
            <w14:solidFill>
              <w14:schemeClr w14:val="tx1"/>
            </w14:solidFill>
          </w14:textFill>
        </w:rPr>
        <w:t xml:space="preserve">Electronic Supplementary Material 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default" w:ascii="Times New Roman" w:hAnsi="Times New Roman" w:cs="Times New Roman"/>
          <w:b/>
          <w:color w:val="000000" w:themeColor="text1"/>
          <w:sz w:val="24"/>
          <w:szCs w:val="24"/>
          <w:highlight w:val="none"/>
          <w:lang w:val="en-US"/>
          <w14:textFill>
            <w14:solidFill>
              <w14:schemeClr w14:val="tx1"/>
            </w14:solidFill>
          </w14:textFill>
        </w:rPr>
        <w:t xml:space="preserve"> (ESM_</w:t>
      </w: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default" w:ascii="Times New Roman" w:hAnsi="Times New Roman" w:cs="Times New Roman"/>
          <w:b/>
          <w:color w:val="000000" w:themeColor="text1"/>
          <w:sz w:val="24"/>
          <w:szCs w:val="24"/>
          <w:highlight w:val="none"/>
          <w:lang w:val="en-US"/>
          <w14:textFill>
            <w14:solidFill>
              <w14:schemeClr w14:val="tx1"/>
            </w14:solidFill>
          </w14:textFill>
        </w:rPr>
        <w:t>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eastAsia="宋体" w:cs="Times New Roman"/>
          <w:b/>
          <w:bCs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/>
          <w:bCs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Results and discussion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eastAsia="宋体" w:cs="Times New Roman"/>
          <w:b/>
          <w:bCs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/>
          <w:bCs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Structure identification of the purified compounds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Compound </w:t>
      </w:r>
      <w:r>
        <w:rPr>
          <w:rFonts w:hint="default" w:ascii="Times New Roman" w:hAnsi="Times New Roman" w:eastAsia="宋体" w:cs="Times New Roman"/>
          <w:b/>
          <w:bCs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1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 was obtained as white powder; </w:t>
      </w:r>
      <w:bookmarkStart w:id="0" w:name="_Hlk115169481"/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ESI-MS </w:t>
      </w:r>
      <w:r>
        <w:rPr>
          <w:rFonts w:hint="default" w:ascii="Times New Roman" w:hAnsi="Times New Roman" w:eastAsia="宋体" w:cs="Times New Roman"/>
          <w:i/>
          <w:iCs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m/z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: </w:t>
      </w:r>
      <w:bookmarkEnd w:id="0"/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397 [M + H]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superscript"/>
          <w14:textFill>
            <w14:solidFill>
              <w14:schemeClr w14:val="tx1"/>
            </w14:solidFill>
          </w14:textFill>
        </w:rPr>
        <w:t>+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; C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subscript"/>
          <w14:textFill>
            <w14:solidFill>
              <w14:schemeClr w14:val="tx1"/>
            </w14:solidFill>
          </w14:textFill>
        </w:rPr>
        <w:t>28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H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subscript"/>
          <w14:textFill>
            <w14:solidFill>
              <w14:schemeClr w14:val="tx1"/>
            </w14:solidFill>
          </w14:textFill>
        </w:rPr>
        <w:t>44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O; 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superscript"/>
          <w14:textFill>
            <w14:solidFill>
              <w14:schemeClr w14:val="tx1"/>
            </w14:solidFill>
          </w14:textFill>
        </w:rPr>
        <w:t>1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H-NMR (CDCl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subscript"/>
          <w14:textFill>
            <w14:solidFill>
              <w14:schemeClr w14:val="tx1"/>
            </w14:solidFill>
          </w14:textFill>
        </w:rPr>
        <w:t>3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-</w:t>
      </w:r>
      <w:r>
        <w:rPr>
          <w:rFonts w:hint="default" w:ascii="Times New Roman" w:hAnsi="Times New Roman" w:eastAsia="宋体" w:cs="Times New Roman"/>
          <w:i/>
          <w:iCs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d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, 400 MHz)</w:t>
      </w:r>
      <w:r>
        <w:rPr>
          <w:rFonts w:hint="default" w:ascii="Times New Roman" w:hAnsi="Times New Roman" w:eastAsia="宋体" w:cs="Times New Roman"/>
          <w:i/>
          <w:iCs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 δ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H: 3.63 (1H, tt, </w:t>
      </w:r>
      <w:r>
        <w:rPr>
          <w:rFonts w:hint="default" w:ascii="Times New Roman" w:hAnsi="Times New Roman" w:eastAsia="宋体" w:cs="Times New Roman"/>
          <w:i/>
          <w:iCs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J 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= 4.4, 11.2 Hz), 2.46 (1H, ddd, </w:t>
      </w:r>
      <w:r>
        <w:rPr>
          <w:rFonts w:hint="default" w:ascii="Times New Roman" w:hAnsi="Times New Roman" w:eastAsia="宋体" w:cs="Times New Roman"/>
          <w:i/>
          <w:iCs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J 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= 2.4, 4.8, 14.4 Hz), 5.56 (1H, dd, </w:t>
      </w:r>
      <w:r>
        <w:rPr>
          <w:rFonts w:hint="default" w:ascii="Times New Roman" w:hAnsi="Times New Roman" w:eastAsia="宋体" w:cs="Times New Roman"/>
          <w:i/>
          <w:iCs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J 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= 2.4, 5.6 Hz), 0.62(3H, s), 0.94 (3H, s), 1.03 (1H, d, </w:t>
      </w:r>
      <w:r>
        <w:rPr>
          <w:rFonts w:hint="default" w:ascii="Times New Roman" w:hAnsi="Times New Roman" w:eastAsia="宋体" w:cs="Times New Roman"/>
          <w:i/>
          <w:iCs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J 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= 6.4 Hz), 5.16 (1H, dd, </w:t>
      </w:r>
      <w:r>
        <w:rPr>
          <w:rFonts w:hint="default" w:ascii="Times New Roman" w:hAnsi="Times New Roman" w:eastAsia="宋体" w:cs="Times New Roman"/>
          <w:i/>
          <w:iCs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J 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= 7.2, 15.2 Hz), 5.22 (1H, dd, </w:t>
      </w:r>
      <w:r>
        <w:rPr>
          <w:rFonts w:hint="default" w:ascii="Times New Roman" w:hAnsi="Times New Roman" w:eastAsia="宋体" w:cs="Times New Roman"/>
          <w:i/>
          <w:iCs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J 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= 6.8, 15.2 Hz), 0.83 (1H, d, </w:t>
      </w:r>
      <w:r>
        <w:rPr>
          <w:rFonts w:hint="default" w:ascii="Times New Roman" w:hAnsi="Times New Roman" w:eastAsia="宋体" w:cs="Times New Roman"/>
          <w:i/>
          <w:iCs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J 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= 6.4 Hz), 0.82 (1H, d, </w:t>
      </w:r>
      <w:r>
        <w:rPr>
          <w:rFonts w:hint="default" w:ascii="Times New Roman" w:hAnsi="Times New Roman" w:eastAsia="宋体" w:cs="Times New Roman"/>
          <w:i/>
          <w:iCs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J 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= 6.4 Hz), 0.91 (1H, d, </w:t>
      </w:r>
      <w:r>
        <w:rPr>
          <w:rFonts w:hint="default" w:ascii="Times New Roman" w:hAnsi="Times New Roman" w:eastAsia="宋体" w:cs="Times New Roman"/>
          <w:i/>
          <w:iCs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J 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= 7.2 Hz); 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superscript"/>
          <w14:textFill>
            <w14:solidFill>
              <w14:schemeClr w14:val="tx1"/>
            </w14:solidFill>
          </w14:textFill>
        </w:rPr>
        <w:t>13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C-NMR (CDCl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subscript"/>
          <w14:textFill>
            <w14:solidFill>
              <w14:schemeClr w14:val="tx1"/>
            </w14:solidFill>
          </w14:textFill>
        </w:rPr>
        <w:t>3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-</w:t>
      </w:r>
      <w:r>
        <w:rPr>
          <w:rFonts w:hint="default" w:ascii="Times New Roman" w:hAnsi="Times New Roman" w:eastAsia="宋体" w:cs="Times New Roman"/>
          <w:i/>
          <w:iCs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d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, 100 MHz)</w:t>
      </w:r>
      <w:r>
        <w:rPr>
          <w:rFonts w:hint="default" w:ascii="Times New Roman" w:hAnsi="Times New Roman" w:eastAsia="宋体" w:cs="Times New Roman"/>
          <w:i/>
          <w:iCs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 δ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C: 38.5 (C-1), 32.1 (C-2), 70.6 (C-3), 40.9 (C-4), 139.9 (C-5), 119.7 (C-6), 116.4 (C-7), 141.5 (C-8), 46.4 (C-9), 37.2 (C-10), 21.2 (C-11), 39.2 (C-12), 43.0 (C-13), 54.7 (C-14), 23.1 (C-15), 28.4 (C-16), 55.9 (C-17), 12.2 (C-18), 16.4 (C-19), 40.6 (C-20), 21.2 (C-21), 135.7 (C-22), 132.1 (C-23), 43.0 (C-24), 33.2 (C-25), 19.8 (C-26), 20.1 (C-27), 17.8 (C-28). The NMR data of compound </w:t>
      </w:r>
      <w:r>
        <w:rPr>
          <w:rFonts w:hint="default" w:ascii="Times New Roman" w:hAnsi="Times New Roman" w:eastAsia="宋体" w:cs="Times New Roman"/>
          <w:b/>
          <w:bCs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1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 was in accordance with those of ergosterol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vertAlign w:val="baseline"/>
          <w:lang w:val="en-US" w:eastAsia="zh-CN"/>
        </w:rPr>
        <w:t>[1]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Compound </w:t>
      </w:r>
      <w:r>
        <w:rPr>
          <w:rFonts w:hint="default" w:ascii="Times New Roman" w:hAnsi="Times New Roman" w:eastAsia="宋体" w:cs="Times New Roman"/>
          <w:b/>
          <w:bCs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2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 was obtained as light yellow oil; ESI-MS </w:t>
      </w:r>
      <w:r>
        <w:rPr>
          <w:rFonts w:hint="default" w:ascii="Times New Roman" w:hAnsi="Times New Roman" w:eastAsia="宋体" w:cs="Times New Roman"/>
          <w:i/>
          <w:iCs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m/z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: 295 [M + H]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superscript"/>
          <w14:textFill>
            <w14:solidFill>
              <w14:schemeClr w14:val="tx1"/>
            </w14:solidFill>
          </w14:textFill>
        </w:rPr>
        <w:t>+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; C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subscript"/>
          <w14:textFill>
            <w14:solidFill>
              <w14:schemeClr w14:val="tx1"/>
            </w14:solidFill>
          </w14:textFill>
        </w:rPr>
        <w:t>19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H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subscript"/>
          <w14:textFill>
            <w14:solidFill>
              <w14:schemeClr w14:val="tx1"/>
            </w14:solidFill>
          </w14:textFill>
        </w:rPr>
        <w:t>34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O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; 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superscript"/>
          <w14:textFill>
            <w14:solidFill>
              <w14:schemeClr w14:val="tx1"/>
            </w14:solidFill>
          </w14:textFill>
        </w:rPr>
        <w:t>1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H-NMR (CDCl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subscript"/>
          <w14:textFill>
            <w14:solidFill>
              <w14:schemeClr w14:val="tx1"/>
            </w14:solidFill>
          </w14:textFill>
        </w:rPr>
        <w:t>3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-</w:t>
      </w:r>
      <w:r>
        <w:rPr>
          <w:rFonts w:hint="default" w:ascii="Times New Roman" w:hAnsi="Times New Roman" w:eastAsia="宋体" w:cs="Times New Roman"/>
          <w:i/>
          <w:iCs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d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, 400 MHz)</w:t>
      </w:r>
      <w:r>
        <w:rPr>
          <w:rFonts w:hint="default" w:ascii="Times New Roman" w:hAnsi="Times New Roman" w:eastAsia="宋体" w:cs="Times New Roman"/>
          <w:i/>
          <w:iCs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 δ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H: 2.30 (2H, m), 1.58 (2H, m), 1.30 (8H, m), 2.05 (2H, m), 5.35 (2H, m), 2.77 (2H, t, </w:t>
      </w:r>
      <w:r>
        <w:rPr>
          <w:rFonts w:hint="default" w:ascii="Times New Roman" w:hAnsi="Times New Roman" w:eastAsia="宋体" w:cs="Times New Roman"/>
          <w:i/>
          <w:iCs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J 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= 6.4 Hz), 5.35 (2H, m), 2.05 (2H, m), 1.30 (6H, m), 0.89 (3H, t,</w:t>
      </w:r>
      <w:r>
        <w:rPr>
          <w:rFonts w:hint="default" w:ascii="Times New Roman" w:hAnsi="Times New Roman" w:eastAsia="宋体" w:cs="Times New Roman"/>
          <w:i/>
          <w:iCs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 J 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= 7.2 Hz), 3.43 (3H, s); 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superscript"/>
          <w14:textFill>
            <w14:solidFill>
              <w14:schemeClr w14:val="tx1"/>
            </w14:solidFill>
          </w14:textFill>
        </w:rPr>
        <w:t>13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C-NMR (CDCl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subscript"/>
          <w14:textFill>
            <w14:solidFill>
              <w14:schemeClr w14:val="tx1"/>
            </w14:solidFill>
          </w14:textFill>
        </w:rPr>
        <w:t>3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-</w:t>
      </w:r>
      <w:r>
        <w:rPr>
          <w:rFonts w:hint="default" w:ascii="Times New Roman" w:hAnsi="Times New Roman" w:eastAsia="宋体" w:cs="Times New Roman"/>
          <w:i/>
          <w:iCs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d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,100 MHz)</w:t>
      </w:r>
      <w:r>
        <w:rPr>
          <w:rFonts w:hint="default" w:ascii="Times New Roman" w:hAnsi="Times New Roman" w:eastAsia="宋体" w:cs="Times New Roman"/>
          <w:i/>
          <w:iCs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 δ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C: 173.8 (C-1), 34.2 (C-2), 25.0 (C-3), 29.3 (C-4), 29.4 (C-5), 29.4 (C-6), 29.3 (C-7), 27.3 (C-8), 130.1 (C-9), 128.0 (C-10), 25.7 (C-11), 128.2 (C-12), 130.3 (C-13), 27.3 (C-14), 29.5 (C-15), 31.6 (C-16), 22.7 (C-17), 14.2(C-18), 50.5 (C-19). Compound </w:t>
      </w:r>
      <w:r>
        <w:rPr>
          <w:rFonts w:hint="default" w:ascii="Times New Roman" w:hAnsi="Times New Roman" w:eastAsia="宋体" w:cs="Times New Roman"/>
          <w:b/>
          <w:bCs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2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 was identified as methyl linoleate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[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highlight w:val="none"/>
          <w:shd w:val="clear" w:color="auto" w:fill="FFFFFF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shd w:val="clear" w:color="auto" w:fill="FFFFFF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]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</w:pPr>
      <w:bookmarkStart w:id="1" w:name="_Hlk114478470"/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Compound </w:t>
      </w:r>
      <w:r>
        <w:rPr>
          <w:rFonts w:hint="default" w:ascii="Times New Roman" w:hAnsi="Times New Roman" w:eastAsia="宋体" w:cs="Times New Roman"/>
          <w:b/>
          <w:bCs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3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 was obtained as white powder; ESI-MS </w:t>
      </w:r>
      <w:r>
        <w:rPr>
          <w:rFonts w:hint="default" w:ascii="Times New Roman" w:hAnsi="Times New Roman" w:eastAsia="宋体" w:cs="Times New Roman"/>
          <w:i/>
          <w:iCs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m/z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: 270 [M] 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superscript"/>
          <w14:textFill>
            <w14:solidFill>
              <w14:schemeClr w14:val="tx1"/>
            </w14:solidFill>
          </w14:textFill>
        </w:rPr>
        <w:t>+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; 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shd w:val="clear" w:color="auto" w:fill="FFFFFF"/>
          <w:vertAlign w:val="baseline"/>
          <w14:textFill>
            <w14:solidFill>
              <w14:schemeClr w14:val="tx1"/>
            </w14:solidFill>
          </w14:textFill>
        </w:rPr>
        <w:t>C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shd w:val="clear" w:color="auto" w:fill="FFFFFF"/>
          <w:vertAlign w:val="subscript"/>
          <w14:textFill>
            <w14:solidFill>
              <w14:schemeClr w14:val="tx1"/>
            </w14:solidFill>
          </w14:textFill>
        </w:rPr>
        <w:t>17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shd w:val="clear" w:color="auto" w:fill="FFFFFF"/>
          <w:vertAlign w:val="baseline"/>
          <w14:textFill>
            <w14:solidFill>
              <w14:schemeClr w14:val="tx1"/>
            </w14:solidFill>
          </w14:textFill>
        </w:rPr>
        <w:t>H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shd w:val="clear" w:color="auto" w:fill="FFFFFF"/>
          <w:vertAlign w:val="subscript"/>
          <w14:textFill>
            <w14:solidFill>
              <w14:schemeClr w14:val="tx1"/>
            </w14:solidFill>
          </w14:textFill>
        </w:rPr>
        <w:t>34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shd w:val="clear" w:color="auto" w:fill="FFFFFF"/>
          <w:vertAlign w:val="baseline"/>
          <w14:textFill>
            <w14:solidFill>
              <w14:schemeClr w14:val="tx1"/>
            </w14:solidFill>
          </w14:textFill>
        </w:rPr>
        <w:t>O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shd w:val="clear" w:color="auto" w:fill="FFFFFF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;</w:t>
      </w:r>
      <w:bookmarkEnd w:id="1"/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superscript"/>
          <w14:textFill>
            <w14:solidFill>
              <w14:schemeClr w14:val="tx1"/>
            </w14:solidFill>
          </w14:textFill>
        </w:rPr>
        <w:t>1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H-NMR (DMSO-</w:t>
      </w:r>
      <w:r>
        <w:rPr>
          <w:rFonts w:hint="default" w:ascii="Times New Roman" w:hAnsi="Times New Roman" w:eastAsia="宋体" w:cs="Times New Roman"/>
          <w:i/>
          <w:iCs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d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6,400 MHz)</w:t>
      </w:r>
      <w:r>
        <w:rPr>
          <w:rFonts w:hint="default" w:ascii="Times New Roman" w:hAnsi="Times New Roman" w:eastAsia="宋体" w:cs="Times New Roman"/>
          <w:i/>
          <w:iCs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 δ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H: 2.15 (2H, t, </w:t>
      </w:r>
      <w:r>
        <w:rPr>
          <w:rFonts w:hint="default" w:ascii="Times New Roman" w:hAnsi="Times New Roman" w:eastAsia="宋体" w:cs="Times New Roman"/>
          <w:i/>
          <w:iCs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J 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= 7.6 Hz), 1.46 (2H, m), 1.22 (26H, m), 0.83 (3H, t, </w:t>
      </w:r>
      <w:r>
        <w:rPr>
          <w:rFonts w:hint="default" w:ascii="Times New Roman" w:hAnsi="Times New Roman" w:eastAsia="宋体" w:cs="Times New Roman"/>
          <w:i/>
          <w:iCs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J 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= 7.2 Hz); 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superscript"/>
          <w14:textFill>
            <w14:solidFill>
              <w14:schemeClr w14:val="tx1"/>
            </w14:solidFill>
          </w14:textFill>
        </w:rPr>
        <w:t>13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C-NMR (DMSO-</w:t>
      </w:r>
      <w:r>
        <w:rPr>
          <w:rFonts w:hint="default" w:ascii="Times New Roman" w:hAnsi="Times New Roman" w:eastAsia="宋体" w:cs="Times New Roman"/>
          <w:i/>
          <w:iCs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d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6,100 MHz)</w:t>
      </w:r>
      <w:r>
        <w:rPr>
          <w:rFonts w:hint="default" w:ascii="Times New Roman" w:hAnsi="Times New Roman" w:eastAsia="宋体" w:cs="Times New Roman"/>
          <w:i/>
          <w:iCs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 δ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C: 174.4(C-1), 33.7 (C-2), 31.5 (C-3), 29.3 (C-4), 29.3 (C-5), 29.3 (C-6), 29.3 (C-7), 29.3 (C-8), 29.3 (C-9), 29.3 (C-10), 29.1 (C-11), 28.9 (C-12), 28.8 (C-13), 28.7 (C-14), 24.6 (C-15), 22.3 (C-16), 13.9 (C-17). Compound </w:t>
      </w:r>
      <w:r>
        <w:rPr>
          <w:rFonts w:hint="default" w:ascii="Times New Roman" w:hAnsi="Times New Roman" w:eastAsia="宋体" w:cs="Times New Roman"/>
          <w:b/>
          <w:bCs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3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 was identified as heptadecanoic acid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[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]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Compound </w:t>
      </w:r>
      <w:r>
        <w:rPr>
          <w:rFonts w:hint="default" w:ascii="Times New Roman" w:hAnsi="Times New Roman" w:eastAsia="宋体" w:cs="Times New Roman"/>
          <w:b/>
          <w:bCs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4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 was obtained as white powder; ESI-MS </w:t>
      </w:r>
      <w:r>
        <w:rPr>
          <w:rFonts w:hint="default" w:ascii="Times New Roman" w:hAnsi="Times New Roman" w:eastAsia="宋体" w:cs="Times New Roman"/>
          <w:i/>
          <w:iCs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m/z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: 123 [M + H]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subscript"/>
          <w14:textFill>
            <w14:solidFill>
              <w14:schemeClr w14:val="tx1"/>
            </w14:solidFill>
          </w14:textFill>
        </w:rPr>
        <w:t>+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; C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subscript"/>
          <w14:textFill>
            <w14:solidFill>
              <w14:schemeClr w14:val="tx1"/>
            </w14:solidFill>
          </w14:textFill>
        </w:rPr>
        <w:t>6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H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subscript"/>
          <w14:textFill>
            <w14:solidFill>
              <w14:schemeClr w14:val="tx1"/>
            </w14:solidFill>
          </w14:textFill>
        </w:rPr>
        <w:t>6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N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O; 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superscript"/>
          <w14:textFill>
            <w14:solidFill>
              <w14:schemeClr w14:val="tx1"/>
            </w14:solidFill>
          </w14:textFill>
        </w:rPr>
        <w:t>1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H-NMR (DMSO-</w:t>
      </w:r>
      <w:r>
        <w:rPr>
          <w:rFonts w:hint="default" w:ascii="Times New Roman" w:hAnsi="Times New Roman" w:eastAsia="宋体" w:cs="Times New Roman"/>
          <w:i/>
          <w:iCs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d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6, 400 MHz)</w:t>
      </w:r>
      <w:r>
        <w:rPr>
          <w:rFonts w:hint="default" w:ascii="Times New Roman" w:hAnsi="Times New Roman" w:eastAsia="宋体" w:cs="Times New Roman"/>
          <w:i/>
          <w:iCs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 δ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H: 9.02 (1H, d, </w:t>
      </w:r>
      <w:r>
        <w:rPr>
          <w:rFonts w:hint="default" w:ascii="Times New Roman" w:hAnsi="Times New Roman" w:eastAsia="宋体" w:cs="Times New Roman"/>
          <w:i/>
          <w:iCs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J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 = 2.0 Hz), 8.20 (1H, dt, </w:t>
      </w:r>
      <w:r>
        <w:rPr>
          <w:rFonts w:hint="default" w:ascii="Times New Roman" w:hAnsi="Times New Roman" w:eastAsia="宋体" w:cs="Times New Roman"/>
          <w:i/>
          <w:iCs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J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 = 2.0, 8.0 Hz), 7.49 (1H, ddd, </w:t>
      </w:r>
      <w:r>
        <w:rPr>
          <w:rFonts w:hint="default" w:ascii="Times New Roman" w:hAnsi="Times New Roman" w:eastAsia="宋体" w:cs="Times New Roman"/>
          <w:i/>
          <w:iCs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J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 = 0.8, 4.8, 8.0 Hz), 8.70 (1H, dd, </w:t>
      </w:r>
      <w:r>
        <w:rPr>
          <w:rFonts w:hint="default" w:ascii="Times New Roman" w:hAnsi="Times New Roman" w:eastAsia="宋体" w:cs="Times New Roman"/>
          <w:i/>
          <w:iCs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J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 = 1.6, 4.8 Hz), 8.17 (1H, br s), 7.62 (1H, br s); 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superscript"/>
          <w14:textFill>
            <w14:solidFill>
              <w14:schemeClr w14:val="tx1"/>
            </w14:solidFill>
          </w14:textFill>
        </w:rPr>
        <w:t>13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C-NMR (DMSO-</w:t>
      </w:r>
      <w:r>
        <w:rPr>
          <w:rFonts w:hint="default" w:ascii="Times New Roman" w:hAnsi="Times New Roman" w:eastAsia="宋体" w:cs="Times New Roman"/>
          <w:i/>
          <w:iCs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d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6,100 MHz)</w:t>
      </w:r>
      <w:r>
        <w:rPr>
          <w:rFonts w:hint="default" w:ascii="Times New Roman" w:hAnsi="Times New Roman" w:eastAsia="宋体" w:cs="Times New Roman"/>
          <w:i/>
          <w:iCs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 δ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C: 152.0 (C-2), 129.7 (C-3), 135.2 (C-4), 123.5 (C-5), 148.7 (C-6), 166. (C-7). The NMR data of compound </w:t>
      </w:r>
      <w:r>
        <w:rPr>
          <w:rFonts w:hint="default" w:ascii="Times New Roman" w:hAnsi="Times New Roman" w:eastAsia="宋体" w:cs="Times New Roman"/>
          <w:b/>
          <w:bCs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4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 were in agreement with previously published data for nicotinamide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[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]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Compound </w:t>
      </w:r>
      <w:r>
        <w:rPr>
          <w:rFonts w:hint="default" w:ascii="Times New Roman" w:hAnsi="Times New Roman" w:eastAsia="宋体" w:cs="Times New Roman"/>
          <w:b/>
          <w:bCs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5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 was obtained as white powder; ESI-MS </w:t>
      </w:r>
      <w:r>
        <w:rPr>
          <w:rFonts w:hint="default" w:ascii="Times New Roman" w:hAnsi="Times New Roman" w:eastAsia="宋体" w:cs="Times New Roman"/>
          <w:i/>
          <w:iCs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m/z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: 428 [M] 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superscript"/>
          <w14:textFill>
            <w14:solidFill>
              <w14:schemeClr w14:val="tx1"/>
            </w14:solidFill>
          </w14:textFill>
        </w:rPr>
        <w:t>+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; C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subscript"/>
          <w14:textFill>
            <w14:solidFill>
              <w14:schemeClr w14:val="tx1"/>
            </w14:solidFill>
          </w14:textFill>
        </w:rPr>
        <w:t>28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H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subscript"/>
          <w14:textFill>
            <w14:solidFill>
              <w14:schemeClr w14:val="tx1"/>
            </w14:solidFill>
          </w14:textFill>
        </w:rPr>
        <w:t>44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O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subscript"/>
          <w14:textFill>
            <w14:solidFill>
              <w14:schemeClr w14:val="tx1"/>
            </w14:solidFill>
          </w14:textFill>
        </w:rPr>
        <w:t>3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; 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superscript"/>
          <w14:textFill>
            <w14:solidFill>
              <w14:schemeClr w14:val="tx1"/>
            </w14:solidFill>
          </w14:textFill>
        </w:rPr>
        <w:t>1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H-NMR (CDCl3-</w:t>
      </w:r>
      <w:r>
        <w:rPr>
          <w:rFonts w:hint="default" w:ascii="Times New Roman" w:hAnsi="Times New Roman" w:eastAsia="宋体" w:cs="Times New Roman"/>
          <w:i/>
          <w:iCs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d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, 400 MHz)</w:t>
      </w:r>
      <w:r>
        <w:rPr>
          <w:rFonts w:hint="default" w:ascii="Times New Roman" w:hAnsi="Times New Roman" w:eastAsia="宋体" w:cs="Times New Roman"/>
          <w:i/>
          <w:iCs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 δ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H: 3.97 (1H, m), 6.50 (1H, d, </w:t>
      </w:r>
      <w:r>
        <w:rPr>
          <w:rFonts w:hint="default" w:ascii="Times New Roman" w:hAnsi="Times New Roman" w:eastAsia="宋体" w:cs="Times New Roman"/>
          <w:i/>
          <w:iCs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J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 = 8.4 Hz), 6.24 (1H, d,</w:t>
      </w:r>
      <w:r>
        <w:rPr>
          <w:rFonts w:hint="default" w:ascii="Times New Roman" w:hAnsi="Times New Roman" w:eastAsia="宋体" w:cs="Times New Roman"/>
          <w:i/>
          <w:iCs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 J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 = 8.4 Hz), 0.84 (3H, s), 0.88 (3H, s), 0.99 (3H, d, </w:t>
      </w:r>
      <w:r>
        <w:rPr>
          <w:rFonts w:hint="default" w:ascii="Times New Roman" w:hAnsi="Times New Roman" w:eastAsia="宋体" w:cs="Times New Roman"/>
          <w:i/>
          <w:iCs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J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 = 6.4 Hz), 5.13 (1H, dd, </w:t>
      </w:r>
      <w:r>
        <w:rPr>
          <w:rFonts w:hint="default" w:ascii="Times New Roman" w:hAnsi="Times New Roman" w:eastAsia="宋体" w:cs="Times New Roman"/>
          <w:i/>
          <w:iCs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J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 = 8.4, 15.2 Hz), 5.21 (1H, dd, </w:t>
      </w:r>
      <w:r>
        <w:rPr>
          <w:rFonts w:hint="default" w:ascii="Times New Roman" w:hAnsi="Times New Roman" w:eastAsia="宋体" w:cs="Times New Roman"/>
          <w:i/>
          <w:iCs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J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 = 7.6, 15.2 Hz); 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superscript"/>
          <w14:textFill>
            <w14:solidFill>
              <w14:schemeClr w14:val="tx1"/>
            </w14:solidFill>
          </w14:textFill>
        </w:rPr>
        <w:t>13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C-NMR (CDCl3-</w:t>
      </w:r>
      <w:r>
        <w:rPr>
          <w:rFonts w:hint="default" w:ascii="Times New Roman" w:hAnsi="Times New Roman" w:eastAsia="宋体" w:cs="Times New Roman"/>
          <w:i/>
          <w:iCs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d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, 100 MHz)</w:t>
      </w:r>
      <w:r>
        <w:rPr>
          <w:rFonts w:hint="default" w:ascii="Times New Roman" w:hAnsi="Times New Roman" w:eastAsia="宋体" w:cs="Times New Roman"/>
          <w:i/>
          <w:iCs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 δ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C: 34.8 (C-1), 30.2 (C-2), 66.6 (C-3), 37.1 (C-4), 82.3 (C-5), 135.5 (C-6), 130.9 (C-7), 79.6 (C-8), 51.2 (C-9), 37.0 (C-10), 20.8 (C-11), 39.5 (C-12), 44.7 (C-13), 51.8 (C-14), 23.5 (C-15), 28.8 (C-16), 56.3 (C-17), 13.0 (C-18), 18.3 (C-19), 39.9 (C-20), 21.0 (C-21), 135.3 (C-22), 132.4 (C-23), 42.9 (C-24), 33.2 (C-25), 20.1 (C-26), 19.8 (C-27), 19.8 (C-28). The NMR data of compound </w:t>
      </w:r>
      <w:r>
        <w:rPr>
          <w:rFonts w:hint="default" w:ascii="Times New Roman" w:hAnsi="Times New Roman" w:eastAsia="宋体" w:cs="Times New Roman"/>
          <w:b/>
          <w:bCs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5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 was in accordance with those of ergosterol-5,8-peroxide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[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]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Compound </w:t>
      </w:r>
      <w:r>
        <w:rPr>
          <w:rFonts w:hint="default" w:ascii="Times New Roman" w:hAnsi="Times New Roman" w:eastAsia="宋体" w:cs="Times New Roman"/>
          <w:b/>
          <w:bCs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6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 was obtained as white powder; ESI-MS </w:t>
      </w:r>
      <w:r>
        <w:rPr>
          <w:rFonts w:hint="default" w:ascii="Times New Roman" w:hAnsi="Times New Roman" w:eastAsia="宋体" w:cs="Times New Roman"/>
          <w:i/>
          <w:iCs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m/z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: 267 [M + Na]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superscript"/>
          <w14:textFill>
            <w14:solidFill>
              <w14:schemeClr w14:val="tx1"/>
            </w14:solidFill>
          </w14:textFill>
        </w:rPr>
        <w:t>+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; 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shd w:val="clear" w:color="auto" w:fill="FFFFFF"/>
          <w:vertAlign w:val="baseline"/>
          <w14:textFill>
            <w14:solidFill>
              <w14:schemeClr w14:val="tx1"/>
            </w14:solidFill>
          </w14:textFill>
        </w:rPr>
        <w:t>C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shd w:val="clear" w:color="auto" w:fill="FFFFFF"/>
          <w:vertAlign w:val="subscript"/>
          <w14:textFill>
            <w14:solidFill>
              <w14:schemeClr w14:val="tx1"/>
            </w14:solidFill>
          </w14:textFill>
        </w:rPr>
        <w:t>9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shd w:val="clear" w:color="auto" w:fill="FFFFFF"/>
          <w:vertAlign w:val="baseline"/>
          <w14:textFill>
            <w14:solidFill>
              <w14:schemeClr w14:val="tx1"/>
            </w14:solidFill>
          </w14:textFill>
        </w:rPr>
        <w:t>H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shd w:val="clear" w:color="auto" w:fill="FFFFFF"/>
          <w:vertAlign w:val="subscript"/>
          <w14:textFill>
            <w14:solidFill>
              <w14:schemeClr w14:val="tx1"/>
            </w14:solidFill>
          </w14:textFill>
        </w:rPr>
        <w:t>12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shd w:val="clear" w:color="auto" w:fill="FFFFFF"/>
          <w:vertAlign w:val="baseline"/>
          <w14:textFill>
            <w14:solidFill>
              <w14:schemeClr w14:val="tx1"/>
            </w14:solidFill>
          </w14:textFill>
        </w:rPr>
        <w:t>N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shd w:val="clear" w:color="auto" w:fill="FFFFFF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shd w:val="clear" w:color="auto" w:fill="FFFFFF"/>
          <w:vertAlign w:val="baseline"/>
          <w14:textFill>
            <w14:solidFill>
              <w14:schemeClr w14:val="tx1"/>
            </w14:solidFill>
          </w14:textFill>
        </w:rPr>
        <w:t>O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shd w:val="clear" w:color="auto" w:fill="FFFFFF"/>
          <w:vertAlign w:val="subscript"/>
          <w14:textFill>
            <w14:solidFill>
              <w14:schemeClr w14:val="tx1"/>
            </w14:solidFill>
          </w14:textFill>
        </w:rPr>
        <w:t>6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shd w:val="clear" w:color="auto" w:fill="FFFFFF"/>
          <w:vertAlign w:val="baseline"/>
          <w14:textFill>
            <w14:solidFill>
              <w14:schemeClr w14:val="tx1"/>
            </w14:solidFill>
          </w14:textFill>
        </w:rPr>
        <w:t xml:space="preserve">; 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superscript"/>
          <w14:textFill>
            <w14:solidFill>
              <w14:schemeClr w14:val="tx1"/>
            </w14:solidFill>
          </w14:textFill>
        </w:rPr>
        <w:t>1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H-NMR (CD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subscript"/>
          <w14:textFill>
            <w14:solidFill>
              <w14:schemeClr w14:val="tx1"/>
            </w14:solidFill>
          </w14:textFill>
        </w:rPr>
        <w:t>3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OD-</w:t>
      </w:r>
      <w:r>
        <w:rPr>
          <w:rFonts w:hint="default" w:ascii="Times New Roman" w:hAnsi="Times New Roman" w:eastAsia="宋体" w:cs="Times New Roman"/>
          <w:i/>
          <w:iCs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d4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, 400 MHz)</w:t>
      </w:r>
      <w:r>
        <w:rPr>
          <w:rFonts w:hint="default" w:ascii="Times New Roman" w:hAnsi="Times New Roman" w:eastAsia="宋体" w:cs="Times New Roman"/>
          <w:i/>
          <w:iCs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 δ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H: 5.70 (1H, d, </w:t>
      </w:r>
      <w:r>
        <w:rPr>
          <w:rFonts w:hint="default" w:ascii="Times New Roman" w:hAnsi="Times New Roman" w:eastAsia="宋体" w:cs="Times New Roman"/>
          <w:i/>
          <w:iCs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J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 = 8.0 Hz), 8.02 (1H, d, </w:t>
      </w:r>
      <w:r>
        <w:rPr>
          <w:rFonts w:hint="default" w:ascii="Times New Roman" w:hAnsi="Times New Roman" w:eastAsia="宋体" w:cs="Times New Roman"/>
          <w:i/>
          <w:iCs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J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 = 8.0 Hz), 5.90 (1H, d, </w:t>
      </w:r>
      <w:r>
        <w:rPr>
          <w:rFonts w:hint="default" w:ascii="Times New Roman" w:hAnsi="Times New Roman" w:eastAsia="宋体" w:cs="Times New Roman"/>
          <w:i/>
          <w:iCs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J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 = 4.8 Hz), 4.18 (1H, m), 4.15 (1H, m), 4.01 (1H, m), 3.84 (1H, m), 3.96 (1H, m); 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superscript"/>
          <w14:textFill>
            <w14:solidFill>
              <w14:schemeClr w14:val="tx1"/>
            </w14:solidFill>
          </w14:textFill>
        </w:rPr>
        <w:t>13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C-NMR (CD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subscript"/>
          <w14:textFill>
            <w14:solidFill>
              <w14:schemeClr w14:val="tx1"/>
            </w14:solidFill>
          </w14:textFill>
        </w:rPr>
        <w:t>3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OD-</w:t>
      </w:r>
      <w:r>
        <w:rPr>
          <w:rFonts w:hint="default" w:ascii="Times New Roman" w:hAnsi="Times New Roman" w:eastAsia="宋体" w:cs="Times New Roman"/>
          <w:i/>
          <w:iCs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d4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,100 MHz)</w:t>
      </w:r>
      <w:r>
        <w:rPr>
          <w:rFonts w:hint="default" w:ascii="Times New Roman" w:hAnsi="Times New Roman" w:eastAsia="宋体" w:cs="Times New Roman"/>
          <w:i/>
          <w:iCs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 δ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C: 152.4 (C-2), 166.2 (C-4), 102.6 (C-5), 142.7 (C-6), 90.6 (C-1'), 71.3 (C-2'), 75.7 (C-3'), 86.3 (C-4'), 62.2 (C-5'). Compound </w:t>
      </w:r>
      <w:r>
        <w:rPr>
          <w:rFonts w:hint="default" w:ascii="Times New Roman" w:hAnsi="Times New Roman" w:eastAsia="宋体" w:cs="Times New Roman"/>
          <w:b/>
          <w:bCs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6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 was identified as uridine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[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]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Compound </w:t>
      </w:r>
      <w:r>
        <w:rPr>
          <w:rFonts w:hint="default" w:ascii="Times New Roman" w:hAnsi="Times New Roman" w:eastAsia="宋体" w:cs="Times New Roman"/>
          <w:b/>
          <w:bCs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7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 was obtained as white powder; ESI-MS </w:t>
      </w:r>
      <w:r>
        <w:rPr>
          <w:rFonts w:hint="default" w:ascii="Times New Roman" w:hAnsi="Times New Roman" w:eastAsia="宋体" w:cs="Times New Roman"/>
          <w:i/>
          <w:iCs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m/z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: </w:t>
      </w:r>
      <w:bookmarkStart w:id="2" w:name="_Hlk117508529"/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268 [M] 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superscript"/>
          <w14:textFill>
            <w14:solidFill>
              <w14:schemeClr w14:val="tx1"/>
            </w14:solidFill>
          </w14:textFill>
        </w:rPr>
        <w:t>+</w:t>
      </w:r>
      <w:bookmarkEnd w:id="2"/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; </w:t>
      </w:r>
      <w:bookmarkStart w:id="3" w:name="_Hlk117508546"/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C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subscript"/>
          <w14:textFill>
            <w14:solidFill>
              <w14:schemeClr w14:val="tx1"/>
            </w14:solidFill>
          </w14:textFill>
        </w:rPr>
        <w:t>10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H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subscript"/>
          <w14:textFill>
            <w14:solidFill>
              <w14:schemeClr w14:val="tx1"/>
            </w14:solidFill>
          </w14:textFill>
        </w:rPr>
        <w:t>13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N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subscript"/>
          <w14:textFill>
            <w14:solidFill>
              <w14:schemeClr w14:val="tx1"/>
            </w14:solidFill>
          </w14:textFill>
        </w:rPr>
        <w:t>5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O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subscript"/>
          <w14:textFill>
            <w14:solidFill>
              <w14:schemeClr w14:val="tx1"/>
            </w14:solidFill>
          </w14:textFill>
        </w:rPr>
        <w:t>4</w:t>
      </w:r>
      <w:bookmarkEnd w:id="3"/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; 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superscript"/>
          <w14:textFill>
            <w14:solidFill>
              <w14:schemeClr w14:val="tx1"/>
            </w14:solidFill>
          </w14:textFill>
        </w:rPr>
        <w:t>1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H-NMR (DMSO-</w:t>
      </w:r>
      <w:r>
        <w:rPr>
          <w:rFonts w:hint="default" w:ascii="Times New Roman" w:hAnsi="Times New Roman" w:eastAsia="宋体" w:cs="Times New Roman"/>
          <w:i/>
          <w:iCs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d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6, 400 MHz)</w:t>
      </w:r>
      <w:r>
        <w:rPr>
          <w:rFonts w:hint="default" w:ascii="Times New Roman" w:hAnsi="Times New Roman" w:eastAsia="宋体" w:cs="Times New Roman"/>
          <w:i/>
          <w:iCs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 δ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H: 8.13 (1H, s), 7.36 (2H, br s, NH2), 8.35 (1H, s), 5.87 (1H, d, </w:t>
      </w:r>
      <w:r>
        <w:rPr>
          <w:rFonts w:hint="default" w:ascii="Times New Roman" w:hAnsi="Times New Roman" w:eastAsia="宋体" w:cs="Times New Roman"/>
          <w:i/>
          <w:iCs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J 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= 6.0 Hz), 5.46 (1H, overlapped, OH-2'), 4.60 (1H, t, </w:t>
      </w:r>
      <w:r>
        <w:rPr>
          <w:rFonts w:hint="default" w:ascii="Times New Roman" w:hAnsi="Times New Roman" w:eastAsia="宋体" w:cs="Times New Roman"/>
          <w:i/>
          <w:iCs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J 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= 5.6 Hz), 5.24 (1H, br s, OH-</w:t>
      </w:r>
      <w:bookmarkStart w:id="4" w:name="_Hlk116756117"/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3'</w:t>
      </w:r>
      <w:bookmarkEnd w:id="4"/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), 4.13 (1H, dd, </w:t>
      </w:r>
      <w:r>
        <w:rPr>
          <w:rFonts w:hint="default" w:ascii="Times New Roman" w:hAnsi="Times New Roman" w:eastAsia="宋体" w:cs="Times New Roman"/>
          <w:i/>
          <w:iCs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J 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= 3.2, 4.8 Hz), 3.96 (1H, q, </w:t>
      </w:r>
      <w:r>
        <w:rPr>
          <w:rFonts w:hint="default" w:ascii="Times New Roman" w:hAnsi="Times New Roman" w:eastAsia="宋体" w:cs="Times New Roman"/>
          <w:i/>
          <w:iCs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J 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= 3.2 Hz), 5.46 (1H, overlapped, OH-5'), 3.67(1H, dd, </w:t>
      </w:r>
      <w:r>
        <w:rPr>
          <w:rFonts w:hint="default" w:ascii="Times New Roman" w:hAnsi="Times New Roman" w:eastAsia="宋体" w:cs="Times New Roman"/>
          <w:i/>
          <w:iCs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J 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= 12.0, 3.6 Hz), 3.54(1H, br d, </w:t>
      </w:r>
      <w:r>
        <w:rPr>
          <w:rFonts w:hint="default" w:ascii="Times New Roman" w:hAnsi="Times New Roman" w:eastAsia="宋体" w:cs="Times New Roman"/>
          <w:i/>
          <w:iCs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J 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= 12.0 Hz); 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superscript"/>
          <w14:textFill>
            <w14:solidFill>
              <w14:schemeClr w14:val="tx1"/>
            </w14:solidFill>
          </w14:textFill>
        </w:rPr>
        <w:t>13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C-NMR (DMSO-</w:t>
      </w:r>
      <w:r>
        <w:rPr>
          <w:rFonts w:hint="default" w:ascii="Times New Roman" w:hAnsi="Times New Roman" w:eastAsia="宋体" w:cs="Times New Roman"/>
          <w:i/>
          <w:iCs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d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6, 100 MHz)</w:t>
      </w:r>
      <w:r>
        <w:rPr>
          <w:rFonts w:hint="default" w:ascii="Times New Roman" w:hAnsi="Times New Roman" w:eastAsia="宋体" w:cs="Times New Roman"/>
          <w:i/>
          <w:iCs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 δ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C: 152.4 (C-2), 149.1 (C-4), 119.4 (C-5), 156.2 (C-6), 140.0 (C-8), 87.9(C-1'), 73.4 (C-2'), 70.7 (C-3'), 85.9(C-4'), 61.7 (C-5'). Compound </w:t>
      </w:r>
      <w:r>
        <w:rPr>
          <w:rFonts w:hint="default" w:ascii="Times New Roman" w:hAnsi="Times New Roman" w:eastAsia="宋体" w:cs="Times New Roman"/>
          <w:b/>
          <w:bCs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7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 was identified as </w:t>
      </w:r>
      <w:bookmarkStart w:id="5" w:name="_Hlk117508512"/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adenosine</w:t>
      </w:r>
      <w:bookmarkEnd w:id="5"/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[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]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Compound </w:t>
      </w:r>
      <w:r>
        <w:rPr>
          <w:rFonts w:hint="default" w:ascii="Times New Roman" w:hAnsi="Times New Roman" w:eastAsia="宋体" w:cs="Times New Roman"/>
          <w:b/>
          <w:bCs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8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 was obtained as light yellow oil; ESI-MS </w:t>
      </w:r>
      <w:r>
        <w:rPr>
          <w:rFonts w:hint="default" w:ascii="Times New Roman" w:hAnsi="Times New Roman" w:eastAsia="宋体" w:cs="Times New Roman"/>
          <w:i/>
          <w:iCs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m/z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: 279 [M + H]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superscript"/>
          <w14:textFill>
            <w14:solidFill>
              <w14:schemeClr w14:val="tx1"/>
            </w14:solidFill>
          </w14:textFill>
        </w:rPr>
        <w:t>+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;</w:t>
      </w:r>
      <w:r>
        <w:rPr>
          <w:rFonts w:hint="default" w:ascii="Times New Roman" w:hAnsi="Times New Roman" w:eastAsia="微软雅黑" w:cs="Times New Roman"/>
          <w:color w:val="000000"/>
          <w:kern w:val="0"/>
          <w:sz w:val="24"/>
          <w:szCs w:val="24"/>
          <w:highlight w:val="none"/>
          <w:vertAlign w:val="baseline"/>
        </w:rPr>
        <w:t xml:space="preserve"> </w:t>
      </w:r>
      <w:bookmarkStart w:id="6" w:name="_Hlk117508419"/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C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subscript"/>
          <w14:textFill>
            <w14:solidFill>
              <w14:schemeClr w14:val="tx1"/>
            </w14:solidFill>
          </w14:textFill>
        </w:rPr>
        <w:t>16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H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subscript"/>
          <w14:textFill>
            <w14:solidFill>
              <w14:schemeClr w14:val="tx1"/>
            </w14:solidFill>
          </w14:textFill>
        </w:rPr>
        <w:t>22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O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subscript"/>
          <w14:textFill>
            <w14:solidFill>
              <w14:schemeClr w14:val="tx1"/>
            </w14:solidFill>
          </w14:textFill>
        </w:rPr>
        <w:t>4</w:t>
      </w:r>
      <w:bookmarkEnd w:id="6"/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; 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superscript"/>
          <w14:textFill>
            <w14:solidFill>
              <w14:schemeClr w14:val="tx1"/>
            </w14:solidFill>
          </w14:textFill>
        </w:rPr>
        <w:t>1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H-NMR (CD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subscript"/>
          <w14:textFill>
            <w14:solidFill>
              <w14:schemeClr w14:val="tx1"/>
            </w14:solidFill>
          </w14:textFill>
        </w:rPr>
        <w:t>3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OD-</w:t>
      </w:r>
      <w:r>
        <w:rPr>
          <w:rFonts w:hint="default" w:ascii="Times New Roman" w:hAnsi="Times New Roman" w:eastAsia="宋体" w:cs="Times New Roman"/>
          <w:i/>
          <w:iCs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d4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, 400 MHz)</w:t>
      </w:r>
      <w:r>
        <w:rPr>
          <w:rFonts w:hint="default" w:ascii="Times New Roman" w:hAnsi="Times New Roman" w:eastAsia="宋体" w:cs="Times New Roman"/>
          <w:i/>
          <w:iCs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 δ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H: 7.72 (2H, dd, </w:t>
      </w:r>
      <w:r>
        <w:rPr>
          <w:rFonts w:hint="default" w:ascii="Times New Roman" w:hAnsi="Times New Roman" w:eastAsia="宋体" w:cs="Times New Roman"/>
          <w:i/>
          <w:iCs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J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 = 3.2, 5.6 Hz), 7.61 (2H, dd, </w:t>
      </w:r>
      <w:r>
        <w:rPr>
          <w:rFonts w:hint="default" w:ascii="Times New Roman" w:hAnsi="Times New Roman" w:eastAsia="宋体" w:cs="Times New Roman"/>
          <w:i/>
          <w:iCs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J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 = 3.2, 5.6 Hz), 4.29 (4H, t, </w:t>
      </w:r>
      <w:r>
        <w:rPr>
          <w:rFonts w:hint="default" w:ascii="Times New Roman" w:hAnsi="Times New Roman" w:eastAsia="宋体" w:cs="Times New Roman"/>
          <w:i/>
          <w:iCs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J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 = 6.4), 1.72 (4H, m), 1.46 (4H, m), 0.98 (6H, t, </w:t>
      </w:r>
      <w:r>
        <w:rPr>
          <w:rFonts w:hint="default" w:ascii="Times New Roman" w:hAnsi="Times New Roman" w:eastAsia="宋体" w:cs="Times New Roman"/>
          <w:i/>
          <w:iCs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J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 = 7.2); 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superscript"/>
          <w14:textFill>
            <w14:solidFill>
              <w14:schemeClr w14:val="tx1"/>
            </w14:solidFill>
          </w14:textFill>
        </w:rPr>
        <w:t>13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C-NMR (CD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subscript"/>
          <w14:textFill>
            <w14:solidFill>
              <w14:schemeClr w14:val="tx1"/>
            </w14:solidFill>
          </w14:textFill>
        </w:rPr>
        <w:t>3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OD-</w:t>
      </w:r>
      <w:r>
        <w:rPr>
          <w:rFonts w:hint="default" w:ascii="Times New Roman" w:hAnsi="Times New Roman" w:eastAsia="宋体" w:cs="Times New Roman"/>
          <w:i/>
          <w:iCs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d4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,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100 MHz)</w:t>
      </w:r>
      <w:r>
        <w:rPr>
          <w:rFonts w:hint="default" w:ascii="Times New Roman" w:hAnsi="Times New Roman" w:eastAsia="宋体" w:cs="Times New Roman"/>
          <w:i/>
          <w:iCs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 δ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C: 133.5 (C-1), 133.5 (C-2), 129.9 (C-3), 132.3 (C-4), 132.3 (C-5), 129.9 (C-6), 169.3 (C-7), 66.6 (C-8), 31.7 (C-9), 20.3 (C-10), 14.1 (C-11), 169.3 (C-7'), 66.6 (C-8'), 31.7 (C-9'), 20.3 (C-10'), 14.1 (C-11'). Compound </w:t>
      </w:r>
      <w:r>
        <w:rPr>
          <w:rFonts w:hint="default" w:ascii="Times New Roman" w:hAnsi="Times New Roman" w:eastAsia="宋体" w:cs="Times New Roman"/>
          <w:b/>
          <w:bCs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8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 was identified as dibutyl phthalate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[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8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]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eastAsia="宋体" w:cs="Times New Roman"/>
          <w:b/>
          <w:bCs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/>
          <w:bCs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Molecular modeling docking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540" w:firstLineChars="200"/>
        <w:textAlignment w:val="auto"/>
        <w:rPr>
          <w:rFonts w:hint="default" w:ascii="Times New Roman" w:hAnsi="Times New Roman" w:cs="Times New Roman"/>
          <w:color w:val="000000" w:themeColor="text1"/>
          <w:spacing w:val="15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pacing w:val="15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The crystal structure of the complex of adenosine with α-glucosidase (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Fig. 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default" w:ascii="Times New Roman" w:hAnsi="Times New Roman" w:cs="Times New Roman"/>
          <w:color w:val="000000" w:themeColor="text1"/>
          <w:spacing w:val="15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) reveals that adenosine could locate deeply in the ligand-binding pocket and form four H-bond interactions including (1) the amino group that acts as the H-bond donor to interact with His-203; (2) the 2'-hydroxyl group that makes H-bond contact with Gln-256 by acting as the H-bond donor and also serves as the H-bond acceptor to interact with Asp-199; (3) the </w:t>
      </w:r>
      <w:bookmarkStart w:id="7" w:name="_Hlk116758657"/>
      <w:r>
        <w:rPr>
          <w:rFonts w:hint="default" w:ascii="Times New Roman" w:hAnsi="Times New Roman" w:cs="Times New Roman"/>
          <w:color w:val="000000" w:themeColor="text1"/>
          <w:spacing w:val="15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3'-hydroxyl</w:t>
      </w:r>
      <w:bookmarkEnd w:id="7"/>
      <w:r>
        <w:rPr>
          <w:rFonts w:hint="default" w:ascii="Times New Roman" w:hAnsi="Times New Roman" w:cs="Times New Roman"/>
          <w:color w:val="000000" w:themeColor="text1"/>
          <w:spacing w:val="15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 group that as the H-bond donor to interact with Asp-327 and also serves as the H-bond acceptor to interact with Arg-411; and (4) the 5'-hydroxyl group that as the H-bond donor to interact with Asp-199 and also serves as the H-bond acceptor to interact with Hie-103. Additionally, the </w:t>
      </w:r>
      <w:r>
        <w:rPr>
          <w:rFonts w:hint="default" w:ascii="Times New Roman" w:hAnsi="Times New Roman" w:cs="Times New Roman"/>
          <w:color w:val="000000" w:themeColor="text1"/>
          <w:sz w:val="24"/>
          <w:szCs w:val="24"/>
          <w:highlight w:val="none"/>
          <w:shd w:val="clear" w:color="auto" w:fill="FFFFFF"/>
          <w:vertAlign w:val="baseline"/>
          <w14:textFill>
            <w14:solidFill>
              <w14:schemeClr w14:val="tx1"/>
            </w14:solidFill>
          </w14:textFill>
        </w:rPr>
        <w:t>Purine</w:t>
      </w:r>
      <w:r>
        <w:rPr>
          <w:rFonts w:hint="default" w:ascii="Times New Roman" w:hAnsi="Times New Roman" w:cs="Times New Roman"/>
          <w:color w:val="000000" w:themeColor="text1"/>
          <w:spacing w:val="15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 scaffold of adenosine makes a hydrophobic π-π interaction with He-163, His-103, Tyr-63, Ile-143.</w:t>
      </w:r>
      <w:r>
        <w:rPr>
          <w:rFonts w:hint="default" w:ascii="Times New Roman" w:hAnsi="Times New Roman" w:cs="Times New Roman"/>
          <w:sz w:val="24"/>
          <w:szCs w:val="24"/>
          <w:highlight w:val="none"/>
          <w:vertAlign w:val="baseline"/>
        </w:rPr>
        <w:t xml:space="preserve"> </w:t>
      </w:r>
      <w:bookmarkStart w:id="8" w:name="_Hlk117791545"/>
      <w:r>
        <w:rPr>
          <w:rFonts w:hint="default" w:ascii="Times New Roman" w:hAnsi="Times New Roman" w:cs="Times New Roman"/>
          <w:color w:val="000000" w:themeColor="text1"/>
          <w:spacing w:val="15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The above model results showed that adenosine has high binding capacity with α-glucosidase.</w:t>
      </w:r>
      <w:bookmarkEnd w:id="8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540" w:firstLineChars="200"/>
        <w:jc w:val="both"/>
        <w:textAlignment w:val="auto"/>
        <w:rPr>
          <w:rFonts w:hint="default" w:ascii="Times New Roman" w:hAnsi="Times New Roman" w:cs="Times New Roman"/>
          <w:color w:val="000000" w:themeColor="text1"/>
          <w:spacing w:val="15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pacing w:val="15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The binding mode of 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ergosterol-5,8-peroxide</w:t>
      </w:r>
      <w:r>
        <w:rPr>
          <w:rFonts w:hint="default" w:ascii="Times New Roman" w:hAnsi="Times New Roman" w:cs="Times New Roman"/>
          <w:color w:val="000000" w:themeColor="text1"/>
          <w:spacing w:val="15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 and CASP3 protein is shown in Fig. </w:t>
      </w:r>
      <w:r>
        <w:rPr>
          <w:rFonts w:hint="eastAsia" w:ascii="Times New Roman" w:hAnsi="Times New Roman" w:cs="Times New Roman"/>
          <w:color w:val="000000" w:themeColor="text1"/>
          <w:spacing w:val="15"/>
          <w:sz w:val="24"/>
          <w:szCs w:val="24"/>
          <w:highlight w:val="none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default" w:ascii="Times New Roman" w:hAnsi="Times New Roman" w:cs="Times New Roman"/>
          <w:color w:val="000000" w:themeColor="text1"/>
          <w:spacing w:val="15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. The hydroxyl and epoxy atoms of 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ergosterol-5,8-peroxide</w:t>
      </w:r>
      <w:r>
        <w:rPr>
          <w:rFonts w:hint="default" w:ascii="Times New Roman" w:hAnsi="Times New Roman" w:cs="Times New Roman"/>
          <w:color w:val="000000" w:themeColor="text1"/>
          <w:spacing w:val="15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 can act as H-bond receptors to form hydrogen bonds with Gly-122 and Arg-207, and the H-bond distance is short, which is far less than the traditional H-bond 3.5 Å, indicating that the binding ability is strong. 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Moreover, ergosterol-5,8-peroxide</w:t>
      </w:r>
      <w:r>
        <w:rPr>
          <w:rFonts w:hint="default" w:ascii="Times New Roman" w:hAnsi="Times New Roman" w:cs="Times New Roman"/>
          <w:color w:val="000000" w:themeColor="text1"/>
          <w:spacing w:val="15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 has a strong hydrophobicity and can form hydrophobic interaction with Trp-206, Trp-214, His-121, Tyr-204, which plays an important role in stabilizing molecules.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540" w:firstLineChars="200"/>
        <w:textAlignment w:val="auto"/>
        <w:rPr>
          <w:rFonts w:hint="default" w:ascii="Times New Roman" w:hAnsi="Times New Roman" w:eastAsia="宋体" w:cs="Times New Roman"/>
          <w:color w:val="000000" w:themeColor="text1"/>
          <w:spacing w:val="15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pacing w:val="15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As shown in Fig. </w:t>
      </w:r>
      <w:r>
        <w:rPr>
          <w:rFonts w:hint="eastAsia" w:ascii="Times New Roman" w:hAnsi="Times New Roman" w:cs="Times New Roman"/>
          <w:color w:val="000000" w:themeColor="text1"/>
          <w:spacing w:val="15"/>
          <w:sz w:val="24"/>
          <w:szCs w:val="24"/>
          <w:highlight w:val="none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default" w:ascii="Times New Roman" w:hAnsi="Times New Roman" w:cs="Times New Roman"/>
          <w:color w:val="000000" w:themeColor="text1"/>
          <w:spacing w:val="15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, the docking model of ergosterol </w:t>
      </w:r>
      <w:bookmarkStart w:id="9" w:name="_Hlk118558448"/>
      <w:r>
        <w:rPr>
          <w:rFonts w:hint="default" w:ascii="Times New Roman" w:hAnsi="Times New Roman" w:cs="Times New Roman"/>
          <w:color w:val="000000" w:themeColor="text1"/>
          <w:spacing w:val="15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with VP1</w:t>
      </w:r>
      <w:bookmarkEnd w:id="9"/>
      <w:r>
        <w:rPr>
          <w:rFonts w:hint="default" w:ascii="Times New Roman" w:hAnsi="Times New Roman" w:cs="Times New Roman"/>
          <w:color w:val="000000" w:themeColor="text1"/>
          <w:spacing w:val="15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 showed that ergosterol could enter the receptor binding pocket by locating its perhydrocyclopentanophenanthrene core scaffold in the middle of the pocket of VP1.</w:t>
      </w:r>
      <w:r>
        <w:rPr>
          <w:rFonts w:hint="default" w:ascii="Times New Roman" w:hAnsi="Times New Roman" w:cs="Times New Roman"/>
          <w:sz w:val="24"/>
          <w:szCs w:val="24"/>
          <w:highlight w:val="none"/>
          <w:vertAlign w:val="baseline"/>
        </w:rPr>
        <w:t xml:space="preserve"> </w:t>
      </w:r>
      <w:r>
        <w:rPr>
          <w:rFonts w:hint="default" w:ascii="Times New Roman" w:hAnsi="Times New Roman" w:cs="Times New Roman"/>
          <w:color w:val="000000" w:themeColor="text1"/>
          <w:spacing w:val="15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Ergosterol mainly interacts with the pocket by its 3-hydroxyl group acting as the H-bond acceptor to interact with Glu-124. Ergosterol could be stabilized by several hydrophobic interactions with the active site residues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vertAlign w:val="baseline"/>
        </w:rPr>
        <w:t xml:space="preserve"> </w:t>
      </w:r>
      <w:r>
        <w:rPr>
          <w:rFonts w:hint="default" w:ascii="Times New Roman" w:hAnsi="Times New Roman" w:cs="Times New Roman"/>
          <w:color w:val="000000" w:themeColor="text1"/>
          <w:spacing w:val="15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Ile-111, Ile-113, Val-123, Ala-275, Trp-203, Ala-224, Pro-226.</w:t>
      </w:r>
      <w:r>
        <w:rPr>
          <w:rFonts w:hint="default" w:ascii="Times New Roman" w:hAnsi="Times New Roman" w:cs="Times New Roman"/>
          <w:sz w:val="24"/>
          <w:szCs w:val="24"/>
          <w:highlight w:val="none"/>
          <w:vertAlign w:val="baseline"/>
        </w:rPr>
        <w:t xml:space="preserve"> </w:t>
      </w:r>
      <w:r>
        <w:rPr>
          <w:rFonts w:hint="default" w:ascii="Times New Roman" w:hAnsi="Times New Roman" w:cs="Times New Roman"/>
          <w:color w:val="000000" w:themeColor="text1"/>
          <w:spacing w:val="15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Alanine</w:t>
      </w:r>
      <w:r>
        <w:rPr>
          <w:rFonts w:hint="default" w:ascii="Times New Roman" w:hAnsi="Times New Roman" w:cs="Times New Roman"/>
          <w:sz w:val="24"/>
          <w:szCs w:val="24"/>
          <w:highlight w:val="none"/>
          <w:vertAlign w:val="baseline"/>
        </w:rPr>
        <w:t xml:space="preserve"> in EV71 epitope is an amino acid that is favorable for host binding</w:t>
      </w:r>
      <w:r>
        <w:rPr>
          <w:rFonts w:hint="default" w:ascii="Times New Roman" w:hAnsi="Times New Roman" w:cs="Times New Roman"/>
          <w:sz w:val="24"/>
          <w:szCs w:val="24"/>
          <w:highlight w:val="none"/>
          <w:vertAlign w:val="baseline"/>
          <w:lang w:val="en-US" w:eastAsia="zh-CN"/>
        </w:rPr>
        <w:t>[</w:t>
      </w:r>
      <w:r>
        <w:rPr>
          <w:rFonts w:hint="eastAsia" w:ascii="Times New Roman" w:hAnsi="Times New Roman" w:cs="Times New Roman"/>
          <w:sz w:val="24"/>
          <w:szCs w:val="24"/>
          <w:highlight w:val="none"/>
          <w:vertAlign w:val="baseline"/>
          <w:lang w:val="en-US" w:eastAsia="zh-CN"/>
        </w:rPr>
        <w:t>9</w:t>
      </w:r>
      <w:r>
        <w:rPr>
          <w:rFonts w:hint="default" w:ascii="Times New Roman" w:hAnsi="Times New Roman" w:cs="Times New Roman"/>
          <w:sz w:val="24"/>
          <w:szCs w:val="24"/>
          <w:highlight w:val="none"/>
          <w:vertAlign w:val="baseline"/>
          <w:lang w:val="en-US" w:eastAsia="zh-CN"/>
        </w:rPr>
        <w:t>]</w:t>
      </w:r>
      <w:r>
        <w:rPr>
          <w:rFonts w:hint="default" w:ascii="Times New Roman" w:hAnsi="Times New Roman" w:cs="Times New Roman"/>
          <w:sz w:val="24"/>
          <w:szCs w:val="24"/>
          <w:highlight w:val="none"/>
          <w:vertAlign w:val="baseline"/>
        </w:rPr>
        <w:t>, indicating that ergosterol can prevent EV71 viruses from entering host cells possibly by binding with EV71 through Alanine.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cs="Times New Roman"/>
          <w:sz w:val="24"/>
          <w:szCs w:val="24"/>
          <w:highlight w:val="none"/>
          <w:vertAlign w:val="baseli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Times New Roman" w:hAnsi="Times New Roman" w:eastAsia="宋体" w:cs="Times New Roman"/>
          <w:sz w:val="24"/>
          <w:highlight w:val="none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color w:val="000000" w:themeColor="text1"/>
          <w:sz w:val="24"/>
          <w:szCs w:val="24"/>
          <w:highlight w:val="none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References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firstLine="0" w:firstLineChars="0"/>
        <w:textAlignment w:val="auto"/>
        <w:rPr>
          <w:rFonts w:hint="eastAsia" w:ascii="Times New Roman" w:hAnsi="Times New Roman" w:cs="Times New Roman" w:eastAsiaTheme="minorEastAsia"/>
          <w:sz w:val="24"/>
          <w:szCs w:val="24"/>
          <w:highlight w:val="none"/>
          <w:vertAlign w:val="baseline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highlight w:val="none"/>
          <w:vertAlign w:val="baseline"/>
          <w:lang w:val="en-US" w:eastAsia="zh-CN"/>
        </w:rPr>
        <w:t>1</w:t>
      </w:r>
      <w:r>
        <w:rPr>
          <w:rFonts w:hint="eastAsia" w:ascii="Times New Roman" w:hAnsi="Times New Roman" w:cs="Times New Roman"/>
          <w:sz w:val="24"/>
          <w:szCs w:val="24"/>
          <w:highlight w:val="none"/>
          <w:vertAlign w:val="baseline"/>
          <w:lang w:val="en-US" w:eastAsia="zh-CN"/>
        </w:rPr>
        <w:t>.</w:t>
      </w:r>
      <w:r>
        <w:rPr>
          <w:rFonts w:hint="default" w:ascii="Times New Roman" w:hAnsi="Times New Roman" w:cs="Times New Roman"/>
          <w:sz w:val="24"/>
          <w:szCs w:val="24"/>
          <w:highlight w:val="none"/>
          <w:vertAlign w:val="baseli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highlight w:val="none"/>
          <w:vertAlign w:val="baseline"/>
        </w:rPr>
        <w:t xml:space="preserve">Li J, Chen Q, Zeng Y, </w:t>
      </w:r>
      <w:r>
        <w:rPr>
          <w:rFonts w:hint="eastAsia" w:ascii="Times New Roman" w:hAnsi="Times New Roman" w:cs="Times New Roman"/>
          <w:sz w:val="24"/>
          <w:szCs w:val="24"/>
          <w:highlight w:val="none"/>
          <w:vertAlign w:val="baseline"/>
          <w:lang w:val="en-US" w:eastAsia="zh-CN"/>
        </w:rPr>
        <w:t>et al</w:t>
      </w:r>
      <w:r>
        <w:rPr>
          <w:rFonts w:hint="default" w:ascii="Times New Roman" w:hAnsi="Times New Roman" w:cs="Times New Roman"/>
          <w:sz w:val="24"/>
          <w:szCs w:val="24"/>
          <w:highlight w:val="none"/>
          <w:vertAlign w:val="baseline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  <w:highlight w:val="none"/>
          <w:vertAlign w:val="baseline"/>
          <w:lang w:val="en-US" w:eastAsia="zh-CN"/>
        </w:rPr>
        <w:t>(</w:t>
      </w:r>
      <w:r>
        <w:rPr>
          <w:rFonts w:hint="default" w:ascii="Times New Roman" w:hAnsi="Times New Roman" w:cs="Times New Roman"/>
          <w:sz w:val="24"/>
          <w:szCs w:val="24"/>
          <w:highlight w:val="none"/>
          <w:vertAlign w:val="baseline"/>
        </w:rPr>
        <w:t>2012</w:t>
      </w:r>
      <w:r>
        <w:rPr>
          <w:rFonts w:hint="eastAsia" w:ascii="Times New Roman" w:hAnsi="Times New Roman" w:cs="Times New Roman"/>
          <w:sz w:val="24"/>
          <w:szCs w:val="24"/>
          <w:highlight w:val="none"/>
          <w:vertAlign w:val="baseline"/>
          <w:lang w:val="en-US" w:eastAsia="zh-CN"/>
        </w:rPr>
        <w:t>)</w:t>
      </w:r>
      <w:r>
        <w:rPr>
          <w:rFonts w:hint="default" w:ascii="Times New Roman" w:hAnsi="Times New Roman" w:cs="Times New Roman"/>
          <w:sz w:val="24"/>
          <w:szCs w:val="24"/>
          <w:highlight w:val="none"/>
          <w:vertAlign w:val="baseline"/>
        </w:rPr>
        <w:t xml:space="preserve"> A new phenol compound from endophytic </w:t>
      </w:r>
      <w:r>
        <w:rPr>
          <w:rFonts w:hint="default" w:ascii="Times New Roman" w:hAnsi="Times New Roman" w:cs="Times New Roman"/>
          <w:i/>
          <w:iCs/>
          <w:sz w:val="24"/>
          <w:szCs w:val="24"/>
          <w:highlight w:val="none"/>
          <w:vertAlign w:val="baseline"/>
        </w:rPr>
        <w:t>Phomopsis</w:t>
      </w:r>
      <w:r>
        <w:rPr>
          <w:rFonts w:hint="default" w:ascii="Times New Roman" w:hAnsi="Times New Roman" w:cs="Times New Roman"/>
          <w:sz w:val="24"/>
          <w:szCs w:val="24"/>
          <w:highlight w:val="none"/>
          <w:vertAlign w:val="baseline"/>
        </w:rPr>
        <w:t xml:space="preserve"> sp. DC01. Nat Prod Res 26</w:t>
      </w:r>
      <w:r>
        <w:rPr>
          <w:rFonts w:hint="eastAsia" w:ascii="Times New Roman" w:hAnsi="Times New Roman" w:cs="Times New Roman"/>
          <w:sz w:val="24"/>
          <w:szCs w:val="24"/>
          <w:highlight w:val="none"/>
          <w:vertAlign w:val="baseline"/>
          <w:lang w:val="en-US" w:eastAsia="zh-CN"/>
        </w:rPr>
        <w:t>:</w:t>
      </w:r>
      <w:r>
        <w:rPr>
          <w:rFonts w:hint="default" w:ascii="Times New Roman" w:hAnsi="Times New Roman" w:cs="Times New Roman"/>
          <w:sz w:val="24"/>
          <w:szCs w:val="24"/>
          <w:highlight w:val="none"/>
          <w:vertAlign w:val="baseline"/>
        </w:rPr>
        <w:t xml:space="preserve"> 2008-2012.</w:t>
      </w:r>
      <w:r>
        <w:rPr>
          <w:rFonts w:hint="eastAsia" w:ascii="Times New Roman" w:hAnsi="Times New Roman" w:cs="Times New Roman"/>
          <w:sz w:val="24"/>
          <w:szCs w:val="24"/>
          <w:highlight w:val="none"/>
          <w:vertAlign w:val="baseli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>https://doi.org/10.1080/14786419.2011.637218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cs="Times New Roman" w:eastAsiaTheme="minorEastAsia"/>
          <w:sz w:val="24"/>
          <w:szCs w:val="24"/>
          <w:highlight w:val="none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highlight w:val="none"/>
          <w:vertAlign w:val="baseline"/>
          <w:lang w:val="en-US" w:eastAsia="zh-CN"/>
        </w:rPr>
        <w:t>2.</w:t>
      </w:r>
      <w:r>
        <w:rPr>
          <w:rFonts w:hint="default" w:ascii="Times New Roman" w:hAnsi="Times New Roman" w:cs="Times New Roman"/>
          <w:sz w:val="24"/>
          <w:szCs w:val="24"/>
          <w:highlight w:val="none"/>
          <w:vertAlign w:val="baseli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highlight w:val="none"/>
          <w:vertAlign w:val="baseline"/>
        </w:rPr>
        <w:t xml:space="preserve">Tokita M, Morita M </w:t>
      </w:r>
      <w:r>
        <w:rPr>
          <w:rFonts w:hint="eastAsia" w:ascii="Times New Roman" w:hAnsi="Times New Roman" w:cs="Times New Roman"/>
          <w:sz w:val="24"/>
          <w:szCs w:val="24"/>
          <w:highlight w:val="none"/>
          <w:vertAlign w:val="baseline"/>
          <w:lang w:val="en-US" w:eastAsia="zh-CN"/>
        </w:rPr>
        <w:t>(</w:t>
      </w:r>
      <w:r>
        <w:rPr>
          <w:rFonts w:hint="default" w:ascii="Times New Roman" w:hAnsi="Times New Roman" w:cs="Times New Roman"/>
          <w:sz w:val="24"/>
          <w:szCs w:val="24"/>
          <w:highlight w:val="none"/>
          <w:vertAlign w:val="baseline"/>
        </w:rPr>
        <w:t>2014</w:t>
      </w:r>
      <w:r>
        <w:rPr>
          <w:rFonts w:hint="eastAsia" w:ascii="Times New Roman" w:hAnsi="Times New Roman" w:cs="Times New Roman"/>
          <w:sz w:val="24"/>
          <w:szCs w:val="24"/>
          <w:highlight w:val="none"/>
          <w:vertAlign w:val="baseline"/>
          <w:lang w:val="en-US" w:eastAsia="zh-CN"/>
        </w:rPr>
        <w:t>)</w:t>
      </w:r>
      <w:r>
        <w:rPr>
          <w:rFonts w:hint="default" w:ascii="Times New Roman" w:hAnsi="Times New Roman" w:cs="Times New Roman"/>
          <w:sz w:val="24"/>
          <w:szCs w:val="24"/>
          <w:highlight w:val="none"/>
          <w:vertAlign w:val="baseline"/>
        </w:rPr>
        <w:t xml:space="preserve"> Identification of new geometric isomers of methyl linoleate hydroperoxide and their chromatographic behavior. Biosci Biotechnol Biochem 64</w:t>
      </w:r>
      <w:r>
        <w:rPr>
          <w:rFonts w:hint="eastAsia" w:ascii="Times New Roman" w:hAnsi="Times New Roman" w:cs="Times New Roman"/>
          <w:sz w:val="24"/>
          <w:szCs w:val="24"/>
          <w:highlight w:val="none"/>
          <w:vertAlign w:val="baseline"/>
          <w:lang w:val="en-US" w:eastAsia="zh-CN"/>
        </w:rPr>
        <w:t>:</w:t>
      </w:r>
      <w:r>
        <w:rPr>
          <w:rFonts w:hint="default" w:ascii="Times New Roman" w:hAnsi="Times New Roman" w:cs="Times New Roman"/>
          <w:sz w:val="24"/>
          <w:szCs w:val="24"/>
          <w:highlight w:val="none"/>
          <w:vertAlign w:val="baseline"/>
        </w:rPr>
        <w:t xml:space="preserve"> 1044-1046.</w:t>
      </w:r>
      <w:r>
        <w:rPr>
          <w:rFonts w:hint="eastAsia" w:ascii="Times New Roman" w:hAnsi="Times New Roman" w:cs="Times New Roman"/>
          <w:sz w:val="24"/>
          <w:szCs w:val="24"/>
          <w:highlight w:val="none"/>
          <w:vertAlign w:val="baseli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>https://doi.org/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>10808600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Times New Roman" w:hAnsi="Times New Roman" w:cs="Times New Roman" w:eastAsiaTheme="minorEastAsia"/>
          <w:sz w:val="24"/>
          <w:szCs w:val="24"/>
          <w:highlight w:val="none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highlight w:val="none"/>
          <w:vertAlign w:val="baseline"/>
          <w:lang w:val="en-US" w:eastAsia="zh-CN"/>
        </w:rPr>
        <w:t>3.</w:t>
      </w:r>
      <w:r>
        <w:rPr>
          <w:rFonts w:hint="default" w:ascii="Times New Roman" w:hAnsi="Times New Roman" w:cs="Times New Roman"/>
          <w:sz w:val="24"/>
          <w:szCs w:val="24"/>
          <w:highlight w:val="none"/>
          <w:vertAlign w:val="baseli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highlight w:val="none"/>
          <w:vertAlign w:val="baseline"/>
        </w:rPr>
        <w:t xml:space="preserve">Collier TL, Hwang Y, Ramasamy R, </w:t>
      </w:r>
      <w:r>
        <w:rPr>
          <w:rFonts w:hint="eastAsia" w:ascii="Times New Roman" w:hAnsi="Times New Roman" w:cs="Times New Roman"/>
          <w:sz w:val="24"/>
          <w:szCs w:val="24"/>
          <w:highlight w:val="none"/>
          <w:vertAlign w:val="baseline"/>
          <w:lang w:val="en-US" w:eastAsia="zh-CN"/>
        </w:rPr>
        <w:t>et al</w:t>
      </w:r>
      <w:r>
        <w:rPr>
          <w:rFonts w:hint="default" w:ascii="Times New Roman" w:hAnsi="Times New Roman" w:cs="Times New Roman"/>
          <w:sz w:val="24"/>
          <w:szCs w:val="24"/>
          <w:highlight w:val="none"/>
          <w:vertAlign w:val="baseline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  <w:highlight w:val="none"/>
          <w:vertAlign w:val="baseline"/>
          <w:lang w:val="en-US" w:eastAsia="zh-CN"/>
        </w:rPr>
        <w:t>(</w:t>
      </w:r>
      <w:r>
        <w:rPr>
          <w:rFonts w:hint="default" w:ascii="Times New Roman" w:hAnsi="Times New Roman" w:cs="Times New Roman"/>
          <w:sz w:val="24"/>
          <w:szCs w:val="24"/>
          <w:highlight w:val="none"/>
          <w:vertAlign w:val="baseline"/>
        </w:rPr>
        <w:t>2002</w:t>
      </w:r>
      <w:r>
        <w:rPr>
          <w:rFonts w:hint="eastAsia" w:ascii="Times New Roman" w:hAnsi="Times New Roman" w:cs="Times New Roman"/>
          <w:sz w:val="24"/>
          <w:szCs w:val="24"/>
          <w:highlight w:val="none"/>
          <w:vertAlign w:val="baseline"/>
          <w:lang w:val="en-US" w:eastAsia="zh-CN"/>
        </w:rPr>
        <w:t>)</w:t>
      </w:r>
      <w:r>
        <w:rPr>
          <w:rFonts w:hint="default" w:ascii="Times New Roman" w:hAnsi="Times New Roman" w:cs="Times New Roman"/>
          <w:sz w:val="24"/>
          <w:szCs w:val="24"/>
          <w:highlight w:val="none"/>
          <w:vertAlign w:val="baseline"/>
        </w:rPr>
        <w:t xml:space="preserve"> Synthesis and initial evaluation of 17-(11)C-heptadecanoic acid for measurement of myocardial fatty acid metabolism. J Nucl Med 43</w:t>
      </w:r>
      <w:r>
        <w:rPr>
          <w:rFonts w:hint="eastAsia" w:ascii="Times New Roman" w:hAnsi="Times New Roman" w:cs="Times New Roman"/>
          <w:sz w:val="24"/>
          <w:szCs w:val="24"/>
          <w:highlight w:val="none"/>
          <w:vertAlign w:val="baseline"/>
          <w:lang w:val="en-US" w:eastAsia="zh-CN"/>
        </w:rPr>
        <w:t>:</w:t>
      </w:r>
      <w:r>
        <w:rPr>
          <w:rFonts w:hint="default" w:ascii="Times New Roman" w:hAnsi="Times New Roman" w:cs="Times New Roman"/>
          <w:sz w:val="24"/>
          <w:szCs w:val="24"/>
          <w:highlight w:val="none"/>
          <w:vertAlign w:val="baseline"/>
        </w:rPr>
        <w:t xml:space="preserve"> 1707-1714.</w:t>
      </w:r>
      <w:r>
        <w:rPr>
          <w:rFonts w:hint="eastAsia" w:ascii="Times New Roman" w:hAnsi="Times New Roman" w:cs="Times New Roman"/>
          <w:sz w:val="24"/>
          <w:szCs w:val="24"/>
          <w:highlight w:val="none"/>
          <w:vertAlign w:val="baseline"/>
          <w:lang w:val="en-US" w:eastAsia="zh-CN"/>
        </w:rPr>
        <w:t xml:space="preserve"> https://www.researchgate.net/publication/11002230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Times New Roman" w:hAnsi="Times New Roman" w:cs="Times New Roman" w:eastAsiaTheme="minorEastAsia"/>
          <w:sz w:val="24"/>
          <w:szCs w:val="24"/>
          <w:highlight w:val="none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highlight w:val="none"/>
          <w:vertAlign w:val="baseline"/>
          <w:lang w:val="en-US" w:eastAsia="zh-CN"/>
        </w:rPr>
        <w:t>4.</w:t>
      </w:r>
      <w:r>
        <w:rPr>
          <w:rFonts w:hint="default" w:ascii="Times New Roman" w:hAnsi="Times New Roman" w:cs="Times New Roman"/>
          <w:sz w:val="24"/>
          <w:szCs w:val="24"/>
          <w:highlight w:val="none"/>
          <w:vertAlign w:val="baseli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highlight w:val="none"/>
          <w:vertAlign w:val="baseline"/>
        </w:rPr>
        <w:t>Yin W</w:t>
      </w:r>
      <w:r>
        <w:rPr>
          <w:rFonts w:hint="eastAsia" w:ascii="Times New Roman" w:hAnsi="Times New Roman" w:cs="Times New Roman"/>
          <w:sz w:val="24"/>
          <w:szCs w:val="24"/>
          <w:highlight w:val="none"/>
          <w:vertAlign w:val="baseline"/>
          <w:lang w:val="en-US" w:eastAsia="zh-CN"/>
        </w:rPr>
        <w:t>,</w:t>
      </w:r>
      <w:r>
        <w:rPr>
          <w:rFonts w:hint="default" w:ascii="Times New Roman" w:hAnsi="Times New Roman" w:cs="Times New Roman"/>
          <w:sz w:val="24"/>
          <w:szCs w:val="24"/>
          <w:highlight w:val="none"/>
          <w:vertAlign w:val="baseline"/>
        </w:rPr>
        <w:t xml:space="preserve"> Liu J</w:t>
      </w:r>
      <w:r>
        <w:rPr>
          <w:rFonts w:hint="eastAsia" w:ascii="Times New Roman" w:hAnsi="Times New Roman" w:cs="Times New Roman"/>
          <w:sz w:val="24"/>
          <w:szCs w:val="24"/>
          <w:highlight w:val="none"/>
          <w:vertAlign w:val="baseline"/>
          <w:lang w:val="en-US" w:eastAsia="zh-CN"/>
        </w:rPr>
        <w:t>,</w:t>
      </w:r>
      <w:r>
        <w:rPr>
          <w:rFonts w:hint="default" w:ascii="Times New Roman" w:hAnsi="Times New Roman" w:cs="Times New Roman"/>
          <w:sz w:val="24"/>
          <w:szCs w:val="24"/>
          <w:highlight w:val="none"/>
          <w:vertAlign w:val="baseline"/>
        </w:rPr>
        <w:t xml:space="preserve"> Zhang G </w:t>
      </w:r>
      <w:r>
        <w:rPr>
          <w:rFonts w:hint="eastAsia" w:ascii="Times New Roman" w:hAnsi="Times New Roman" w:cs="Times New Roman"/>
          <w:sz w:val="24"/>
          <w:szCs w:val="24"/>
          <w:highlight w:val="none"/>
          <w:vertAlign w:val="baseline"/>
          <w:lang w:val="en-US" w:eastAsia="zh-CN"/>
        </w:rPr>
        <w:t>(</w:t>
      </w:r>
      <w:r>
        <w:rPr>
          <w:rFonts w:hint="default" w:ascii="Times New Roman" w:hAnsi="Times New Roman" w:cs="Times New Roman"/>
          <w:sz w:val="24"/>
          <w:szCs w:val="24"/>
          <w:highlight w:val="none"/>
          <w:vertAlign w:val="baseline"/>
        </w:rPr>
        <w:t>2013</w:t>
      </w:r>
      <w:r>
        <w:rPr>
          <w:rFonts w:hint="eastAsia" w:ascii="Times New Roman" w:hAnsi="Times New Roman" w:cs="Times New Roman"/>
          <w:sz w:val="24"/>
          <w:szCs w:val="24"/>
          <w:highlight w:val="none"/>
          <w:vertAlign w:val="baseline"/>
          <w:lang w:val="en-US" w:eastAsia="zh-CN"/>
        </w:rPr>
        <w:t>)</w:t>
      </w:r>
      <w:r>
        <w:rPr>
          <w:rFonts w:hint="default" w:ascii="Times New Roman" w:hAnsi="Times New Roman" w:cs="Times New Roman"/>
          <w:sz w:val="24"/>
          <w:szCs w:val="24"/>
          <w:highlight w:val="none"/>
          <w:vertAlign w:val="baseline"/>
        </w:rPr>
        <w:t xml:space="preserve"> Chemical constituents of </w:t>
      </w:r>
      <w:r>
        <w:rPr>
          <w:rFonts w:hint="default" w:ascii="Times New Roman" w:hAnsi="Times New Roman" w:cs="Times New Roman"/>
          <w:i/>
          <w:iCs/>
          <w:sz w:val="24"/>
          <w:szCs w:val="24"/>
          <w:highlight w:val="none"/>
          <w:vertAlign w:val="baseline"/>
        </w:rPr>
        <w:t>Osmanthus fragrans</w:t>
      </w:r>
      <w:r>
        <w:rPr>
          <w:rFonts w:hint="default" w:ascii="Times New Roman" w:hAnsi="Times New Roman" w:cs="Times New Roman"/>
          <w:sz w:val="24"/>
          <w:szCs w:val="24"/>
          <w:highlight w:val="none"/>
          <w:vertAlign w:val="baseline"/>
        </w:rPr>
        <w:t xml:space="preserve"> fruits. Zhongguo Zhong Yao Za Zhi. 38</w:t>
      </w:r>
      <w:r>
        <w:rPr>
          <w:rFonts w:hint="eastAsia" w:ascii="Times New Roman" w:hAnsi="Times New Roman" w:cs="Times New Roman"/>
          <w:sz w:val="24"/>
          <w:szCs w:val="24"/>
          <w:highlight w:val="none"/>
          <w:vertAlign w:val="baseline"/>
          <w:lang w:val="en-US" w:eastAsia="zh-CN"/>
        </w:rPr>
        <w:t>:</w:t>
      </w:r>
      <w:r>
        <w:rPr>
          <w:rFonts w:hint="default" w:ascii="Times New Roman" w:hAnsi="Times New Roman" w:cs="Times New Roman"/>
          <w:sz w:val="24"/>
          <w:szCs w:val="24"/>
          <w:highlight w:val="none"/>
          <w:vertAlign w:val="baseline"/>
        </w:rPr>
        <w:t xml:space="preserve"> 4329-4334.</w:t>
      </w:r>
      <w:r>
        <w:rPr>
          <w:rFonts w:hint="eastAsia" w:ascii="Times New Roman" w:hAnsi="Times New Roman" w:cs="Times New Roman"/>
          <w:sz w:val="24"/>
          <w:szCs w:val="24"/>
          <w:highlight w:val="none"/>
          <w:vertAlign w:val="baseli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>https://doi.org/</w:t>
      </w:r>
      <w:r>
        <w:rPr>
          <w:rFonts w:hint="default" w:ascii="Times New Roman" w:hAnsi="Times New Roman" w:cs="Times New Roman"/>
          <w:sz w:val="24"/>
          <w:szCs w:val="24"/>
          <w:highlight w:val="none"/>
          <w:vertAlign w:val="baseline"/>
        </w:rPr>
        <w:t>10.4268/cjcmm20132427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Times New Roman" w:hAnsi="Times New Roman" w:cs="Times New Roman" w:eastAsiaTheme="minorEastAsia"/>
          <w:sz w:val="24"/>
          <w:szCs w:val="24"/>
          <w:highlight w:val="none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highlight w:val="none"/>
          <w:vertAlign w:val="baseline"/>
          <w:lang w:val="en-US" w:eastAsia="zh-CN"/>
        </w:rPr>
        <w:t>5.</w:t>
      </w:r>
      <w:r>
        <w:rPr>
          <w:rFonts w:hint="default" w:ascii="Times New Roman" w:hAnsi="Times New Roman" w:cs="Times New Roman"/>
          <w:sz w:val="24"/>
          <w:szCs w:val="24"/>
          <w:highlight w:val="none"/>
          <w:vertAlign w:val="baseli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highlight w:val="none"/>
          <w:vertAlign w:val="baseline"/>
        </w:rPr>
        <w:t xml:space="preserve">Xu Y, Zhang H, Yu C, </w:t>
      </w:r>
      <w:r>
        <w:rPr>
          <w:rFonts w:hint="eastAsia" w:ascii="Times New Roman" w:hAnsi="Times New Roman" w:cs="Times New Roman"/>
          <w:sz w:val="24"/>
          <w:szCs w:val="24"/>
          <w:highlight w:val="none"/>
          <w:vertAlign w:val="baseline"/>
          <w:lang w:val="en-US" w:eastAsia="zh-CN"/>
        </w:rPr>
        <w:t>et al</w:t>
      </w:r>
      <w:r>
        <w:rPr>
          <w:rFonts w:hint="default" w:ascii="Times New Roman" w:hAnsi="Times New Roman" w:cs="Times New Roman"/>
          <w:sz w:val="24"/>
          <w:szCs w:val="24"/>
          <w:highlight w:val="none"/>
          <w:vertAlign w:val="baseline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  <w:highlight w:val="none"/>
          <w:vertAlign w:val="baseline"/>
          <w:lang w:val="en-US" w:eastAsia="zh-CN"/>
        </w:rPr>
        <w:t>(</w:t>
      </w:r>
      <w:r>
        <w:rPr>
          <w:rFonts w:hint="default" w:ascii="Times New Roman" w:hAnsi="Times New Roman" w:cs="Times New Roman"/>
          <w:sz w:val="24"/>
          <w:szCs w:val="24"/>
          <w:highlight w:val="none"/>
          <w:vertAlign w:val="baseline"/>
        </w:rPr>
        <w:t>2008</w:t>
      </w:r>
      <w:r>
        <w:rPr>
          <w:rFonts w:hint="eastAsia" w:ascii="Times New Roman" w:hAnsi="Times New Roman" w:cs="Times New Roman"/>
          <w:sz w:val="24"/>
          <w:szCs w:val="24"/>
          <w:highlight w:val="none"/>
          <w:vertAlign w:val="baseline"/>
          <w:lang w:val="en-US" w:eastAsia="zh-CN"/>
        </w:rPr>
        <w:t>)</w:t>
      </w:r>
      <w:r>
        <w:rPr>
          <w:rFonts w:hint="default" w:ascii="Times New Roman" w:hAnsi="Times New Roman" w:cs="Times New Roman"/>
          <w:sz w:val="24"/>
          <w:szCs w:val="24"/>
          <w:highlight w:val="none"/>
          <w:vertAlign w:val="baseline"/>
        </w:rPr>
        <w:t xml:space="preserve"> Norcyperone, a novel skeleton norsesquiterpene from </w:t>
      </w:r>
      <w:r>
        <w:rPr>
          <w:rFonts w:hint="default" w:ascii="Times New Roman" w:hAnsi="Times New Roman" w:cs="Times New Roman"/>
          <w:i/>
          <w:iCs/>
          <w:sz w:val="24"/>
          <w:szCs w:val="24"/>
          <w:highlight w:val="none"/>
          <w:vertAlign w:val="baseline"/>
        </w:rPr>
        <w:t>Cyperus rotundus</w:t>
      </w:r>
      <w:r>
        <w:rPr>
          <w:rFonts w:hint="default" w:ascii="Times New Roman" w:hAnsi="Times New Roman" w:cs="Times New Roman"/>
          <w:sz w:val="24"/>
          <w:szCs w:val="24"/>
          <w:highlight w:val="none"/>
          <w:vertAlign w:val="baseline"/>
        </w:rPr>
        <w:t xml:space="preserve"> L Molecules 13</w:t>
      </w:r>
      <w:r>
        <w:rPr>
          <w:rFonts w:hint="eastAsia" w:ascii="Times New Roman" w:hAnsi="Times New Roman" w:cs="Times New Roman"/>
          <w:sz w:val="24"/>
          <w:szCs w:val="24"/>
          <w:highlight w:val="none"/>
          <w:vertAlign w:val="baseline"/>
          <w:lang w:val="en-US" w:eastAsia="zh-CN"/>
        </w:rPr>
        <w:t>:</w:t>
      </w:r>
      <w:r>
        <w:rPr>
          <w:rFonts w:hint="default" w:ascii="Times New Roman" w:hAnsi="Times New Roman" w:cs="Times New Roman"/>
          <w:sz w:val="24"/>
          <w:szCs w:val="24"/>
          <w:highlight w:val="none"/>
          <w:vertAlign w:val="baseline"/>
        </w:rPr>
        <w:t xml:space="preserve"> 2474-2481.</w:t>
      </w:r>
      <w:r>
        <w:rPr>
          <w:rFonts w:hint="eastAsia" w:ascii="Times New Roman" w:hAnsi="Times New Roman" w:cs="Times New Roman"/>
          <w:sz w:val="24"/>
          <w:szCs w:val="24"/>
          <w:highlight w:val="none"/>
          <w:vertAlign w:val="baseli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>https://doi.org/</w:t>
      </w:r>
      <w:r>
        <w:rPr>
          <w:rFonts w:hint="eastAsia" w:ascii="Times New Roman" w:hAnsi="Times New Roman" w:cs="Times New Roman"/>
          <w:sz w:val="24"/>
          <w:szCs w:val="24"/>
          <w:highlight w:val="none"/>
          <w:vertAlign w:val="baseline"/>
          <w:lang w:val="en-US" w:eastAsia="zh-CN"/>
        </w:rPr>
        <w:t>10.3390/molecules13102474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0" w:firstLineChars="0"/>
        <w:textAlignment w:val="auto"/>
        <w:rPr>
          <w:rFonts w:hint="default" w:ascii="Times New Roman" w:hAnsi="Times New Roman" w:cs="Times New Roman"/>
          <w:sz w:val="24"/>
          <w:szCs w:val="24"/>
          <w:highlight w:val="none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highlight w:val="none"/>
          <w:vertAlign w:val="baseline"/>
          <w:lang w:val="en-US" w:eastAsia="zh-CN"/>
        </w:rPr>
        <w:t>6.</w:t>
      </w:r>
      <w:r>
        <w:rPr>
          <w:rFonts w:hint="default" w:ascii="Times New Roman" w:hAnsi="Times New Roman" w:cs="Times New Roman"/>
          <w:sz w:val="24"/>
          <w:szCs w:val="24"/>
          <w:highlight w:val="none"/>
          <w:vertAlign w:val="baseline"/>
          <w:lang w:val="en-US" w:eastAsia="zh-CN"/>
        </w:rPr>
        <w:t xml:space="preserve"> Marlen</w:t>
      </w:r>
      <w:r>
        <w:rPr>
          <w:rFonts w:hint="eastAsia" w:ascii="Times New Roman" w:hAnsi="Times New Roman" w:cs="Times New Roman"/>
          <w:sz w:val="24"/>
          <w:szCs w:val="24"/>
          <w:highlight w:val="none"/>
          <w:vertAlign w:val="baseli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highlight w:val="none"/>
          <w:vertAlign w:val="baseline"/>
          <w:lang w:val="en-US" w:eastAsia="zh-CN"/>
        </w:rPr>
        <w:t>MR</w:t>
      </w:r>
      <w:r>
        <w:rPr>
          <w:rFonts w:hint="eastAsia" w:ascii="Times New Roman" w:hAnsi="Times New Roman" w:cs="Times New Roman"/>
          <w:sz w:val="24"/>
          <w:szCs w:val="24"/>
          <w:highlight w:val="none"/>
          <w:vertAlign w:val="baseline"/>
          <w:lang w:val="en-US" w:eastAsia="zh-CN"/>
        </w:rPr>
        <w:t xml:space="preserve">, </w:t>
      </w:r>
      <w:r>
        <w:rPr>
          <w:rFonts w:hint="default" w:ascii="Times New Roman" w:hAnsi="Times New Roman" w:cs="Times New Roman"/>
          <w:sz w:val="24"/>
          <w:szCs w:val="24"/>
          <w:highlight w:val="none"/>
          <w:vertAlign w:val="baseline"/>
          <w:lang w:val="en-US" w:eastAsia="zh-CN"/>
        </w:rPr>
        <w:t>Inés</w:t>
      </w:r>
      <w:r>
        <w:rPr>
          <w:rFonts w:hint="eastAsia" w:ascii="Times New Roman" w:hAnsi="Times New Roman" w:cs="Times New Roman"/>
          <w:sz w:val="24"/>
          <w:szCs w:val="24"/>
          <w:highlight w:val="none"/>
          <w:vertAlign w:val="baseli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highlight w:val="none"/>
          <w:vertAlign w:val="baseline"/>
          <w:lang w:val="en-US" w:eastAsia="zh-CN"/>
        </w:rPr>
        <w:t>PMH</w:t>
      </w:r>
      <w:r>
        <w:rPr>
          <w:rFonts w:hint="eastAsia" w:ascii="Times New Roman" w:hAnsi="Times New Roman" w:cs="Times New Roman"/>
          <w:sz w:val="24"/>
          <w:szCs w:val="24"/>
          <w:highlight w:val="none"/>
          <w:vertAlign w:val="baseline"/>
          <w:lang w:val="en-US" w:eastAsia="zh-CN"/>
        </w:rPr>
        <w:t xml:space="preserve">, </w:t>
      </w:r>
      <w:r>
        <w:rPr>
          <w:rFonts w:hint="default" w:ascii="Times New Roman" w:hAnsi="Times New Roman" w:cs="Times New Roman"/>
          <w:sz w:val="24"/>
          <w:szCs w:val="24"/>
          <w:highlight w:val="none"/>
          <w:vertAlign w:val="baseline"/>
          <w:lang w:val="en-US" w:eastAsia="zh-CN"/>
        </w:rPr>
        <w:t>Norberto</w:t>
      </w:r>
      <w:r>
        <w:rPr>
          <w:rFonts w:hint="eastAsia" w:ascii="Times New Roman" w:hAnsi="Times New Roman" w:cs="Times New Roman"/>
          <w:sz w:val="24"/>
          <w:szCs w:val="24"/>
          <w:highlight w:val="none"/>
          <w:vertAlign w:val="baseli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highlight w:val="none"/>
          <w:vertAlign w:val="baseline"/>
          <w:lang w:val="en-US" w:eastAsia="zh-CN"/>
        </w:rPr>
        <w:t>MA</w:t>
      </w:r>
      <w:r>
        <w:rPr>
          <w:rFonts w:hint="eastAsia" w:ascii="Times New Roman" w:hAnsi="Times New Roman" w:cs="Times New Roman"/>
          <w:sz w:val="24"/>
          <w:szCs w:val="24"/>
          <w:highlight w:val="none"/>
          <w:vertAlign w:val="baseline"/>
          <w:lang w:val="en-US" w:eastAsia="zh-CN"/>
        </w:rPr>
        <w:t xml:space="preserve"> et al (2017) </w:t>
      </w:r>
      <w:r>
        <w:rPr>
          <w:rFonts w:hint="default" w:ascii="Times New Roman" w:hAnsi="Times New Roman" w:cs="Times New Roman"/>
          <w:sz w:val="24"/>
          <w:szCs w:val="24"/>
          <w:highlight w:val="none"/>
          <w:vertAlign w:val="baseline"/>
          <w:lang w:val="en-US" w:eastAsia="zh-CN"/>
        </w:rPr>
        <w:t xml:space="preserve">Comparison of the diastereoisomeric excess of uridine, inosine and adenosine cyanohydrins determined by HPLC-DAD and </w:t>
      </w:r>
      <w:r>
        <w:rPr>
          <w:rFonts w:hint="default" w:ascii="Times New Roman" w:hAnsi="Times New Roman" w:cs="Times New Roman"/>
          <w:sz w:val="24"/>
          <w:szCs w:val="24"/>
          <w:highlight w:val="none"/>
          <w:vertAlign w:val="superscript"/>
          <w:lang w:val="en-US" w:eastAsia="zh-CN"/>
        </w:rPr>
        <w:t>1</w:t>
      </w:r>
      <w:r>
        <w:rPr>
          <w:rFonts w:hint="default" w:ascii="Times New Roman" w:hAnsi="Times New Roman" w:cs="Times New Roman"/>
          <w:sz w:val="24"/>
          <w:szCs w:val="24"/>
          <w:highlight w:val="none"/>
          <w:vertAlign w:val="baseline"/>
          <w:lang w:val="en-US" w:eastAsia="zh-CN"/>
        </w:rPr>
        <w:t>H NMR</w:t>
      </w:r>
      <w:r>
        <w:rPr>
          <w:rFonts w:hint="eastAsia" w:ascii="Times New Roman" w:hAnsi="Times New Roman" w:cs="Times New Roman"/>
          <w:sz w:val="24"/>
          <w:szCs w:val="24"/>
          <w:highlight w:val="none"/>
          <w:vertAlign w:val="baseline"/>
          <w:lang w:val="en-US" w:eastAsia="zh-CN"/>
        </w:rPr>
        <w:t xml:space="preserve">. Ncleos Nucleot Nucl 36(10): 652-665. 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>https://doi.org/</w:t>
      </w:r>
      <w:r>
        <w:rPr>
          <w:rFonts w:hint="eastAsia" w:ascii="Times New Roman" w:hAnsi="Times New Roman" w:cs="Times New Roman"/>
          <w:sz w:val="24"/>
          <w:szCs w:val="24"/>
          <w:highlight w:val="none"/>
          <w:vertAlign w:val="baseline"/>
          <w:lang w:val="en-US" w:eastAsia="zh-CN"/>
        </w:rPr>
        <w:t>10.1080/15257770.2017.1375516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Times New Roman" w:hAnsi="Times New Roman" w:cs="Times New Roman" w:eastAsiaTheme="minorEastAsia"/>
          <w:sz w:val="24"/>
          <w:szCs w:val="24"/>
          <w:highlight w:val="none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highlight w:val="none"/>
          <w:vertAlign w:val="baseline"/>
          <w:lang w:val="en-US" w:eastAsia="zh-CN"/>
        </w:rPr>
        <w:t>7.</w:t>
      </w:r>
      <w:r>
        <w:rPr>
          <w:rFonts w:hint="default" w:ascii="Times New Roman" w:hAnsi="Times New Roman" w:cs="Times New Roman"/>
          <w:sz w:val="24"/>
          <w:szCs w:val="24"/>
          <w:highlight w:val="none"/>
          <w:vertAlign w:val="baseli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highlight w:val="none"/>
          <w:vertAlign w:val="baseline"/>
        </w:rPr>
        <w:t>Domondon DL, He W, De Kimpe N</w:t>
      </w:r>
      <w:r>
        <w:rPr>
          <w:rFonts w:hint="eastAsia" w:ascii="Times New Roman" w:hAnsi="Times New Roman" w:cs="Times New Roman"/>
          <w:sz w:val="24"/>
          <w:szCs w:val="24"/>
          <w:highlight w:val="none"/>
          <w:vertAlign w:val="baseline"/>
          <w:lang w:val="en-US" w:eastAsia="zh-CN"/>
        </w:rPr>
        <w:t xml:space="preserve"> et al</w:t>
      </w:r>
      <w:r>
        <w:rPr>
          <w:rFonts w:hint="default" w:ascii="Times New Roman" w:hAnsi="Times New Roman" w:cs="Times New Roman"/>
          <w:sz w:val="24"/>
          <w:szCs w:val="24"/>
          <w:highlight w:val="none"/>
          <w:vertAlign w:val="baseline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  <w:highlight w:val="none"/>
          <w:vertAlign w:val="baseline"/>
          <w:lang w:val="en-US" w:eastAsia="zh-CN"/>
        </w:rPr>
        <w:t>(</w:t>
      </w:r>
      <w:r>
        <w:rPr>
          <w:rFonts w:hint="default" w:ascii="Times New Roman" w:hAnsi="Times New Roman" w:cs="Times New Roman"/>
          <w:sz w:val="24"/>
          <w:szCs w:val="24"/>
          <w:highlight w:val="none"/>
          <w:vertAlign w:val="baseline"/>
        </w:rPr>
        <w:t>2004</w:t>
      </w:r>
      <w:r>
        <w:rPr>
          <w:rFonts w:hint="eastAsia" w:ascii="Times New Roman" w:hAnsi="Times New Roman" w:cs="Times New Roman"/>
          <w:sz w:val="24"/>
          <w:szCs w:val="24"/>
          <w:highlight w:val="none"/>
          <w:vertAlign w:val="baseline"/>
          <w:lang w:val="en-US" w:eastAsia="zh-CN"/>
        </w:rPr>
        <w:t>)</w:t>
      </w:r>
      <w:r>
        <w:rPr>
          <w:rFonts w:hint="default" w:ascii="Times New Roman" w:hAnsi="Times New Roman" w:cs="Times New Roman"/>
          <w:sz w:val="24"/>
          <w:szCs w:val="24"/>
          <w:highlight w:val="none"/>
          <w:vertAlign w:val="baseline"/>
        </w:rPr>
        <w:t xml:space="preserve"> Beta-Adenosine, a bioactive compound in grass chaff stimulating mushroom production. Phytochemistry 65</w:t>
      </w:r>
      <w:r>
        <w:rPr>
          <w:rFonts w:hint="eastAsia" w:ascii="Times New Roman" w:hAnsi="Times New Roman" w:cs="Times New Roman"/>
          <w:sz w:val="24"/>
          <w:szCs w:val="24"/>
          <w:highlight w:val="none"/>
          <w:vertAlign w:val="baseline"/>
          <w:lang w:val="en-US" w:eastAsia="zh-CN"/>
        </w:rPr>
        <w:t>:</w:t>
      </w:r>
      <w:r>
        <w:rPr>
          <w:rFonts w:hint="default" w:ascii="Times New Roman" w:hAnsi="Times New Roman" w:cs="Times New Roman"/>
          <w:sz w:val="24"/>
          <w:szCs w:val="24"/>
          <w:highlight w:val="none"/>
          <w:vertAlign w:val="baseline"/>
        </w:rPr>
        <w:t xml:space="preserve"> 181-187.</w:t>
      </w:r>
      <w:r>
        <w:rPr>
          <w:rFonts w:hint="eastAsia" w:ascii="Times New Roman" w:hAnsi="Times New Roman" w:cs="Times New Roman"/>
          <w:sz w:val="24"/>
          <w:szCs w:val="24"/>
          <w:highlight w:val="none"/>
          <w:vertAlign w:val="baseli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>https://doi.org/</w:t>
      </w:r>
      <w:r>
        <w:rPr>
          <w:rFonts w:hint="eastAsia" w:ascii="Times New Roman" w:hAnsi="Times New Roman" w:cs="Times New Roman"/>
          <w:sz w:val="24"/>
          <w:szCs w:val="24"/>
          <w:highlight w:val="none"/>
          <w:vertAlign w:val="baseline"/>
          <w:lang w:val="en-US" w:eastAsia="zh-CN"/>
        </w:rPr>
        <w:t>10.1016/j.phytochem.2003.11.004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Times New Roman" w:hAnsi="Times New Roman" w:cs="Times New Roman" w:eastAsiaTheme="minorEastAsia"/>
          <w:sz w:val="24"/>
          <w:szCs w:val="24"/>
          <w:highlight w:val="none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highlight w:val="none"/>
          <w:vertAlign w:val="baseline"/>
          <w:lang w:val="en-US" w:eastAsia="zh-CN"/>
        </w:rPr>
        <w:t>8.</w:t>
      </w:r>
      <w:r>
        <w:rPr>
          <w:rFonts w:hint="default" w:ascii="Times New Roman" w:hAnsi="Times New Roman" w:cs="Times New Roman"/>
          <w:sz w:val="24"/>
          <w:szCs w:val="24"/>
          <w:highlight w:val="none"/>
          <w:vertAlign w:val="baseli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highlight w:val="none"/>
          <w:vertAlign w:val="baseline"/>
        </w:rPr>
        <w:t xml:space="preserve">Savard ME, Miller JD, Blais LA, </w:t>
      </w:r>
      <w:r>
        <w:rPr>
          <w:rFonts w:hint="eastAsia" w:ascii="Times New Roman" w:hAnsi="Times New Roman" w:cs="Times New Roman"/>
          <w:sz w:val="24"/>
          <w:szCs w:val="24"/>
          <w:highlight w:val="none"/>
          <w:vertAlign w:val="baseline"/>
          <w:lang w:val="en-US" w:eastAsia="zh-CN"/>
        </w:rPr>
        <w:t>et al</w:t>
      </w:r>
      <w:r>
        <w:rPr>
          <w:rFonts w:hint="default" w:ascii="Times New Roman" w:hAnsi="Times New Roman" w:cs="Times New Roman"/>
          <w:sz w:val="24"/>
          <w:szCs w:val="24"/>
          <w:highlight w:val="none"/>
          <w:vertAlign w:val="baseline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  <w:highlight w:val="none"/>
          <w:vertAlign w:val="baseline"/>
          <w:lang w:val="en-US" w:eastAsia="zh-CN"/>
        </w:rPr>
        <w:t>(</w:t>
      </w:r>
      <w:r>
        <w:rPr>
          <w:rFonts w:hint="default" w:ascii="Times New Roman" w:hAnsi="Times New Roman" w:cs="Times New Roman"/>
          <w:sz w:val="24"/>
          <w:szCs w:val="24"/>
          <w:highlight w:val="none"/>
          <w:vertAlign w:val="baseline"/>
        </w:rPr>
        <w:t>1994</w:t>
      </w:r>
      <w:r>
        <w:rPr>
          <w:rFonts w:hint="eastAsia" w:ascii="Times New Roman" w:hAnsi="Times New Roman" w:cs="Times New Roman"/>
          <w:sz w:val="24"/>
          <w:szCs w:val="24"/>
          <w:highlight w:val="none"/>
          <w:vertAlign w:val="baseline"/>
          <w:lang w:val="en-US" w:eastAsia="zh-CN"/>
        </w:rPr>
        <w:t>)</w:t>
      </w:r>
      <w:r>
        <w:rPr>
          <w:rFonts w:hint="default" w:ascii="Times New Roman" w:hAnsi="Times New Roman" w:cs="Times New Roman"/>
          <w:sz w:val="24"/>
          <w:szCs w:val="24"/>
          <w:highlight w:val="none"/>
          <w:vertAlign w:val="baseline"/>
        </w:rPr>
        <w:t xml:space="preserve"> Secondary metabolites of </w:t>
      </w:r>
      <w:r>
        <w:rPr>
          <w:rFonts w:hint="default" w:ascii="Times New Roman" w:hAnsi="Times New Roman" w:cs="Times New Roman"/>
          <w:i/>
          <w:iCs/>
          <w:sz w:val="24"/>
          <w:szCs w:val="24"/>
          <w:highlight w:val="none"/>
          <w:vertAlign w:val="baseline"/>
        </w:rPr>
        <w:t>Penicillium bilaii</w:t>
      </w:r>
      <w:r>
        <w:rPr>
          <w:rFonts w:hint="default" w:ascii="Times New Roman" w:hAnsi="Times New Roman" w:cs="Times New Roman"/>
          <w:sz w:val="24"/>
          <w:szCs w:val="24"/>
          <w:highlight w:val="none"/>
          <w:vertAlign w:val="baseline"/>
        </w:rPr>
        <w:t xml:space="preserve"> strain PB-50. Mycopathologia 127</w:t>
      </w:r>
      <w:r>
        <w:rPr>
          <w:rFonts w:hint="eastAsia" w:ascii="Times New Roman" w:hAnsi="Times New Roman" w:cs="Times New Roman"/>
          <w:sz w:val="24"/>
          <w:szCs w:val="24"/>
          <w:highlight w:val="none"/>
          <w:vertAlign w:val="baseline"/>
          <w:lang w:val="en-US" w:eastAsia="zh-CN"/>
        </w:rPr>
        <w:t xml:space="preserve">: </w:t>
      </w:r>
      <w:r>
        <w:rPr>
          <w:rFonts w:hint="default" w:ascii="Times New Roman" w:hAnsi="Times New Roman" w:cs="Times New Roman"/>
          <w:sz w:val="24"/>
          <w:szCs w:val="24"/>
          <w:highlight w:val="none"/>
          <w:vertAlign w:val="baseline"/>
        </w:rPr>
        <w:t>19-27.</w:t>
      </w:r>
      <w:r>
        <w:rPr>
          <w:rFonts w:hint="eastAsia" w:ascii="Times New Roman" w:hAnsi="Times New Roman" w:cs="Times New Roman"/>
          <w:sz w:val="24"/>
          <w:szCs w:val="24"/>
          <w:highlight w:val="none"/>
          <w:vertAlign w:val="baseli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>https://doi.org/10.1007/BF01104007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/>
          <w:sz w:val="24"/>
          <w:szCs w:val="24"/>
          <w:highlight w:val="none"/>
          <w:vertAlign w:val="baseline"/>
          <w:lang w:val="en-US" w:eastAsia="zh-CN"/>
        </w:rPr>
        <w:t>9.</w:t>
      </w:r>
      <w:r>
        <w:rPr>
          <w:rFonts w:hint="default" w:ascii="Times New Roman" w:hAnsi="Times New Roman" w:cs="Times New Roman"/>
          <w:sz w:val="24"/>
          <w:szCs w:val="24"/>
          <w:highlight w:val="none"/>
          <w:vertAlign w:val="baseli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highlight w:val="none"/>
          <w:vertAlign w:val="baseline"/>
        </w:rPr>
        <w:t xml:space="preserve">Liu YS, Zhou JH, Chen HT </w:t>
      </w:r>
      <w:r>
        <w:rPr>
          <w:rFonts w:hint="eastAsia" w:ascii="Times New Roman" w:hAnsi="Times New Roman" w:cs="Times New Roman"/>
          <w:sz w:val="24"/>
          <w:szCs w:val="24"/>
          <w:highlight w:val="none"/>
          <w:vertAlign w:val="baseline"/>
          <w:lang w:val="en-US" w:eastAsia="zh-CN"/>
        </w:rPr>
        <w:t>et al</w:t>
      </w:r>
      <w:r>
        <w:rPr>
          <w:rFonts w:hint="default" w:ascii="Times New Roman" w:hAnsi="Times New Roman" w:cs="Times New Roman"/>
          <w:sz w:val="24"/>
          <w:szCs w:val="24"/>
          <w:highlight w:val="none"/>
          <w:vertAlign w:val="baseline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  <w:highlight w:val="none"/>
          <w:vertAlign w:val="baseline"/>
          <w:lang w:val="en-US" w:eastAsia="zh-CN"/>
        </w:rPr>
        <w:t>(</w:t>
      </w:r>
      <w:r>
        <w:rPr>
          <w:rFonts w:hint="default" w:ascii="Times New Roman" w:hAnsi="Times New Roman" w:cs="Times New Roman"/>
          <w:sz w:val="24"/>
          <w:szCs w:val="24"/>
          <w:highlight w:val="none"/>
          <w:vertAlign w:val="baseline"/>
        </w:rPr>
        <w:t>2011</w:t>
      </w:r>
      <w:r>
        <w:rPr>
          <w:rFonts w:hint="eastAsia" w:ascii="Times New Roman" w:hAnsi="Times New Roman" w:cs="Times New Roman"/>
          <w:sz w:val="24"/>
          <w:szCs w:val="24"/>
          <w:highlight w:val="none"/>
          <w:vertAlign w:val="baseline"/>
          <w:lang w:val="en-US" w:eastAsia="zh-CN"/>
        </w:rPr>
        <w:t>)</w:t>
      </w:r>
      <w:r>
        <w:rPr>
          <w:rFonts w:hint="default" w:ascii="Times New Roman" w:hAnsi="Times New Roman" w:cs="Times New Roman"/>
          <w:sz w:val="24"/>
          <w:szCs w:val="24"/>
          <w:highlight w:val="none"/>
          <w:vertAlign w:val="baseline"/>
        </w:rPr>
        <w:t xml:space="preserve"> The characteristics of the synonymous codon usage in enterovirus 71 virus and the effects of host on the virus in codon usage pattern. Infect Genet Evol 11</w:t>
      </w:r>
      <w:r>
        <w:rPr>
          <w:rFonts w:hint="eastAsia" w:ascii="Times New Roman" w:hAnsi="Times New Roman" w:cs="Times New Roman"/>
          <w:sz w:val="24"/>
          <w:szCs w:val="24"/>
          <w:highlight w:val="none"/>
          <w:vertAlign w:val="baseline"/>
          <w:lang w:val="en-US" w:eastAsia="zh-CN"/>
        </w:rPr>
        <w:t>:</w:t>
      </w:r>
      <w:r>
        <w:rPr>
          <w:rFonts w:hint="default" w:ascii="Times New Roman" w:hAnsi="Times New Roman" w:cs="Times New Roman"/>
          <w:sz w:val="24"/>
          <w:szCs w:val="24"/>
          <w:highlight w:val="none"/>
          <w:vertAlign w:val="baseline"/>
        </w:rPr>
        <w:t xml:space="preserve"> 1168-1173.</w:t>
      </w:r>
      <w:r>
        <w:rPr>
          <w:rFonts w:hint="eastAsia" w:ascii="Times New Roman" w:hAnsi="Times New Roman" w:cs="Times New Roman"/>
          <w:sz w:val="24"/>
          <w:szCs w:val="24"/>
          <w:highlight w:val="none"/>
          <w:vertAlign w:val="baseli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>https://doi.org/10.1016/j.meegid.2011.02.018</w:t>
      </w:r>
      <w:bookmarkStart w:id="10" w:name="_GoBack"/>
      <w:bookmarkEnd w:id="10"/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/>
          <w:bCs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Fig. </w:t>
      </w:r>
      <w:r>
        <w:rPr>
          <w:rFonts w:hint="eastAsia" w:ascii="Times New Roman" w:hAnsi="Times New Roman" w:eastAsia="宋体" w:cs="Times New Roman"/>
          <w:b/>
          <w:bCs/>
          <w:color w:val="000000" w:themeColor="text1"/>
          <w:sz w:val="24"/>
          <w:szCs w:val="24"/>
          <w:highlight w:val="none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default" w:ascii="Times New Roman" w:hAnsi="Times New Roman" w:eastAsia="宋体" w:cs="Times New Roman"/>
          <w:b/>
          <w:bCs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>The binding mode of adenosine with α-glucosidase protein. (A) Predicted 3D diagram of adenosine with α-glucosidase complex. (B) The 2D binding mode of adenosine with α-glucosidase protein. (C) The detail binding mode of adenosine with α-glucosidase protein.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default" w:ascii="Times New Roman" w:hAnsi="Times New Roman" w:cs="Times New Roman"/>
          <w:sz w:val="24"/>
          <w:szCs w:val="24"/>
          <w:highlight w:val="none"/>
          <w:vertAlign w:val="baseline"/>
        </w:rPr>
      </w:pPr>
      <w:r>
        <w:rPr>
          <w:rFonts w:hint="default" w:ascii="Times New Roman" w:hAnsi="Times New Roman" w:cs="Times New Roman"/>
          <w:sz w:val="24"/>
          <w:szCs w:val="24"/>
          <w:highlight w:val="none"/>
          <w:vertAlign w:val="baseline"/>
        </w:rPr>
        <w:drawing>
          <wp:inline distT="0" distB="0" distL="0" distR="0">
            <wp:extent cx="4596130" cy="3151505"/>
            <wp:effectExtent l="0" t="0" r="4445" b="127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96130" cy="31515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/>
          <w:bCs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Fig. </w:t>
      </w:r>
      <w:r>
        <w:rPr>
          <w:rFonts w:hint="eastAsia" w:ascii="Times New Roman" w:hAnsi="Times New Roman" w:eastAsia="宋体" w:cs="Times New Roman"/>
          <w:b/>
          <w:bCs/>
          <w:color w:val="000000" w:themeColor="text1"/>
          <w:sz w:val="24"/>
          <w:szCs w:val="24"/>
          <w:highlight w:val="none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 The binding mode of ergosterol-5,8-peroxide with CASP3 protein. (A) Predicted 3D diagram of ergosterol-5,8-peroxide with CASP3 protein complex. (B) The 2D binding mode of ergosterol-5,8-peroxide with CASP3 protein. (C) The detail binding mode of ergosterol-5,8-peroxide with CASP3 protein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eastAsia" w:ascii="Times New Roman" w:hAnsi="Times New Roman" w:cs="Times New Roman" w:eastAsiaTheme="minorEastAsia"/>
          <w:sz w:val="24"/>
          <w:szCs w:val="24"/>
          <w:highlight w:val="none"/>
          <w:vertAlign w:val="baseline"/>
          <w:lang w:eastAsia="zh-CN"/>
        </w:rPr>
      </w:pPr>
      <w:r>
        <w:rPr>
          <w:rFonts w:hint="eastAsia" w:ascii="Times New Roman" w:hAnsi="Times New Roman" w:cs="Times New Roman" w:eastAsiaTheme="minorEastAsia"/>
          <w:sz w:val="24"/>
          <w:szCs w:val="24"/>
          <w:highlight w:val="none"/>
          <w:vertAlign w:val="baseline"/>
          <w:lang w:eastAsia="zh-CN"/>
        </w:rPr>
        <w:drawing>
          <wp:inline distT="0" distB="0" distL="114300" distR="114300">
            <wp:extent cx="4508500" cy="3029585"/>
            <wp:effectExtent l="0" t="0" r="6350" b="8890"/>
            <wp:docPr id="1" name="图片 1" descr="16885255191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68852551915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508500" cy="302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/>
          <w:bCs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Fig. </w:t>
      </w:r>
      <w:r>
        <w:rPr>
          <w:rFonts w:hint="eastAsia" w:ascii="Times New Roman" w:hAnsi="Times New Roman" w:eastAsia="宋体" w:cs="Times New Roman"/>
          <w:b/>
          <w:bCs/>
          <w:color w:val="000000" w:themeColor="text1"/>
          <w:sz w:val="24"/>
          <w:szCs w:val="24"/>
          <w:highlight w:val="none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 The binding mode of 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vertAlign w:val="baseline"/>
        </w:rPr>
        <w:t>ergosterol with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 VP1 protein. (A) Predicted 3D diagram of 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vertAlign w:val="baseline"/>
        </w:rPr>
        <w:t xml:space="preserve">ergosterol with 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VP1 complex. (B) The 2D binding mode of 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vertAlign w:val="baseline"/>
        </w:rPr>
        <w:t>ergosterol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 with VP1 protein. (C) The detail binding mode of 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vertAlign w:val="baseline"/>
        </w:rPr>
        <w:t>ergosterol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vertAlign w:val="baseline"/>
          <w14:textFill>
            <w14:solidFill>
              <w14:schemeClr w14:val="tx1"/>
            </w14:solidFill>
          </w14:textFill>
        </w:rPr>
        <w:t xml:space="preserve"> with VP1 protein.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highlight w:val="none"/>
        </w:rPr>
      </w:pPr>
      <w:r>
        <w:rPr>
          <w:rFonts w:hint="default" w:ascii="Times New Roman" w:hAnsi="Times New Roman" w:cs="Times New Roman"/>
          <w:sz w:val="24"/>
          <w:szCs w:val="24"/>
          <w:highlight w:val="none"/>
          <w:vertAlign w:val="baseline"/>
        </w:rPr>
        <w:drawing>
          <wp:inline distT="0" distB="0" distL="0" distR="0">
            <wp:extent cx="4471670" cy="3065145"/>
            <wp:effectExtent l="0" t="0" r="508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71670" cy="30651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2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STIX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czNTRhYTk1OWVkNGM4ZDI3NzZiZmU5ZDg4ZDQ0NjQifQ=="/>
  </w:docVars>
  <w:rsids>
    <w:rsidRoot w:val="00000000"/>
    <w:rsid w:val="508F3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4"/>
    <w:basedOn w:val="1"/>
    <w:next w:val="1"/>
    <w:qFormat/>
    <w:uiPriority w:val="0"/>
    <w:pPr>
      <w:outlineLvl w:val="3"/>
    </w:pPr>
    <w:rPr>
      <w:rFonts w:hint="eastAsia" w:eastAsia="黑体"/>
      <w:kern w:val="0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2023-07-05T01:31:16Z</dcterms:created>
  <dc:creator>11845</dc:creator>
  <cp:lastModifiedBy>XXXWWYY</cp:lastModifiedBy>
  <dcterms:modified xsi:type="dcterms:W3CDTF">2023-07-05T03:24:33Z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E88F580B4BAD476C8A7A03002D292F92_12</vt:lpwstr>
  </property>
</Properties>
</file>