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Electronic Supplementary Material 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(ESM_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)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Fig. 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The isolation procedure of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  <w:highlight w:val="none"/>
          <w:vertAlign w:val="baseline"/>
        </w:rPr>
        <w:t>Grifola frondosa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518150" cy="43592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150" cy="435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NTRhYTk1OWVkNGM4ZDI3NzZiZmU5ZDg4ZDQ0NjQifQ=="/>
  </w:docVars>
  <w:rsids>
    <w:rsidRoot w:val="00000000"/>
    <w:rsid w:val="3A9E5554"/>
    <w:rsid w:val="500D71B8"/>
    <w:rsid w:val="68E9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outlineLvl w:val="3"/>
    </w:pPr>
    <w:rPr>
      <w:rFonts w:hint="eastAsia" w:eastAsia="黑体"/>
      <w:kern w:val="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83</Characters>
  <Lines>0</Lines>
  <Paragraphs>0</Paragraphs>
  <TotalTime>0</TotalTime>
  <ScaleCrop>false</ScaleCrop>
  <LinksUpToDate>false</LinksUpToDate>
  <CharactersWithSpaces>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2022-01-18T08:01:00Z</dcterms:created>
  <dc:creator>asus</dc:creator>
  <cp:lastModifiedBy>XXXWWYY</cp:lastModifiedBy>
  <dcterms:modified xsi:type="dcterms:W3CDTF">2023-07-05T06:56:31Z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F7B6F73F9FE64948B8E56A6B503A7492</vt:lpwstr>
  </property>
</Properties>
</file>