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70C" w:rsidRPr="00FB4C5B" w:rsidRDefault="00D8170C" w:rsidP="00D8170C">
      <w:pPr>
        <w:rPr>
          <w:rFonts w:ascii="Times New Roman" w:eastAsia="宋体" w:hAnsi="Times New Roman"/>
          <w:b/>
          <w:sz w:val="22"/>
        </w:rPr>
      </w:pPr>
      <w:r w:rsidRPr="00FB4C5B">
        <w:rPr>
          <w:rFonts w:ascii="Times New Roman" w:eastAsia="宋体" w:hAnsi="Times New Roman"/>
          <w:b/>
          <w:sz w:val="22"/>
        </w:rPr>
        <w:t xml:space="preserve">Table </w:t>
      </w:r>
      <w:r>
        <w:rPr>
          <w:rFonts w:ascii="Times New Roman" w:eastAsia="宋体" w:hAnsi="Times New Roman"/>
          <w:b/>
          <w:sz w:val="22"/>
        </w:rPr>
        <w:t>S</w:t>
      </w:r>
      <w:r w:rsidRPr="00FB4C5B">
        <w:rPr>
          <w:rFonts w:ascii="Times New Roman" w:eastAsia="宋体" w:hAnsi="Times New Roman"/>
          <w:b/>
          <w:sz w:val="22"/>
        </w:rPr>
        <w:t xml:space="preserve">2. Predictors </w:t>
      </w:r>
      <w:r w:rsidRPr="00FB4C5B">
        <w:rPr>
          <w:rFonts w:ascii="Times New Roman" w:eastAsia="宋体" w:hAnsi="Times New Roman"/>
          <w:b/>
          <w:bCs/>
          <w:color w:val="000000" w:themeColor="text1"/>
          <w:sz w:val="22"/>
          <w:shd w:val="clear" w:color="auto" w:fill="FFFFFF"/>
        </w:rPr>
        <w:t>of progression</w:t>
      </w:r>
      <w:r w:rsidRPr="00FB4C5B">
        <w:rPr>
          <w:rFonts w:ascii="Times New Roman" w:eastAsia="Segoe UI" w:hAnsi="Times New Roman"/>
          <w:b/>
          <w:bCs/>
          <w:color w:val="000000" w:themeColor="text1"/>
          <w:sz w:val="22"/>
          <w:shd w:val="clear" w:color="auto" w:fill="FFFFFF"/>
        </w:rPr>
        <w:t xml:space="preserve"> </w:t>
      </w:r>
      <w:r w:rsidRPr="00FB4C5B">
        <w:rPr>
          <w:rFonts w:ascii="Times New Roman" w:eastAsia="宋体" w:hAnsi="Times New Roman"/>
          <w:b/>
          <w:bCs/>
          <w:color w:val="000000" w:themeColor="text1"/>
          <w:sz w:val="22"/>
          <w:shd w:val="clear" w:color="auto" w:fill="FFFFFF"/>
        </w:rPr>
        <w:t xml:space="preserve">from </w:t>
      </w:r>
      <w:r w:rsidRPr="00FB4C5B">
        <w:rPr>
          <w:rFonts w:ascii="Times New Roman" w:eastAsia="Segoe UI" w:hAnsi="Times New Roman"/>
          <w:b/>
          <w:bCs/>
          <w:color w:val="000000" w:themeColor="text1"/>
          <w:sz w:val="22"/>
          <w:shd w:val="clear" w:color="auto" w:fill="FFFFFF"/>
        </w:rPr>
        <w:t xml:space="preserve">severe </w:t>
      </w:r>
      <w:r w:rsidRPr="00FB4C5B">
        <w:rPr>
          <w:rFonts w:ascii="Times New Roman" w:eastAsia="宋体" w:hAnsi="Times New Roman"/>
          <w:b/>
          <w:bCs/>
          <w:color w:val="000000" w:themeColor="text1"/>
          <w:sz w:val="22"/>
          <w:shd w:val="clear" w:color="auto" w:fill="FFFFFF"/>
        </w:rPr>
        <w:t>type to critical type in COVID-19 patients (</w:t>
      </w:r>
      <w:r w:rsidRPr="00FB4C5B">
        <w:rPr>
          <w:rFonts w:ascii="Times New Roman" w:eastAsia="宋体" w:hAnsi="Times New Roman"/>
          <w:b/>
          <w:sz w:val="22"/>
        </w:rPr>
        <w:t>univariable logistic regression analysis)</w:t>
      </w:r>
    </w:p>
    <w:tbl>
      <w:tblPr>
        <w:tblStyle w:val="a3"/>
        <w:tblW w:w="4977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3"/>
        <w:gridCol w:w="1475"/>
        <w:gridCol w:w="2236"/>
        <w:gridCol w:w="1022"/>
        <w:gridCol w:w="1558"/>
        <w:gridCol w:w="2405"/>
        <w:gridCol w:w="1139"/>
      </w:tblGrid>
      <w:tr w:rsidR="00D8170C" w:rsidRPr="00FB4C5B" w:rsidTr="00546E8B">
        <w:tc>
          <w:tcPr>
            <w:tcW w:w="1459" w:type="pct"/>
            <w:vMerge w:val="restart"/>
            <w:vAlign w:val="center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Variables</w:t>
            </w:r>
          </w:p>
        </w:tc>
        <w:tc>
          <w:tcPr>
            <w:tcW w:w="1704" w:type="pct"/>
            <w:gridSpan w:val="3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/>
                <w:sz w:val="22"/>
              </w:rPr>
              <w:t>All patients</w:t>
            </w:r>
          </w:p>
        </w:tc>
        <w:tc>
          <w:tcPr>
            <w:tcW w:w="1837" w:type="pct"/>
            <w:gridSpan w:val="3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/>
                <w:sz w:val="22"/>
              </w:rPr>
              <w:t>Severe cases at admission</w:t>
            </w:r>
          </w:p>
        </w:tc>
      </w:tr>
      <w:tr w:rsidR="00D8170C" w:rsidRPr="00FB4C5B" w:rsidTr="00546E8B">
        <w:tc>
          <w:tcPr>
            <w:tcW w:w="1459" w:type="pct"/>
            <w:vMerge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Number [missing data]</w:t>
            </w:r>
          </w:p>
        </w:tc>
        <w:tc>
          <w:tcPr>
            <w:tcW w:w="805" w:type="pct"/>
            <w:vAlign w:val="center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Odds ratio (95% CI)</w:t>
            </w:r>
          </w:p>
        </w:tc>
        <w:tc>
          <w:tcPr>
            <w:tcW w:w="368" w:type="pct"/>
            <w:vAlign w:val="center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/>
                <w:sz w:val="22"/>
              </w:rPr>
              <w:t>P value</w:t>
            </w:r>
          </w:p>
        </w:tc>
        <w:tc>
          <w:tcPr>
            <w:tcW w:w="561" w:type="pct"/>
            <w:vAlign w:val="center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Number [missing data]</w:t>
            </w:r>
          </w:p>
        </w:tc>
        <w:tc>
          <w:tcPr>
            <w:tcW w:w="866" w:type="pct"/>
            <w:vAlign w:val="center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Odds ratio (95% CI)</w:t>
            </w:r>
          </w:p>
        </w:tc>
        <w:tc>
          <w:tcPr>
            <w:tcW w:w="410" w:type="pct"/>
            <w:vAlign w:val="center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/>
                <w:sz w:val="22"/>
              </w:rPr>
              <w:t>P value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Cs/>
                <w:sz w:val="22"/>
              </w:rPr>
              <w:t>Demographics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ind w:firstLineChars="100" w:firstLine="220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Age, years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1.035 (1.004-1.067)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0.028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1.027 (0.990-1.065)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0.161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ind w:firstLineChars="100" w:firstLine="220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Male gender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71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2.196 (0.989-4.879)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0.053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61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2.483 (0.876-7.037)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0.087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Symptoms since onset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Fever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119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1.060 (0.352-3.189)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0.918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106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0.748 (0.156-3.594)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0.717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Peak body temperature, </w:t>
            </w:r>
            <w:r w:rsidRPr="00FB4C5B">
              <w:rPr>
                <w:rFonts w:ascii="Times New Roman" w:eastAsia="宋体" w:hAnsi="Times New Roman"/>
                <w:sz w:val="22"/>
              </w:rPr>
              <w:sym w:font="Symbol" w:char="F0B0"/>
            </w:r>
            <w:r w:rsidRPr="00FB4C5B">
              <w:rPr>
                <w:rFonts w:ascii="Times New Roman" w:eastAsia="宋体" w:hAnsi="Times New Roman"/>
                <w:sz w:val="22"/>
              </w:rPr>
              <w:t>C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115 [23]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1.028 (0.579-1.827)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0.924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103 [19]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1.192 (0.587-2.422)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0.627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Cough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116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1.641 (0.515-5.229)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0.402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1.800 (0.382-8.488)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0.458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Dyspnea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92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2.437 (0.972-6.110)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0.057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78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1.706 (0.570-5.105)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0.339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Expectoration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85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2.105 (0.896-4.945)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0.087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74 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2.733 (0.848-8.813)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0.092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Myalgia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66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1.022 (0.474-2.203)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0.957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59 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1.202 (0.451-3.205)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0.713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Headache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49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1.295 (0.588-2.853)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0.521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41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0.897 (0.314-2.562)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0.839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Nausea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47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0.714 (0.309-1.647)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0.429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43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0.823 (0.289-2.347)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0.716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Palpitation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36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1.412 (0.607-3.284)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0.424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31 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1.422 (0.489-4.133)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0.518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Night sweats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32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0.770 (0.300-1.977)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0.587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29 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0.821 (0.249-2.704)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0.746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Sore throat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30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0.520 (0.182-1.484)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0.222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29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0.832 (0.253-2.739)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0.762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Vomiting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29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0.920 (0.355-2.387)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0.865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25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0.690 (0.184-2.584)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0.582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Chest pain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26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1.105 (0.421-2.905)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0.839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0.829 (0.219-3.134)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0.782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Hemoptysis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2.091 (0.741-5.902)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0.164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14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1.568 (0.394-6.250)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0.524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Comorbidities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Hypertension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63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1.170 (0.543-2.523)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0.688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53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0.723 (0.263-1.984)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0.529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Diabetes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1.230 (0.486-3.110)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Cs/>
                <w:color w:val="000000" w:themeColor="text1"/>
                <w:sz w:val="22"/>
              </w:rPr>
              <w:t>0.662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27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2.421 (0.845-6.934)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0.100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Coronary artery disease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26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0.651 (0.225-1.881)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0.428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24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0.732 (0.195-2.749)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0.644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lastRenderedPageBreak/>
              <w:t xml:space="preserve">  Pulmonary diseases</w:t>
            </w:r>
            <w:r w:rsidRPr="00FB4C5B">
              <w:rPr>
                <w:rFonts w:ascii="Times New Roman" w:eastAsia="宋体" w:hAnsi="Times New Roman"/>
                <w:i/>
                <w:sz w:val="22"/>
              </w:rPr>
              <w:t xml:space="preserve"> </w:t>
            </w:r>
            <w:r w:rsidRPr="00FB4C5B">
              <w:rPr>
                <w:rFonts w:ascii="Times New Roman" w:eastAsia="宋体" w:hAnsi="Times New Roman"/>
                <w:i/>
                <w:sz w:val="22"/>
                <w:vertAlign w:val="superscript"/>
              </w:rPr>
              <w:t>a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21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2.051 (0.770-5.466)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0.151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16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1.298 (0.332-5.075)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0.708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Chronic kidney diseases</w:t>
            </w:r>
            <w:r w:rsidRPr="00FB4C5B">
              <w:rPr>
                <w:rFonts w:ascii="Times New Roman" w:eastAsia="宋体" w:hAnsi="Times New Roman"/>
                <w:i/>
                <w:sz w:val="22"/>
                <w:vertAlign w:val="superscript"/>
              </w:rPr>
              <w:t xml:space="preserve"> b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2.529 (0.639-10.007)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0.186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7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2.306 (0.413-12.862)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0.341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Smoking history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29 [8]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2.328 (0.955-5.674)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0.063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23 [7]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1.852 (0.579-5.918)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0.299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From onset to admission, days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1.021 (0.973-1.071)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0.400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1.031 (0.975-1.089)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0.286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From diagnosis to admission, days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131 [7]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1.047 (0.992-1.106)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0.098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116 [6]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1.066 (1.001-1.136)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0.048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Treatments before admission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Antiviral treatment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  <w:r w:rsidRPr="00FB4C5B">
              <w:rPr>
                <w:rFonts w:ascii="Times New Roman" w:eastAsia="宋体" w:hAnsi="Times New Roman"/>
                <w:i/>
                <w:sz w:val="22"/>
                <w:vertAlign w:val="superscript"/>
              </w:rPr>
              <w:t>c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2.772 (1.237-6.211)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0.013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91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1.920 (0.680-5.422)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0.218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  Arbidol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38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0.188 (0.054-0.658)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0.009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37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0.229 (0.050-1.046)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0.057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  Oseltamivir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46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0.642 (0.271-1.520)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0.314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43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0.823 (0.289-2.347)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0.716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Antibiotics</w:t>
            </w:r>
            <w:r w:rsidRPr="00FB4C5B">
              <w:rPr>
                <w:rFonts w:ascii="Times New Roman" w:eastAsia="宋体" w:hAnsi="Times New Roman"/>
                <w:i/>
                <w:sz w:val="22"/>
              </w:rPr>
              <w:t xml:space="preserve"> </w:t>
            </w:r>
            <w:r w:rsidRPr="00FB4C5B">
              <w:rPr>
                <w:rFonts w:ascii="Times New Roman" w:eastAsia="宋体" w:hAnsi="Times New Roman"/>
                <w:i/>
                <w:sz w:val="22"/>
                <w:vertAlign w:val="superscript"/>
              </w:rPr>
              <w:t>d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94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2.256 (1.019-4.991)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0.045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86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1.948 (0.710-5.343)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0.195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  Fluoroquinolones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67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0.385 (0.171-0.867)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0.021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64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0.610 (0.227-1.642)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0.328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  β-lactams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22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1.467 (0.543-3.958)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0.450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18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1.100 (0.285-4.240)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0.890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Nonsteroidal anti-inflammatory drugs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16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0.385 (0.083-1.787)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0.223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16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0.748 (0.156-3.594)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0.717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Glucoc</w:t>
            </w: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orticoids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16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1.394 (0.448-4.335)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0.566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14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1.568 (0.394-6.250)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0.524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Gamma globulin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 [3]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1.550 (0.436-5.513)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0.498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 [3]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1.453 (0.283-7.474)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0.655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Vital signs at admission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ind w:firstLineChars="100" w:firstLine="220"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Heart rate, bpm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133 [5]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1.022 (1.000-1.044)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0.049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117 [5]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1.019 (0.989-1.051)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0.211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Systolic blood pressure, mmHg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124 [14]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0.999 (0.981-1.017)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0.913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108 [14]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0.988 (0.963-1.013)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0.328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Diastolic blood pressure, mmHg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121 [17]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1.000 (0.972-1.028)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0.985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105 [17]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0.988 (0.951-1.026)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0.527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ind w:left="220" w:hangingChars="100" w:hanging="220"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Respiratory rate, bpm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102 [36]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1.057 (1.003-1.115)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0.039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88 [34]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1.028 (0.978-1.080)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0.281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Pulse oxygen saturation &lt;93%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48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8.587 (3.605-20.456)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37 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9.617 (3.132-29.528)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&lt;0.001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Full blood count at admission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White blood cell,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1.503 (1.288-1.755)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1.403 (1.167-1.686)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&lt;0.001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Neutrophil,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/L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1.626 (1.359-1.946)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1.491 (1.222-1.820)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&lt;0.001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Lymphocyte,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0.199 (0.076-0.521)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0.302 (0.098-0.932)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0.037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Hemoglobin, g/dL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1.077 (0.886-1.309)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0.459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1.057 (0.798-1.400)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0.701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lastRenderedPageBreak/>
              <w:t xml:space="preserve">  Platelet,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0.998 (0.994-1.002)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0.345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0.997 (0.991-1.002)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0.267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Biochemical tests at admission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Alanine aminotransferase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U/L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1.002 (0.992-1.011)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0.735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1.000 (0.988-1.013)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0.968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Aspartate aminotransferase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U/L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1.017 (1.004-1.030)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0.013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1.013 (0.996-1.030)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0.141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Albumin, g/L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0.859 (0.781-0.944)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0.002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0.916 (0.823-1.021)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0.112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Creatinine,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μmol/L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1.001 (0.999-1.004)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0.329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1.000 (0.997-1.004)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0.889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Blood urea nitrogen, mmol/L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1.370 (1.188-1.579)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1.255 (1.068-1.476)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0.006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Lactate dehydrogenase, U/L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1.008 (1.005-1.011)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1.006 (1.003-1.009)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0.001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Myoglobin, ng/mL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136 [2]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1.005 (1.002-1.008)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0.003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121[1]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1.003 (1.001-1.006)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0.012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ind w:left="220" w:hangingChars="100" w:hanging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Hypersensitive cTnI, pg/mL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137 [1]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1.006 (1.000-1.012)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color w:val="000000" w:themeColor="text1"/>
                <w:sz w:val="22"/>
              </w:rPr>
              <w:t>0.067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1.001 (0.995-1.008)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0.642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ind w:firstLineChars="100" w:firstLine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Creatine kinase-MB, </w:t>
            </w: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ng/mL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136 [2]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2.662 (1.671-4.242)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121[1]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2.005 (1.243-3.235)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0.004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ind w:firstLineChars="100" w:firstLine="220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NT-proBNP, pg/mL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136 [2]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1.000 (1.000-1.000)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0.136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121[1]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1.000 (1.000-1.000)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0.413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Coagulation function at admission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Prothrombin time, s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2.848 (1.804-4.495)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1.994 (1.242-3.203)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0.004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widowControl/>
              <w:ind w:left="220" w:hangingChars="100" w:hanging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Activated partial thromboplastin time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s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1.062 (1.006-1.121)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0.028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1.094 (1.024-1.169)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0.008</w:t>
            </w:r>
          </w:p>
        </w:tc>
      </w:tr>
      <w:tr w:rsidR="00D8170C" w:rsidRPr="00FB4C5B" w:rsidTr="00546E8B">
        <w:tc>
          <w:tcPr>
            <w:tcW w:w="1459" w:type="pct"/>
          </w:tcPr>
          <w:p w:rsidR="00D8170C" w:rsidRPr="00FB4C5B" w:rsidRDefault="00D8170C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D-dimer,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μ</w:t>
            </w: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g/mL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53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138 [0]</w:t>
            </w:r>
          </w:p>
        </w:tc>
        <w:tc>
          <w:tcPr>
            <w:tcW w:w="805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1.186 (1.090-1.290)</w:t>
            </w:r>
          </w:p>
        </w:tc>
        <w:tc>
          <w:tcPr>
            <w:tcW w:w="368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&lt;0.001</w:t>
            </w:r>
          </w:p>
        </w:tc>
        <w:tc>
          <w:tcPr>
            <w:tcW w:w="561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122 [0]</w:t>
            </w:r>
          </w:p>
        </w:tc>
        <w:tc>
          <w:tcPr>
            <w:tcW w:w="866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1.101 (0.998-1.215)</w:t>
            </w:r>
          </w:p>
        </w:tc>
        <w:tc>
          <w:tcPr>
            <w:tcW w:w="410" w:type="pct"/>
          </w:tcPr>
          <w:p w:rsidR="00D8170C" w:rsidRPr="00FB4C5B" w:rsidRDefault="00D8170C" w:rsidP="00546E8B">
            <w:pPr>
              <w:jc w:val="center"/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0.054</w:t>
            </w:r>
          </w:p>
        </w:tc>
      </w:tr>
    </w:tbl>
    <w:p w:rsidR="00D8170C" w:rsidRPr="00FB4C5B" w:rsidRDefault="00D8170C" w:rsidP="00D8170C">
      <w:pPr>
        <w:widowControl/>
        <w:jc w:val="left"/>
        <w:rPr>
          <w:rFonts w:ascii="Times New Roman" w:eastAsia="宋体" w:hAnsi="Times New Roman"/>
          <w:color w:val="000000"/>
          <w:kern w:val="0"/>
          <w:sz w:val="22"/>
          <w:vertAlign w:val="superscript"/>
          <w:lang w:bidi="ar"/>
        </w:rPr>
      </w:pPr>
      <w:r w:rsidRPr="00FB4C5B">
        <w:rPr>
          <w:rFonts w:ascii="Times New Roman" w:eastAsia="GuardianAgateSans1GR-Regular" w:hAnsi="Times New Roman"/>
          <w:color w:val="231F20"/>
          <w:kern w:val="0"/>
          <w:sz w:val="22"/>
          <w:lang w:bidi="ar"/>
        </w:rPr>
        <w:t xml:space="preserve">cTnI, cardiac troponin I; NT-proBNP, </w:t>
      </w:r>
      <w:r w:rsidRPr="00FB4C5B">
        <w:rPr>
          <w:rFonts w:ascii="Times New Roman" w:eastAsia="宋体" w:hAnsi="Times New Roman"/>
          <w:color w:val="000000" w:themeColor="text1"/>
          <w:sz w:val="22"/>
        </w:rPr>
        <w:t>N-terminal pro-brain natriuretic peptide.</w:t>
      </w:r>
      <w:r w:rsidRPr="00FB4C5B">
        <w:rPr>
          <w:rFonts w:ascii="Times New Roman" w:eastAsia="宋体" w:hAnsi="Times New Roman"/>
          <w:sz w:val="22"/>
        </w:rPr>
        <w:t xml:space="preserve"> Numbers in square brackets indicate patients with missing data.</w:t>
      </w:r>
    </w:p>
    <w:p w:rsidR="00D8170C" w:rsidRPr="00FB4C5B" w:rsidRDefault="00D8170C" w:rsidP="00D8170C">
      <w:pPr>
        <w:rPr>
          <w:rFonts w:ascii="Times New Roman" w:eastAsia="宋体" w:hAnsi="Times New Roman"/>
          <w:sz w:val="22"/>
        </w:rPr>
      </w:pPr>
      <w:r w:rsidRPr="00FB4C5B">
        <w:rPr>
          <w:rFonts w:ascii="Times New Roman" w:eastAsia="宋体" w:hAnsi="Times New Roman"/>
          <w:i/>
          <w:sz w:val="22"/>
          <w:vertAlign w:val="superscript"/>
        </w:rPr>
        <w:t>a</w:t>
      </w:r>
      <w:r w:rsidRPr="00FB4C5B">
        <w:rPr>
          <w:rFonts w:ascii="Times New Roman" w:eastAsia="宋体" w:hAnsi="Times New Roman"/>
          <w:sz w:val="22"/>
        </w:rPr>
        <w:t xml:space="preserve"> Includes asthma, chronic obstructive pulmonary disease, and interstitial lung disease. </w:t>
      </w:r>
    </w:p>
    <w:p w:rsidR="00D8170C" w:rsidRPr="00FB4C5B" w:rsidRDefault="00D8170C" w:rsidP="00D8170C">
      <w:pPr>
        <w:rPr>
          <w:rFonts w:ascii="Times New Roman" w:eastAsia="宋体" w:hAnsi="Times New Roman"/>
          <w:sz w:val="22"/>
        </w:rPr>
      </w:pPr>
      <w:r w:rsidRPr="00FB4C5B">
        <w:rPr>
          <w:rFonts w:ascii="Times New Roman" w:eastAsia="宋体" w:hAnsi="Times New Roman"/>
          <w:i/>
          <w:sz w:val="22"/>
          <w:vertAlign w:val="superscript"/>
        </w:rPr>
        <w:t>b</w:t>
      </w:r>
      <w:r w:rsidRPr="00FB4C5B">
        <w:rPr>
          <w:rFonts w:ascii="Times New Roman" w:eastAsia="宋体" w:hAnsi="Times New Roman"/>
          <w:sz w:val="22"/>
        </w:rPr>
        <w:t xml:space="preserve"> Defined as glomerular filtration rate (GFR) &lt;60 mL/min per 1·73 m² or markers of kidney damage, or both, of at least 3 months duration.</w:t>
      </w:r>
    </w:p>
    <w:p w:rsidR="00D8170C" w:rsidRPr="00FB4C5B" w:rsidRDefault="00D8170C" w:rsidP="00D8170C">
      <w:pPr>
        <w:rPr>
          <w:rFonts w:ascii="Times New Roman" w:eastAsia="宋体" w:hAnsi="Times New Roman"/>
          <w:sz w:val="22"/>
        </w:rPr>
      </w:pPr>
      <w:r w:rsidRPr="00FB4C5B">
        <w:rPr>
          <w:rFonts w:ascii="Times New Roman" w:eastAsia="宋体" w:hAnsi="Times New Roman"/>
          <w:i/>
          <w:sz w:val="22"/>
          <w:vertAlign w:val="superscript"/>
        </w:rPr>
        <w:t>c</w:t>
      </w:r>
      <w:r w:rsidRPr="00FB4C5B">
        <w:rPr>
          <w:rFonts w:ascii="Times New Roman" w:eastAsia="宋体" w:hAnsi="Times New Roman"/>
          <w:i/>
          <w:sz w:val="22"/>
        </w:rPr>
        <w:t xml:space="preserve"> </w:t>
      </w:r>
      <w:r w:rsidRPr="00FB4C5B">
        <w:rPr>
          <w:rFonts w:ascii="Times New Roman" w:eastAsia="宋体" w:hAnsi="Times New Roman"/>
          <w:sz w:val="22"/>
        </w:rPr>
        <w:t>Includes arbidol, oseltamivir, lopinavir/ritonavir, interferon, ganciclovir, and ribavirin.</w:t>
      </w:r>
    </w:p>
    <w:p w:rsidR="00471C74" w:rsidRPr="00D8170C" w:rsidRDefault="00D8170C">
      <w:pPr>
        <w:rPr>
          <w:rFonts w:ascii="Times New Roman" w:eastAsia="宋体" w:hAnsi="Times New Roman" w:hint="eastAsia"/>
          <w:sz w:val="22"/>
        </w:rPr>
      </w:pPr>
      <w:r w:rsidRPr="00FB4C5B">
        <w:rPr>
          <w:rFonts w:ascii="Times New Roman" w:eastAsia="宋体" w:hAnsi="Times New Roman"/>
          <w:i/>
          <w:sz w:val="22"/>
          <w:vertAlign w:val="superscript"/>
        </w:rPr>
        <w:t>d</w:t>
      </w:r>
      <w:r w:rsidRPr="00FB4C5B">
        <w:rPr>
          <w:rFonts w:ascii="Times New Roman" w:eastAsia="宋体" w:hAnsi="Times New Roman"/>
          <w:i/>
          <w:sz w:val="22"/>
        </w:rPr>
        <w:t xml:space="preserve"> </w:t>
      </w:r>
      <w:r w:rsidRPr="00FB4C5B">
        <w:rPr>
          <w:rFonts w:ascii="Times New Roman" w:eastAsia="宋体" w:hAnsi="Times New Roman"/>
          <w:sz w:val="22"/>
        </w:rPr>
        <w:t>Includes fluoroquinolones, β-lactams, and macrolides.</w:t>
      </w:r>
      <w:bookmarkStart w:id="0" w:name="_GoBack"/>
      <w:bookmarkEnd w:id="0"/>
    </w:p>
    <w:sectPr w:rsidR="00471C74" w:rsidRPr="00D817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ardianAgateSans1GR-Regular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70C"/>
    <w:rsid w:val="00471C74"/>
    <w:rsid w:val="00D8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6058D"/>
  <w15:chartTrackingRefBased/>
  <w15:docId w15:val="{691FE562-AE30-4559-B435-1C4A99996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70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8170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901</Words>
  <Characters>5139</Characters>
  <Application>Microsoft Office Word</Application>
  <DocSecurity>0</DocSecurity>
  <Lines>42</Lines>
  <Paragraphs>12</Paragraphs>
  <ScaleCrop>false</ScaleCrop>
  <Company/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1</cp:revision>
  <dcterms:created xsi:type="dcterms:W3CDTF">2020-05-23T02:08:00Z</dcterms:created>
  <dcterms:modified xsi:type="dcterms:W3CDTF">2020-05-23T02:09:00Z</dcterms:modified>
</cp:coreProperties>
</file>