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CFCFC"/>
        <w:spacing w:before="100" w:beforeAutospacing="1" w:after="100" w:afterAutospacing="1" w:line="240" w:lineRule="auto"/>
        <w:rPr>
          <w:rFonts w:ascii="Tahoma" w:hAnsi="Tahoma" w:eastAsia="Times New Roman" w:cs="Tahoma"/>
          <w:b/>
          <w:color w:val="333333"/>
          <w:sz w:val="24"/>
          <w:szCs w:val="24"/>
          <w:lang w:val="en-US" w:eastAsia="de-DE"/>
        </w:rPr>
      </w:pPr>
      <w:r>
        <w:rPr>
          <w:rFonts w:eastAsia="Times New Roman" w:cstheme="minorHAnsi"/>
          <w:b/>
          <w:color w:val="333333"/>
          <w:sz w:val="24"/>
          <w:szCs w:val="24"/>
          <w:lang w:val="en-US" w:eastAsia="de-DE"/>
        </w:rPr>
        <w:t>Reports on Meta-Analyses</w:t>
      </w:r>
    </w:p>
    <w:p>
      <w:pPr>
        <w:shd w:val="clear" w:color="auto" w:fill="FCFCFC"/>
        <w:spacing w:before="100" w:beforeAutospacing="1" w:after="100" w:afterAutospacing="1"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All meta-analyses to be published in the Journal should have clear objectives </w:t>
      </w:r>
      <w:r>
        <w:rPr>
          <w:rFonts w:eastAsia="Times New Roman" w:cstheme="minorHAnsi"/>
          <w:b/>
          <w:color w:val="333333"/>
          <w:sz w:val="24"/>
          <w:szCs w:val="24"/>
          <w:lang w:val="en-US" w:eastAsia="de-DE"/>
        </w:rPr>
        <w:t>related to drug effects</w:t>
      </w:r>
      <w:r>
        <w:rPr>
          <w:rFonts w:eastAsia="Times New Roman" w:cstheme="minorHAnsi"/>
          <w:color w:val="333333"/>
          <w:sz w:val="24"/>
          <w:szCs w:val="24"/>
          <w:lang w:val="en-US" w:eastAsia="de-DE"/>
        </w:rPr>
        <w:t xml:space="preserve"> and be based on a thorough, systematic and recent review of the literature. It is recommended to read our 2015 editorial on meta-analyses prior to submission (</w:t>
      </w:r>
      <w:r>
        <w:rPr>
          <w:rFonts w:ascii="Segoe UI" w:hAnsi="Segoe UI" w:cs="Segoe UI"/>
          <w:color w:val="212121"/>
          <w:shd w:val="clear" w:color="auto" w:fill="FFFFFF"/>
          <w:lang w:val="en-US"/>
        </w:rPr>
        <w:t xml:space="preserve">Fuhr U, Hellmich M. Channeling the flood of meta-analyses. Eur J Clin Pharmacol. 2015 Jun;71(6):645-647). </w:t>
      </w:r>
      <w:r>
        <w:rPr>
          <w:rFonts w:eastAsia="Times New Roman" w:cstheme="minorHAnsi"/>
          <w:color w:val="333333"/>
          <w:sz w:val="24"/>
          <w:szCs w:val="24"/>
          <w:lang w:val="en-US" w:eastAsia="de-DE"/>
        </w:rPr>
        <w:t xml:space="preserve">If a review of the literature is part of a review article (and in most cases it is), please also refer to the section on “Review Articles”. </w:t>
      </w:r>
    </w:p>
    <w:p>
      <w:pPr>
        <w:shd w:val="clear" w:color="auto" w:fill="FCFCFC"/>
        <w:spacing w:before="100" w:beforeAutospacing="1" w:after="100" w:afterAutospacing="1"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Usually, a meta-analysis is done to determine drug effects on the basis of a number of individual studies providing data on </w:t>
      </w:r>
      <w:r>
        <w:rPr>
          <w:rFonts w:eastAsia="Times New Roman" w:cstheme="minorHAnsi"/>
          <w:b/>
          <w:color w:val="333333"/>
          <w:sz w:val="24"/>
          <w:szCs w:val="24"/>
          <w:lang w:val="en-US" w:eastAsia="de-DE"/>
        </w:rPr>
        <w:t>the same research questions</w:t>
      </w:r>
      <w:r>
        <w:rPr>
          <w:rFonts w:eastAsia="Times New Roman" w:cstheme="minorHAnsi"/>
          <w:color w:val="333333"/>
          <w:sz w:val="24"/>
          <w:szCs w:val="24"/>
          <w:lang w:val="en-US" w:eastAsia="de-DE"/>
        </w:rPr>
        <w:t xml:space="preserve">. Search strategy, selection process and statistical methods used should be described in detail in the manuscript. Beyond the type and design of selected studies, authors should provide details on exposure regarding </w:t>
      </w:r>
      <w:r>
        <w:rPr>
          <w:rFonts w:eastAsia="Times New Roman" w:cstheme="minorHAnsi"/>
          <w:b/>
          <w:color w:val="333333"/>
          <w:sz w:val="24"/>
          <w:szCs w:val="24"/>
          <w:lang w:val="en-US" w:eastAsia="de-DE"/>
        </w:rPr>
        <w:t>the drug(s) examined</w:t>
      </w:r>
      <w:r>
        <w:rPr>
          <w:rFonts w:eastAsia="Times New Roman" w:cstheme="minorHAnsi"/>
          <w:color w:val="333333"/>
          <w:sz w:val="24"/>
          <w:szCs w:val="24"/>
          <w:lang w:val="en-US" w:eastAsia="de-DE"/>
        </w:rPr>
        <w:t>, i.e., substance, dose, route of administration, and duration of treatment. Relevant patient characteristics, e.g. demographics, disease state and comedication, should also be described in sufficient detail. To this end, a table describing the characteristics of included studies should be part of the submission. The preferred length of meta-analyses is as described above for original research papers. Extensive tables, e.g. on included (or excluded) studies, should be submitted as Electronic Supplementary Material (ESM) (for detailed information on ESM see also Electronic Supplementary Material in the Instructions for Authors) and will be published online only.</w:t>
      </w:r>
    </w:p>
    <w:p>
      <w:pPr>
        <w:shd w:val="clear" w:color="auto" w:fill="FCFCFC"/>
        <w:spacing w:before="100" w:beforeAutospacing="1" w:after="100" w:afterAutospacing="1"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For any report on meta-analyses, the following “Report on meta-analyses submission form” should be filled in. Respective articles not accompanied by this form with entries in all sections will be rejected without further processing.</w:t>
      </w:r>
    </w:p>
    <w:p>
      <w:pPr>
        <w:shd w:val="clear" w:color="auto" w:fill="FCFCFC"/>
        <w:spacing w:before="100" w:beforeAutospacing="1" w:after="100" w:afterAutospacing="1" w:line="240" w:lineRule="auto"/>
        <w:rPr>
          <w:rFonts w:eastAsia="Times New Roman" w:cstheme="minorHAnsi"/>
          <w:color w:val="333333"/>
          <w:sz w:val="24"/>
          <w:szCs w:val="24"/>
          <w:lang w:val="en-US" w:eastAsia="de-DE"/>
        </w:rPr>
      </w:pPr>
    </w:p>
    <w:p>
      <w:pPr>
        <w:shd w:val="clear" w:color="auto" w:fill="FCFCFC"/>
        <w:spacing w:before="100" w:beforeAutospacing="1" w:after="100" w:afterAutospacing="1" w:line="240" w:lineRule="auto"/>
        <w:rPr>
          <w:rFonts w:eastAsia="Times New Roman" w:cstheme="minorHAnsi"/>
          <w:b/>
          <w:color w:val="333333"/>
          <w:sz w:val="24"/>
          <w:szCs w:val="24"/>
          <w:lang w:val="en-US" w:eastAsia="de-DE"/>
        </w:rPr>
      </w:pPr>
      <w:r>
        <w:rPr>
          <w:rFonts w:eastAsia="Times New Roman" w:cstheme="minorHAnsi"/>
          <w:b/>
          <w:color w:val="333333"/>
          <w:sz w:val="24"/>
          <w:szCs w:val="24"/>
          <w:lang w:val="en-US" w:eastAsia="de-DE"/>
        </w:rPr>
        <w:t>Report on Meta-Analyses submission form</w:t>
      </w:r>
    </w:p>
    <w:tbl>
      <w:tblPr>
        <w:tblStyle w:val="3"/>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1</w:t>
            </w:r>
          </w:p>
        </w:tc>
        <w:tc>
          <w:tcPr>
            <w:tcW w:w="8674" w:type="dxa"/>
          </w:tcPr>
          <w:p>
            <w:pPr>
              <w:spacing w:after="0" w:line="240" w:lineRule="auto"/>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144718921"/>
                <w14:checkbox>
                  <w14:checked w14:val="1"/>
                  <w14:checkedState w14:val="2612" w14:font="MS Gothic"/>
                  <w14:uncheckedState w14:val="2610" w14:font="MS Gothic"/>
                </w14:checkbox>
              </w:sdtPr>
              <w:sdtEndPr>
                <w:rPr>
                  <w:rFonts w:eastAsia="Times New Roman" w:cstheme="minorHAnsi"/>
                  <w:color w:val="333333"/>
                  <w:sz w:val="24"/>
                  <w:szCs w:val="24"/>
                  <w:lang w:val="en-US" w:eastAsia="de-DE"/>
                </w:rPr>
              </w:sdtEndPr>
              <w:sdtContent>
                <w:r>
                  <w:rPr>
                    <w:rFonts w:hint="eastAsia" w:ascii="MS Gothic" w:hAnsi="MS Gothic" w:eastAsia="MS Gothic" w:cstheme="minorHAnsi"/>
                    <w:color w:val="333333"/>
                    <w:sz w:val="24"/>
                    <w:szCs w:val="24"/>
                    <w:lang w:val="en-US" w:eastAsia="de-DE" w:bidi="ar-SA"/>
                  </w:rPr>
                  <w:t>☒</w:t>
                </w:r>
              </w:sdtContent>
            </w:sdt>
            <w:r>
              <w:rPr>
                <w:rFonts w:eastAsia="Times New Roman" w:cstheme="minorHAnsi"/>
                <w:color w:val="333333"/>
                <w:sz w:val="24"/>
                <w:szCs w:val="24"/>
                <w:lang w:val="en-US" w:eastAsia="de-DE"/>
              </w:rPr>
              <w:t xml:space="preserve"> Tick if this is a meta-analysis of clinical trials and a PRISMA flow diagram and checklist has been added to the material submitted (Liberati et al., PLoS Med. 2009 Jul 21;6(7):e1000100)</w:t>
            </w:r>
          </w:p>
          <w:p>
            <w:pPr>
              <w:spacing w:after="0" w:line="240" w:lineRule="auto"/>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149596174"/>
                <w14:checkbox>
                  <w14:checked w14:val="0"/>
                  <w14:checkedState w14:val="2612" w14:font="MS Gothic"/>
                  <w14:uncheckedState w14:val="2610" w14:font="MS Gothic"/>
                </w14:checkbox>
              </w:sdtPr>
              <w:sdtEndPr>
                <w:rPr>
                  <w:rFonts w:eastAsia="Times New Roman" w:cstheme="minorHAnsi"/>
                  <w:color w:val="333333"/>
                  <w:sz w:val="24"/>
                  <w:szCs w:val="24"/>
                  <w:lang w:val="en-US" w:eastAsia="de-DE"/>
                </w:rPr>
              </w:sdtEndPr>
              <w:sdtContent>
                <w:r>
                  <w:rPr>
                    <w:rFonts w:hint="eastAsia" w:ascii="MS Gothic" w:hAnsi="MS Gothic" w:eastAsia="MS Gothic" w:cstheme="minorHAnsi"/>
                    <w:color w:val="333333"/>
                    <w:sz w:val="24"/>
                    <w:szCs w:val="24"/>
                    <w:lang w:val="en-US" w:eastAsia="de-DE"/>
                  </w:rPr>
                  <w:t>☐</w:t>
                </w:r>
              </w:sdtContent>
            </w:sdt>
            <w:r>
              <w:rPr>
                <w:rFonts w:eastAsia="Times New Roman" w:cstheme="minorHAnsi"/>
                <w:color w:val="333333"/>
                <w:sz w:val="24"/>
                <w:szCs w:val="24"/>
                <w:lang w:val="en-US" w:eastAsia="de-DE"/>
              </w:rPr>
              <w:t xml:space="preserve"> Tick if this is a meta-analysis of observational studies and a MOOSE checklist has been added to the material submitted (Stroup et al., JAMA. 2000 Apr 19;283(15):2008-12). </w:t>
            </w:r>
          </w:p>
          <w:p>
            <w:pPr>
              <w:spacing w:after="0" w:line="240" w:lineRule="auto"/>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94524549"/>
                <w14:checkbox>
                  <w14:checked w14:val="0"/>
                  <w14:checkedState w14:val="2612" w14:font="MS Gothic"/>
                  <w14:uncheckedState w14:val="2610" w14:font="MS Gothic"/>
                </w14:checkbox>
              </w:sdtPr>
              <w:sdtEndPr>
                <w:rPr>
                  <w:rFonts w:eastAsia="Times New Roman" w:cstheme="minorHAnsi"/>
                  <w:color w:val="333333"/>
                  <w:sz w:val="24"/>
                  <w:szCs w:val="24"/>
                  <w:lang w:val="en-US" w:eastAsia="de-DE"/>
                </w:rPr>
              </w:sdtEndPr>
              <w:sdtContent>
                <w:r>
                  <w:rPr>
                    <w:rFonts w:hint="eastAsia" w:ascii="MS Gothic" w:hAnsi="MS Gothic" w:eastAsia="MS Gothic" w:cstheme="minorHAnsi"/>
                    <w:color w:val="333333"/>
                    <w:sz w:val="24"/>
                    <w:szCs w:val="24"/>
                    <w:lang w:val="en-US" w:eastAsia="de-DE"/>
                  </w:rPr>
                  <w:t>☐</w:t>
                </w:r>
              </w:sdtContent>
            </w:sdt>
            <w:r>
              <w:rPr>
                <w:rFonts w:eastAsia="Times New Roman" w:cstheme="minorHAnsi"/>
                <w:color w:val="333333"/>
                <w:sz w:val="24"/>
                <w:szCs w:val="24"/>
                <w:lang w:val="en-US" w:eastAsia="de-DE"/>
              </w:rPr>
              <w:t xml:space="preserve"> Tick if none of the two options mentioned above apply and provide an explanation. </w:t>
            </w: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p>
        </w:tc>
      </w:tr>
    </w:tbl>
    <w:p>
      <w:pPr>
        <w:rPr>
          <w:lang w:val="en-US"/>
        </w:rPr>
      </w:pPr>
    </w:p>
    <w:p>
      <w:pPr>
        <w:rPr>
          <w:lang w:val="en-US"/>
        </w:rPr>
      </w:pPr>
    </w:p>
    <w:tbl>
      <w:tblPr>
        <w:tblStyle w:val="3"/>
        <w:tblW w:w="90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2</w:t>
            </w:r>
          </w:p>
        </w:tc>
        <w:tc>
          <w:tcPr>
            <w:tcW w:w="8674"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Provide a brief description of the research question and /or the underlying hypothesis addressed by the meta-analysis. If the meta-analysis is part of a data-mining process, please describe and justify.</w:t>
            </w:r>
          </w:p>
          <w:p>
            <w:pPr>
              <w:spacing w:after="0" w:line="240" w:lineRule="auto"/>
              <w:rPr>
                <w:rFonts w:hint="eastAsia"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r>
              <w:rPr>
                <w:rFonts w:hint="eastAsia" w:ascii="Times New Roman" w:hAnsi="Times New Roman" w:cs="Times New Roman" w:eastAsiaTheme="minorEastAsia"/>
                <w:kern w:val="2"/>
                <w:sz w:val="21"/>
                <w:szCs w:val="22"/>
                <w:lang w:val="en-US" w:eastAsia="de-DE" w:bidi="ar-SA"/>
              </w:rPr>
              <w:t xml:space="preserve">The control group in these studies received interventions of Omeprazole, Amoxicillin, and Clarithromycin, while the experimental group received the addition of a traditional Chinese medicine compound based on the control group. Clinical efficacy was the primary outcome measure for all experiments, categorized as effective, significant, or ineffective. </w:t>
            </w:r>
            <w:r>
              <w:rPr>
                <w:rFonts w:hint="eastAsia" w:ascii="Times New Roman" w:hAnsi="Times New Roman" w:cs="Times New Roman" w:eastAsiaTheme="minorEastAsia"/>
                <w:kern w:val="2"/>
                <w:sz w:val="21"/>
                <w:szCs w:val="22"/>
                <w:lang w:val="en-US" w:eastAsia="zh-CN" w:bidi="ar-SA"/>
              </w:rPr>
              <w:t>It was hypothesized that the clinical efficacy of the experimental group would prove to be better than that of the control group.</w:t>
            </w:r>
          </w:p>
          <w:p>
            <w:pPr>
              <w:spacing w:after="0" w:line="240" w:lineRule="auto"/>
              <w:rPr>
                <w:rFonts w:eastAsia="Times New Roman" w:cstheme="minorHAnsi"/>
                <w:color w:val="333333"/>
                <w:sz w:val="24"/>
                <w:szCs w:val="24"/>
                <w:lang w:val="en-US" w:eastAsia="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3</w:t>
            </w:r>
          </w:p>
        </w:tc>
        <w:tc>
          <w:tcPr>
            <w:tcW w:w="8674" w:type="dxa"/>
          </w:tcPr>
          <w:p>
            <w:pPr>
              <w:spacing w:after="0" w:line="240" w:lineRule="auto"/>
              <w:rPr>
                <w:rFonts w:eastAsia="Times New Roman" w:cstheme="minorHAnsi"/>
                <w:color w:val="333333"/>
                <w:sz w:val="24"/>
                <w:szCs w:val="24"/>
                <w:lang w:val="en-US" w:eastAsia="de-DE"/>
              </w:rPr>
            </w:pPr>
            <w:sdt>
              <w:sdtPr>
                <w:rPr>
                  <w:rFonts w:eastAsia="Times New Roman" w:cstheme="minorHAnsi"/>
                  <w:color w:val="333333"/>
                  <w:sz w:val="24"/>
                  <w:szCs w:val="24"/>
                  <w:lang w:val="en-US" w:eastAsia="de-DE"/>
                </w:rPr>
                <w:id w:val="-650826612"/>
                <w14:checkbox>
                  <w14:checked w14:val="1"/>
                  <w14:checkedState w14:val="2612" w14:font="MS Gothic"/>
                  <w14:uncheckedState w14:val="2610" w14:font="MS Gothic"/>
                </w14:checkbox>
              </w:sdtPr>
              <w:sdtEndPr>
                <w:rPr>
                  <w:rFonts w:eastAsia="Times New Roman" w:cstheme="minorHAnsi"/>
                  <w:color w:val="333333"/>
                  <w:sz w:val="24"/>
                  <w:szCs w:val="24"/>
                  <w:lang w:val="en-US" w:eastAsia="de-DE"/>
                </w:rPr>
              </w:sdtEndPr>
              <w:sdtContent>
                <w:r>
                  <w:rPr>
                    <w:rFonts w:hint="eastAsia" w:ascii="MS Gothic" w:hAnsi="MS Gothic" w:eastAsia="MS Gothic" w:cstheme="minorHAnsi"/>
                    <w:color w:val="333333"/>
                    <w:sz w:val="24"/>
                    <w:szCs w:val="24"/>
                    <w:lang w:val="en-US" w:eastAsia="de-DE" w:bidi="ar-SA"/>
                  </w:rPr>
                  <w:t>☒</w:t>
                </w:r>
              </w:sdtContent>
            </w:sdt>
            <w:r>
              <w:rPr>
                <w:rFonts w:eastAsia="Times New Roman" w:cstheme="minorHAnsi"/>
                <w:color w:val="333333"/>
                <w:sz w:val="24"/>
                <w:szCs w:val="24"/>
                <w:lang w:val="en-US" w:eastAsia="de-DE"/>
              </w:rPr>
              <w:t xml:space="preserve"> Tick to confirm that a table describing relevant details of the individual studies included in the meta-analysis is provided.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4</w:t>
            </w:r>
          </w:p>
        </w:tc>
        <w:tc>
          <w:tcPr>
            <w:tcW w:w="8674" w:type="dxa"/>
          </w:tcPr>
          <w:p>
            <w:pPr>
              <w:spacing w:after="0" w:line="240" w:lineRule="auto"/>
              <w:rPr>
                <w:rFonts w:eastAsia="Times New Roman" w:cstheme="minorHAnsi"/>
                <w:color w:val="333333"/>
                <w:sz w:val="24"/>
                <w:szCs w:val="24"/>
                <w:lang w:val="en-US" w:eastAsia="de-DE"/>
              </w:rPr>
            </w:pPr>
            <w:r>
              <w:rPr>
                <w:rFonts w:hint="eastAsia" w:eastAsia="Times New Roman" w:cstheme="minorHAnsi"/>
                <w:color w:val="333333"/>
                <w:sz w:val="24"/>
                <w:szCs w:val="24"/>
                <w:lang w:val="en-US" w:eastAsia="de-DE"/>
              </w:rPr>
              <w:t>E</w:t>
            </w:r>
            <w:r>
              <w:rPr>
                <w:rFonts w:eastAsia="Times New Roman" w:cstheme="minorHAnsi"/>
                <w:color w:val="333333"/>
                <w:sz w:val="24"/>
                <w:szCs w:val="24"/>
                <w:lang w:val="en-US" w:eastAsia="de-DE"/>
              </w:rPr>
              <w:t>xplain the main sources of heterogeneity between studies (e.g., different doses, different drugs; different geographic area; different comorbidities) and why the meta-analysis makes sense for the endpoints reported despite this heterogeneity. For instance, if clinical trials with different drugs sharing the same mechanism of action are meta-analyzed regarding specific adverse effects, this could be justified if the adverse effects are related to the mechanism of action as opposed to an off-target effect specific for an individual drug within the class. (NB: this is not the observed heterogeneity in the results of the meta-analysis which is addressed by statistical tests.)</w:t>
            </w:r>
          </w:p>
          <w:p>
            <w:pPr>
              <w:spacing w:after="0" w:line="240" w:lineRule="auto"/>
              <w:rPr>
                <w:rFonts w:eastAsia="Times New Roman" w:cstheme="minorHAnsi"/>
                <w:color w:val="333333"/>
                <w:sz w:val="24"/>
                <w:szCs w:val="24"/>
                <w:lang w:val="en-US" w:eastAsia="de-DE"/>
              </w:rPr>
            </w:pPr>
          </w:p>
          <w:p>
            <w:pPr>
              <w:spacing w:after="0" w:line="240" w:lineRule="auto"/>
              <w:rPr>
                <w:rFonts w:hint="eastAsia" w:ascii="Times New Roman" w:hAnsi="Times New Roman" w:cs="Times New Roman" w:eastAsiaTheme="minorEastAsia"/>
                <w:kern w:val="2"/>
                <w:sz w:val="21"/>
                <w:szCs w:val="22"/>
                <w:lang w:val="en-US" w:eastAsia="de-DE" w:bidi="ar-SA"/>
              </w:rPr>
            </w:pPr>
            <w:r>
              <w:rPr>
                <w:rFonts w:hint="eastAsia" w:ascii="Times New Roman" w:hAnsi="Times New Roman" w:cs="Times New Roman" w:eastAsiaTheme="minorEastAsia"/>
                <w:kern w:val="2"/>
                <w:sz w:val="21"/>
                <w:szCs w:val="22"/>
                <w:lang w:val="en-US" w:eastAsia="de-DE" w:bidi="ar-SA"/>
              </w:rPr>
              <w:t>The only variable in the control and experimental groups of the intervention was the addition of the herbal compound or not. If there was publication bias in the included studies, one of the reasons that may have been obtained was that blinding was not set up in the clinical design due to the cost of treatment of the different interventions. This eventually led to selective reporting of reported studies in order to prove the clinical efficacy of their experimental groups. The second possibility, is that errors were made in the collation of the data.</w:t>
            </w:r>
          </w:p>
          <w:p>
            <w:pPr>
              <w:spacing w:after="0" w:line="240" w:lineRule="auto"/>
              <w:rPr>
                <w:rFonts w:eastAsia="Times New Roman" w:cstheme="minorHAnsi"/>
                <w:color w:val="333333"/>
                <w:sz w:val="24"/>
                <w:szCs w:val="24"/>
                <w:lang w:val="en-US" w:eastAsia="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5</w:t>
            </w:r>
          </w:p>
        </w:tc>
        <w:tc>
          <w:tcPr>
            <w:tcW w:w="8674"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List the most recent and/or most similar reports on meta-analyses published previously in the same area. </w:t>
            </w:r>
          </w:p>
          <w:p>
            <w:pPr>
              <w:spacing w:after="0" w:line="240" w:lineRule="auto"/>
              <w:rPr>
                <w:rFonts w:eastAsia="Times New Roman" w:cstheme="minorHAnsi"/>
                <w:color w:val="333333"/>
                <w:sz w:val="24"/>
                <w:szCs w:val="24"/>
                <w:lang w:val="en-US" w:eastAsia="de-DE"/>
              </w:rPr>
            </w:pPr>
          </w:p>
          <w:p>
            <w:pPr>
              <w:spacing w:after="0" w:line="240" w:lineRule="auto"/>
              <w:rPr>
                <w:rFonts w:hint="eastAsia" w:ascii="Times New Roman" w:hAnsi="Times New Roman" w:cs="Times New Roman" w:eastAsiaTheme="minorEastAsia"/>
                <w:kern w:val="2"/>
                <w:sz w:val="21"/>
                <w:szCs w:val="22"/>
                <w:lang w:val="en-US" w:eastAsia="de-DE" w:bidi="ar-SA"/>
              </w:rPr>
            </w:pPr>
            <w:r>
              <w:rPr>
                <w:rFonts w:hint="eastAsia" w:ascii="Times New Roman" w:hAnsi="Times New Roman" w:cs="Times New Roman" w:eastAsiaTheme="minorEastAsia"/>
                <w:kern w:val="2"/>
                <w:sz w:val="21"/>
                <w:szCs w:val="22"/>
                <w:lang w:val="en-US" w:eastAsia="de-DE" w:bidi="ar-SA"/>
              </w:rPr>
              <w:t>Wang L, Ding X, Li P, et al. Efficacy and safety of Weifuchun tablet for chronic atrophic gastritis: A systematic review and meta-analysis.</w:t>
            </w:r>
            <w:r>
              <w:rPr>
                <w:rFonts w:hint="default" w:ascii="Times New Roman" w:hAnsi="Times New Roman" w:cs="Times New Roman" w:eastAsiaTheme="minorEastAsia"/>
                <w:kern w:val="2"/>
                <w:sz w:val="21"/>
                <w:szCs w:val="22"/>
                <w:lang w:val="en-US" w:eastAsia="de-DE" w:bidi="ar-SA"/>
              </w:rPr>
              <w:t> PLoS One. 2023;18(4):e0284411. Published 2023 Apr 13. doi:10.1371/journal.pone.0284411</w:t>
            </w:r>
          </w:p>
          <w:p>
            <w:pPr>
              <w:spacing w:after="0" w:line="240" w:lineRule="auto"/>
              <w:rPr>
                <w:rFonts w:eastAsia="Times New Roman" w:cstheme="minorHAnsi"/>
                <w:color w:val="333333"/>
                <w:sz w:val="24"/>
                <w:szCs w:val="24"/>
                <w:lang w:val="en-US" w:eastAsia="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6</w:t>
            </w:r>
          </w:p>
        </w:tc>
        <w:tc>
          <w:tcPr>
            <w:tcW w:w="8674"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Explain the additional knowledge generated by the present meta-analysis as compared to the previous reports on meta-analyses mentioned in section 3 and explain why this is important enough to justify publication of another meta-analysis.</w:t>
            </w:r>
          </w:p>
          <w:p>
            <w:pPr>
              <w:spacing w:after="0" w:line="240" w:lineRule="auto"/>
              <w:rPr>
                <w:rFonts w:eastAsia="Times New Roman" w:cstheme="minorHAnsi"/>
                <w:color w:val="333333"/>
                <w:sz w:val="24"/>
                <w:szCs w:val="24"/>
                <w:lang w:val="en-US" w:eastAsia="de-DE"/>
              </w:rPr>
            </w:pPr>
          </w:p>
          <w:p>
            <w:pPr>
              <w:spacing w:after="0" w:line="240" w:lineRule="auto"/>
              <w:rPr>
                <w:rFonts w:hint="eastAsia" w:ascii="Times New Roman" w:hAnsi="Times New Roman" w:cs="Times New Roman" w:eastAsiaTheme="minorEastAsia"/>
                <w:kern w:val="2"/>
                <w:sz w:val="21"/>
                <w:szCs w:val="22"/>
                <w:lang w:val="en-US" w:eastAsia="de-DE" w:bidi="ar-SA"/>
              </w:rPr>
            </w:pPr>
            <w:r>
              <w:rPr>
                <w:rFonts w:hint="eastAsia" w:ascii="Times New Roman" w:hAnsi="Times New Roman" w:cs="Times New Roman" w:eastAsiaTheme="minorEastAsia"/>
                <w:kern w:val="2"/>
                <w:sz w:val="21"/>
                <w:szCs w:val="22"/>
                <w:lang w:val="en-US" w:eastAsia="de-DE" w:bidi="ar-SA"/>
              </w:rPr>
              <w:t>Our meta-analysis aims to find evidence supporting the effectiveness of traditional Chinese medicine in the treatment of chronic gastritis. We will then explore the most relevant hub herbs in different complex herbal formulas and study the interactions between active ingredients in Chinese medicine and disease gene targets through network pharmacology. In contrast to published meta-analyses, our research focuses on potential new drug candidates and designs, rather than existing patent medicines. Our goal is to provide support for future drug development or the formulation of more effective traditional Chinese medicine prescriptions.</w:t>
            </w:r>
          </w:p>
          <w:p>
            <w:pPr>
              <w:spacing w:after="0" w:line="240" w:lineRule="auto"/>
              <w:rPr>
                <w:rFonts w:eastAsia="Times New Roman" w:cstheme="minorHAnsi"/>
                <w:color w:val="333333"/>
                <w:sz w:val="24"/>
                <w:szCs w:val="24"/>
                <w:lang w:val="en-US" w:eastAsia="de-D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7</w:t>
            </w:r>
          </w:p>
        </w:tc>
        <w:tc>
          <w:tcPr>
            <w:tcW w:w="8674"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Give a brief rationale for the methods selected, i.e. for the search strategy, for the method how relevant data was extracted, and for the analysis of the results.</w:t>
            </w:r>
          </w:p>
          <w:p>
            <w:pPr>
              <w:spacing w:after="0" w:line="240" w:lineRule="auto"/>
              <w:rPr>
                <w:rFonts w:eastAsia="Times New Roman" w:cstheme="minorHAnsi"/>
                <w:color w:val="333333"/>
                <w:sz w:val="24"/>
                <w:szCs w:val="24"/>
                <w:lang w:val="en-US" w:eastAsia="de-DE"/>
              </w:rPr>
            </w:pPr>
          </w:p>
          <w:p>
            <w:pPr>
              <w:pStyle w:val="8"/>
              <w:rPr>
                <w:rFonts w:hint="eastAsia" w:ascii="Times New Roman" w:hAnsi="Times New Roman" w:cs="Times New Roman"/>
                <w:lang w:val="en-US" w:eastAsia="de-DE"/>
              </w:rPr>
            </w:pPr>
            <w:r>
              <w:rPr>
                <w:rFonts w:hint="eastAsia" w:ascii="Times New Roman" w:hAnsi="Times New Roman" w:cs="Times New Roman"/>
                <w:lang w:val="en-US" w:eastAsia="de-DE"/>
              </w:rPr>
              <w:t>Researchers conducted literature searches using a combination of medical subject headings and free keywords in seven databases, without language restrictions, up until May 2023. They also searched the Chinese Clinical Trial Registry and the US ClinicalTrials.gov for relevant registered experiments. The main subject headings used in the search were “Gastritis, Atrophic”, “randomized controlled trial”, “Drugs, Chinese Herbal”, and “Traditional Chinese Medicine”. The primary databases searched included PubMed , Embase database, Cochrane Library , China National Knowledge Infrastructure (CNKI) , Chinese Biomedical Literature Database (CBM) , Wangfang Data , and China Science and Technology Journal Database (VIP) . All search results were downloaded and imported into EndNote X9.1 for literature management.</w:t>
            </w:r>
          </w:p>
          <w:p>
            <w:pPr>
              <w:pStyle w:val="8"/>
              <w:rPr>
                <w:rFonts w:hint="eastAsia" w:ascii="Times New Roman" w:hAnsi="Times New Roman" w:cs="Times New Roman"/>
                <w:lang w:val="en-US" w:eastAsia="de-DE"/>
              </w:rPr>
            </w:pPr>
          </w:p>
          <w:p>
            <w:pPr>
              <w:pStyle w:val="8"/>
              <w:rPr>
                <w:rFonts w:hint="eastAsia" w:ascii="Times New Roman" w:hAnsi="Times New Roman" w:cs="Times New Roman"/>
                <w:lang w:val="en-US" w:eastAsia="de-DE"/>
              </w:rPr>
            </w:pPr>
            <w:r>
              <w:rPr>
                <w:rFonts w:hint="eastAsia" w:ascii="Times New Roman" w:hAnsi="Times New Roman" w:cs="Times New Roman"/>
                <w:lang w:val="en-US" w:eastAsia="de-DE"/>
              </w:rPr>
              <w:t>Our literature exclusion criteria were established as follows: 1) studies not utilizing a randomized controlled trial design, 2) studies not related to chronic atrophic gastritis, 3) animal experiments, 4) literature reviews, and 5) studies without access to the original text. The included literature needed to meet the following criteria: 1) the experimental group received traditional Chinese medicine in addition to Omeprazole, Amoxicillin, and Clarithromycin, while the control group only received Western medicine (Omeprazole, Amoxicillin, and Clarithromycin), 2) the treatment duration was no less than 7 days, 3) all studies were original and had not been previously published, 4) all participants were aged 18 and above, and 5) a minimum Jadad score of three was obtained. The first round of screening was performed by two researchers based on the titles and abstracts of the literature, while the second round of screening required a full-text review. This study included the intersection of literature selected by the two clinical researchers, and in cases of substantial controversy, the judgment was deferred to a third clinical physician.</w:t>
            </w:r>
          </w:p>
          <w:p>
            <w:pPr>
              <w:spacing w:after="0" w:line="240" w:lineRule="auto"/>
              <w:rPr>
                <w:rFonts w:hint="eastAsia" w:eastAsia="Times New Roman" w:cstheme="minorHAnsi"/>
                <w:color w:val="333333"/>
                <w:sz w:val="24"/>
                <w:szCs w:val="24"/>
                <w:lang w:val="en-US" w:eastAsia="de-DE"/>
              </w:rPr>
            </w:pPr>
          </w:p>
          <w:p>
            <w:pPr>
              <w:spacing w:after="0" w:line="240" w:lineRule="auto"/>
              <w:rPr>
                <w:rFonts w:eastAsia="Times New Roman" w:cstheme="minorHAnsi"/>
                <w:color w:val="333333"/>
                <w:sz w:val="24"/>
                <w:szCs w:val="24"/>
                <w:lang w:val="en-US" w:eastAsia="de-DE"/>
              </w:rPr>
            </w:pPr>
            <w:r>
              <w:rPr>
                <w:rFonts w:hint="eastAsia" w:ascii="Times New Roman" w:hAnsi="Times New Roman" w:cs="Times New Roman" w:eastAsiaTheme="minorEastAsia"/>
                <w:kern w:val="2"/>
                <w:sz w:val="21"/>
                <w:szCs w:val="22"/>
                <w:lang w:val="en-US" w:eastAsia="de-DE" w:bidi="ar-SA"/>
              </w:rPr>
              <w:t>Two researchers will be assigned to independently extract data for reporting, including the following information: primary author name, publication date, sample size (control/experimental group), gender (male/female), age (mean ± standard deviation), disease duration (mean ± standard deviation), intervention measures, treatment duration, formulation names, Chinese herbal prescriptions, outcome measures, efficacy indicators, adverse reactions, and Jadad scores. Consistency in data collection will be ensured, and any discrepancies will be resolved through verification of the original text or third-party adjudication. We will utilize the Jadad scale and the Cochrane Collaboration tool  to assess the risk of bias in the included literature. The Jadad score primarily evaluates random sequence production, allocation concealment, blinding method, and withdrawals. The Cochrane Collaboration tool assesses randomization methods, allocation concealment, blinding, completeness of outcome data, selective reporting of study results, and other sources of bias.</w:t>
            </w:r>
          </w:p>
          <w:p>
            <w:pPr>
              <w:spacing w:after="0" w:line="240" w:lineRule="auto"/>
              <w:rPr>
                <w:rFonts w:eastAsia="Times New Roman" w:cstheme="minorHAnsi"/>
                <w:color w:val="333333"/>
                <w:sz w:val="24"/>
                <w:szCs w:val="24"/>
                <w:lang w:val="en-US" w:eastAsia="de-DE"/>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97"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8</w:t>
            </w:r>
          </w:p>
        </w:tc>
        <w:tc>
          <w:tcPr>
            <w:tcW w:w="8674" w:type="dxa"/>
          </w:tcPr>
          <w:p>
            <w:pPr>
              <w:spacing w:after="0" w:line="240" w:lineRule="auto"/>
              <w:rPr>
                <w:rFonts w:eastAsia="Times New Roman" w:cstheme="minorHAnsi"/>
                <w:color w:val="333333"/>
                <w:sz w:val="24"/>
                <w:szCs w:val="24"/>
                <w:lang w:val="en-US" w:eastAsia="de-DE"/>
              </w:rPr>
            </w:pPr>
            <w:r>
              <w:rPr>
                <w:rFonts w:eastAsia="Times New Roman" w:cstheme="minorHAnsi"/>
                <w:color w:val="333333"/>
                <w:sz w:val="24"/>
                <w:szCs w:val="24"/>
                <w:lang w:val="en-US" w:eastAsia="de-DE"/>
              </w:rPr>
              <w:t xml:space="preserve">Give a brief description of the limitations of the meta-analysis, if applicable accompanied by an explanation why the meta-analysis is considered as valid despite the respective limitation. </w:t>
            </w:r>
          </w:p>
          <w:p>
            <w:pPr>
              <w:spacing w:after="0" w:line="240" w:lineRule="auto"/>
              <w:rPr>
                <w:rFonts w:eastAsia="Times New Roman" w:cstheme="minorHAnsi"/>
                <w:color w:val="333333"/>
                <w:sz w:val="24"/>
                <w:szCs w:val="24"/>
                <w:lang w:val="en-US" w:eastAsia="de-DE"/>
              </w:rPr>
            </w:pPr>
          </w:p>
          <w:p>
            <w:pPr>
              <w:pStyle w:val="8"/>
              <w:rPr>
                <w:rFonts w:ascii="Times New Roman" w:hAnsi="Times New Roman" w:cs="Times New Roman"/>
              </w:rPr>
            </w:pPr>
            <w:r>
              <w:rPr>
                <w:rFonts w:ascii="Times New Roman" w:hAnsi="Times New Roman" w:cs="Times New Roman"/>
              </w:rPr>
              <w:t>However, it must be acknowledged that the aforementioned meta-analyses have certain limitations: Firstly, due to considerations of medication costs, the inclusion of studies may have exhibited poor methodological quality, with few experiments mentioning double-blinding. Secondly, there may be reporting bias due to inconsistent age distribution and disease duration among patients. Finally, CAG falls within the realm of chronic diseases, yet the intervention duration of the studies included is less than three months, making the treatment and follow-up periods insufficient to observe long-term clinical effects of intervention.</w:t>
            </w:r>
          </w:p>
          <w:p>
            <w:pPr>
              <w:spacing w:after="0" w:line="240" w:lineRule="auto"/>
              <w:rPr>
                <w:rFonts w:eastAsia="Times New Roman" w:cstheme="minorHAnsi"/>
                <w:color w:val="333333"/>
                <w:sz w:val="24"/>
                <w:szCs w:val="24"/>
                <w:lang w:val="en-US" w:eastAsia="de-DE"/>
              </w:rPr>
            </w:pPr>
          </w:p>
        </w:tc>
      </w:tr>
    </w:tbl>
    <w:p>
      <w:pPr>
        <w:rPr>
          <w:rFonts w:cstheme="minorHAnsi"/>
          <w:sz w:val="24"/>
          <w:szCs w:val="24"/>
          <w:lang w:val="en-US"/>
        </w:rPr>
      </w:pPr>
    </w:p>
    <w:sectPr>
      <w:pgSz w:w="11906" w:h="16838"/>
      <w:pgMar w:top="1417" w:right="1417" w:bottom="1134"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swiss"/>
    <w:pitch w:val="default"/>
    <w:sig w:usb0="E4002EFF" w:usb1="C000E47F" w:usb2="00000009" w:usb3="00000000" w:csb0="200001FF" w:csb1="00000000"/>
  </w:font>
  <w:font w:name="MS Gothic">
    <w:panose1 w:val="020B0609070205080204"/>
    <w:charset w:val="80"/>
    <w:family w:val="modern"/>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suppressBottomSpacing/>
    <w:suppressTopSpacing/>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lkMWZkMjVlYzU4OGIwMjdiMjFkYjZlYTQyZmI4OTAifQ=="/>
  </w:docVars>
  <w:rsids>
    <w:rsidRoot w:val="00CE2C42"/>
    <w:rsid w:val="002E4C43"/>
    <w:rsid w:val="002F5D2E"/>
    <w:rsid w:val="00452281"/>
    <w:rsid w:val="005658C8"/>
    <w:rsid w:val="006D385F"/>
    <w:rsid w:val="00766944"/>
    <w:rsid w:val="007C63AC"/>
    <w:rsid w:val="00917495"/>
    <w:rsid w:val="00963968"/>
    <w:rsid w:val="009A7605"/>
    <w:rsid w:val="00BD330B"/>
    <w:rsid w:val="00BE2095"/>
    <w:rsid w:val="00CE2C42"/>
    <w:rsid w:val="00E41128"/>
    <w:rsid w:val="00F105F8"/>
    <w:rsid w:val="03404493"/>
    <w:rsid w:val="05512C1C"/>
    <w:rsid w:val="057B7A05"/>
    <w:rsid w:val="0B1C57E6"/>
    <w:rsid w:val="0D9C676A"/>
    <w:rsid w:val="0FCB1589"/>
    <w:rsid w:val="120A53F4"/>
    <w:rsid w:val="4000052B"/>
    <w:rsid w:val="46DC584E"/>
    <w:rsid w:val="481D7ECC"/>
    <w:rsid w:val="5BD1304B"/>
    <w:rsid w:val="5CF54B1C"/>
    <w:rsid w:val="5EFD5F0A"/>
    <w:rsid w:val="5FA647F3"/>
    <w:rsid w:val="65EF4235"/>
    <w:rsid w:val="70F9762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de-DE" w:eastAsia="en-US"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line number"/>
    <w:basedOn w:val="4"/>
    <w:semiHidden/>
    <w:unhideWhenUsed/>
    <w:qFormat/>
    <w:uiPriority w:val="99"/>
  </w:style>
  <w:style w:type="paragraph" w:styleId="6">
    <w:name w:val="List Paragraph"/>
    <w:basedOn w:val="1"/>
    <w:qFormat/>
    <w:uiPriority w:val="34"/>
    <w:pPr>
      <w:ind w:left="720"/>
      <w:contextualSpacing/>
    </w:pPr>
  </w:style>
  <w:style w:type="character" w:styleId="7">
    <w:name w:val="Placeholder Text"/>
    <w:basedOn w:val="4"/>
    <w:semiHidden/>
    <w:qFormat/>
    <w:uiPriority w:val="99"/>
    <w:rPr>
      <w:color w:val="808080"/>
    </w:rPr>
  </w:style>
  <w:style w:type="paragraph" w:styleId="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1415</Words>
  <Characters>8199</Characters>
  <Lines>43</Lines>
  <Paragraphs>12</Paragraphs>
  <TotalTime>59</TotalTime>
  <ScaleCrop>false</ScaleCrop>
  <LinksUpToDate>false</LinksUpToDate>
  <CharactersWithSpaces>9577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2022-01-26T12:51:00Z</dcterms:created>
  <dc:creator>Uwe Fuhr</dc:creator>
  <cp:lastModifiedBy>Admin</cp:lastModifiedBy>
  <dcterms:modified xsi:type="dcterms:W3CDTF">2023-07-03T15:13:10Z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97AB7A9871E5497884522C6A047875D0_12</vt:lpwstr>
  </property>
</Properties>
</file>