
<file path=[Content_Types].xml><?xml version="1.0" encoding="utf-8"?>
<Types xmlns="http://schemas.openxmlformats.org/package/2006/content-types">
  <Default Extension="png" ContentType="image/png"/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</w:pPr>
      <w:bookmarkStart w:id="0" w:name="OLE_LINK3"/>
      <w:r>
        <w:rPr>
          <w:rFonts w:hint="default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"/>
        </w:rPr>
        <w:t>Supplementary Materials</w:t>
      </w:r>
      <w:bookmarkEnd w:id="0"/>
      <w:r>
        <w:rPr>
          <w:rFonts w:hint="default" w:ascii="Times New Roman" w:hAnsi="Times New Roman" w:eastAsia="宋体" w:cs="Times New Roman"/>
          <w:color w:val="000000"/>
          <w:kern w:val="0"/>
          <w:sz w:val="36"/>
          <w:szCs w:val="36"/>
          <w:lang w:val="en-US" w:eastAsia="zh-CN" w:bidi="ar"/>
        </w:rPr>
        <w:t xml:space="preserve"> for</w:t>
      </w:r>
    </w:p>
    <w:p>
      <w:pPr>
        <w:jc w:val="center"/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B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lockade of O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X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40/O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>X</w:t>
      </w:r>
      <w:r>
        <w:rPr>
          <w:rFonts w:hint="default" w:ascii="Times New Roman" w:hAnsi="Times New Roman" w:cs="Times New Roman"/>
          <w:b w:val="0"/>
          <w:bCs w:val="0"/>
          <w:sz w:val="28"/>
          <w:szCs w:val="28"/>
          <w:lang w:val="en-US" w:eastAsia="zh-CN"/>
        </w:rPr>
        <w:t>40L signaling using</w:t>
      </w:r>
      <w:r>
        <w:rPr>
          <w:rFonts w:hint="eastAsia" w:ascii="Times New Roman" w:hAnsi="Times New Roman" w:cs="Times New Roman"/>
          <w:b w:val="0"/>
          <w:bCs w:val="0"/>
          <w:sz w:val="28"/>
          <w:szCs w:val="28"/>
          <w:lang w:val="en-US" w:eastAsia="zh-CN"/>
        </w:rPr>
        <w:t xml:space="preserve"> anti-OX40L delays disease progression in murine lupus</w:t>
      </w:r>
    </w:p>
    <w:p>
      <w:pP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b/>
          <w:bCs/>
          <w:sz w:val="28"/>
          <w:szCs w:val="28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sz w:val="28"/>
          <w:szCs w:val="28"/>
          <w:lang w:val="en-US" w:eastAsia="zh-CN"/>
        </w:rPr>
        <w:t>Graphical Abstract</w:t>
      </w:r>
    </w:p>
    <w:p/>
    <w:p>
      <w:r>
        <w:drawing>
          <wp:inline distT="0" distB="0" distL="114300" distR="114300">
            <wp:extent cx="5262245" cy="3444240"/>
            <wp:effectExtent l="0" t="0" r="1079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44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/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</w:rPr>
        <w:t>Upregulation of OX40 on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>Tfh cells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1"/>
          <w:szCs w:val="21"/>
        </w:rPr>
        <w:t xml:space="preserve">promotes their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contact with OX40L-expressing GC B.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Activation of OX40/OX40L signaling promotes B cell differentiation and antibody production.</w:t>
      </w:r>
    </w:p>
    <w:p>
      <w:pPr>
        <w:numPr>
          <w:ilvl w:val="0"/>
          <w:numId w:val="1"/>
        </w:numPr>
        <w:spacing w:line="360" w:lineRule="auto"/>
        <w:ind w:left="420" w:leftChars="0" w:hanging="420" w:firstLineChars="0"/>
        <w:rPr>
          <w:rFonts w:hint="default" w:ascii="Times New Roman" w:hAnsi="Times New Roman" w:cs="Times New Roman"/>
          <w:sz w:val="21"/>
          <w:szCs w:val="21"/>
          <w:lang w:val="en-US" w:eastAsia="zh-CN"/>
        </w:rPr>
      </w:pP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Blocking OX40/OX40L signaling inhibit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s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ASCs differentiation and 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>antibody production through the up-regulation of SPI-B, IRF8, and PAX5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, and down-regulation of Xbp-1</w:t>
      </w:r>
      <w:r>
        <w:rPr>
          <w:rFonts w:hint="default" w:ascii="Times New Roman" w:hAnsi="Times New Roman" w:cs="Times New Roman"/>
          <w:sz w:val="21"/>
          <w:szCs w:val="21"/>
          <w:lang w:val="en-US" w:eastAsia="zh-CN"/>
        </w:rPr>
        <w:t xml:space="preserve"> in B cells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and delays lupus progress.</w:t>
      </w:r>
    </w:p>
    <w:p>
      <w:r>
        <w:rPr>
          <w:rFonts w:hint="eastAsia"/>
          <w:lang w:val="en-US" w:eastAsia="zh-CN"/>
        </w:rPr>
        <w:t xml:space="preserve"> 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-132080</wp:posOffset>
            </wp:positionV>
            <wp:extent cx="5353685" cy="6297295"/>
            <wp:effectExtent l="0" t="0" r="10795" b="12065"/>
            <wp:wrapNone/>
            <wp:docPr id="2" name="图片 2" descr="C:\Users\Junpeng\Desktop\ANTI-OX40L-修改\Anti-OX40L-治疗SLE文章-figure-2023-5-29_07.tifAnti-OX40L-治疗SLE文章-figure-2023-5-29_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Junpeng\Desktop\ANTI-OX40L-修改\Anti-OX40L-治疗SLE文章-figure-2023-5-29_07.tifAnti-OX40L-治疗SLE文章-figure-2023-5-29_07"/>
                    <pic:cNvPicPr>
                      <a:picLocks noChangeAspect="1"/>
                    </pic:cNvPicPr>
                  </pic:nvPicPr>
                  <pic:blipFill>
                    <a:blip r:embed="rId5"/>
                    <a:srcRect l="3108" t="11490" r="1813" b="11078"/>
                    <a:stretch>
                      <a:fillRect/>
                    </a:stretch>
                  </pic:blipFill>
                  <pic:spPr>
                    <a:xfrm>
                      <a:off x="0" y="0"/>
                      <a:ext cx="5353685" cy="6297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spacing w:line="360" w:lineRule="auto"/>
        <w:rPr>
          <w:sz w:val="21"/>
          <w:szCs w:val="21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>Supplementary Fig 1. Anti-OX40L-mediated response of splenic immune cells in MRL/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l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pr mice.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bidi="ar"/>
        </w:rPr>
        <w:t>a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Representative flow cytometry diagrams and statistical analysis of the percentages of CD4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vertAlign w:val="superscript"/>
          <w:lang w:bidi="ar"/>
        </w:rPr>
        <w:t>+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cells, CD8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vertAlign w:val="superscript"/>
          <w:lang w:bidi="ar"/>
        </w:rPr>
        <w:t>+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cells, CD4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vertAlign w:val="superscript"/>
          <w:lang w:bidi="ar"/>
        </w:rPr>
        <w:t>+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TCM cells, CD4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vertAlign w:val="superscript"/>
          <w:lang w:bidi="ar"/>
        </w:rPr>
        <w:t>+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TEM cells, CD4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vertAlign w:val="superscript"/>
          <w:lang w:bidi="ar"/>
        </w:rPr>
        <w:t>+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TEMR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A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cells, CD8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vertAlign w:val="superscript"/>
          <w:lang w:bidi="ar"/>
        </w:rPr>
        <w:t>+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TCM cells, CD8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vertAlign w:val="superscript"/>
          <w:lang w:bidi="ar"/>
        </w:rPr>
        <w:t>+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TEM cells, and CD8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vertAlign w:val="superscript"/>
          <w:lang w:bidi="ar"/>
        </w:rPr>
        <w:t>+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TEMR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val="en-US" w:eastAsia="zh-CN" w:bidi="ar"/>
        </w:rPr>
        <w:t>A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cells </w:t>
      </w:r>
      <w:r>
        <w:rPr>
          <w:rFonts w:ascii="Times New Roman" w:hAnsi="Times New Roman" w:cs="Times New Roman"/>
          <w:sz w:val="21"/>
          <w:szCs w:val="21"/>
        </w:rPr>
        <w:t>in the spleens of the</w:t>
      </w:r>
      <w:r>
        <w:rPr>
          <w:rFonts w:hint="eastAsia" w:ascii="Times New Roman" w:hAnsi="Times New Roman" w:cs="Times New Roman"/>
          <w:sz w:val="21"/>
          <w:szCs w:val="21"/>
        </w:rPr>
        <w:t xml:space="preserve"> MRL/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l</w:t>
      </w:r>
      <w:r>
        <w:rPr>
          <w:rFonts w:hint="eastAsia" w:ascii="Times New Roman" w:hAnsi="Times New Roman" w:cs="Times New Roman"/>
          <w:sz w:val="21"/>
          <w:szCs w:val="21"/>
        </w:rPr>
        <w:t>pr mice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. 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(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bidi="ar"/>
        </w:rPr>
        <w:t>b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0"/>
          <w:sz w:val="21"/>
          <w:szCs w:val="21"/>
          <w:lang w:val="en-US" w:eastAsia="zh-CN" w:bidi="ar"/>
        </w:rPr>
        <w:t>)</w:t>
      </w: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 Representative flow cytometry diagrams and statistical analysis of the percentages of </w:t>
      </w:r>
      <w:r>
        <w:rPr>
          <w:rFonts w:ascii="Times New Roman" w:hAnsi="Times New Roman" w:cs="Times New Roman"/>
          <w:sz w:val="21"/>
          <w:szCs w:val="21"/>
        </w:rPr>
        <w:t>naïve B cells, memory B cells, GC B cells,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plasmablast cells, plasma cells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in the spleens of the</w:t>
      </w:r>
      <w:r>
        <w:rPr>
          <w:rFonts w:hint="eastAsia" w:ascii="Times New Roman" w:hAnsi="Times New Roman" w:cs="Times New Roman"/>
          <w:sz w:val="21"/>
          <w:szCs w:val="21"/>
        </w:rPr>
        <w:t xml:space="preserve"> MRL/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>l</w:t>
      </w:r>
      <w:r>
        <w:rPr>
          <w:rFonts w:hint="eastAsia" w:ascii="Times New Roman" w:hAnsi="Times New Roman" w:cs="Times New Roman"/>
          <w:sz w:val="21"/>
          <w:szCs w:val="21"/>
        </w:rPr>
        <w:t xml:space="preserve">pr mice. </w:t>
      </w:r>
      <w:r>
        <w:rPr>
          <w:rFonts w:ascii="Times New Roman" w:hAnsi="Times New Roman" w:cs="Times New Roman"/>
          <w:sz w:val="21"/>
          <w:szCs w:val="21"/>
        </w:rPr>
        <w:t>Horizontal bars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represent the mean ± SEM. </w:t>
      </w:r>
      <w:r>
        <w:rPr>
          <w:rFonts w:hint="eastAsia" w:ascii="Times New Roman" w:hAnsi="Times New Roman" w:cs="Times New Roman"/>
        </w:rPr>
        <w:t>n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11 in MRL/</w:t>
      </w:r>
      <w:r>
        <w:rPr>
          <w:rFonts w:hint="eastAsia" w:ascii="Times New Roman" w:hAnsi="Times New Roman" w:cs="Times New Roman"/>
          <w:lang w:val="en-US" w:eastAsia="zh-CN"/>
        </w:rPr>
        <w:t>l</w:t>
      </w:r>
      <w:r>
        <w:rPr>
          <w:rFonts w:hint="eastAsia" w:ascii="Times New Roman" w:hAnsi="Times New Roman" w:cs="Times New Roman"/>
        </w:rPr>
        <w:t>pr group (4 mice died); n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10 in MRL/Lpr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+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CTX treated group (1 mouse died);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n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11 in MRL/</w:t>
      </w:r>
      <w:r>
        <w:rPr>
          <w:rFonts w:hint="eastAsia" w:ascii="Times New Roman" w:hAnsi="Times New Roman" w:cs="Times New Roman"/>
          <w:lang w:val="en-US" w:eastAsia="zh-CN"/>
        </w:rPr>
        <w:t>l</w:t>
      </w:r>
      <w:r>
        <w:rPr>
          <w:rFonts w:hint="eastAsia" w:ascii="Times New Roman" w:hAnsi="Times New Roman" w:cs="Times New Roman"/>
        </w:rPr>
        <w:t>pr+Anti-OX40L treated group (2 mice died).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0.05, **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0.01, ***</w:t>
      </w:r>
      <w:bookmarkStart w:id="1" w:name="OLE_LINK1"/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</w:t>
      </w:r>
      <w:bookmarkEnd w:id="1"/>
      <w:r>
        <w:rPr>
          <w:rFonts w:ascii="Times New Roman" w:hAnsi="Times New Roman" w:cs="Times New Roman"/>
          <w:sz w:val="21"/>
          <w:szCs w:val="21"/>
        </w:rPr>
        <w:t>0.00</w:t>
      </w:r>
      <w:r>
        <w:rPr>
          <w:rFonts w:hint="eastAsia" w:ascii="Times New Roman" w:hAnsi="Times New Roman" w:cs="Times New Roman"/>
          <w:sz w:val="21"/>
          <w:szCs w:val="21"/>
        </w:rPr>
        <w:t>1</w:t>
      </w:r>
      <w:r>
        <w:rPr>
          <w:rFonts w:ascii="Times New Roman" w:hAnsi="Times New Roman" w:cs="Times New Roman"/>
          <w:sz w:val="21"/>
          <w:szCs w:val="21"/>
        </w:rPr>
        <w:t>, ****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0.00</w:t>
      </w:r>
      <w:r>
        <w:rPr>
          <w:rFonts w:hint="eastAsia" w:ascii="Times New Roman" w:hAnsi="Times New Roman" w:cs="Times New Roman"/>
          <w:sz w:val="21"/>
          <w:szCs w:val="21"/>
        </w:rPr>
        <w:t>01</w:t>
      </w:r>
      <w:r>
        <w:rPr>
          <w:rFonts w:ascii="Times New Roman" w:hAnsi="Times New Roman" w:cs="Times New Roman"/>
          <w:sz w:val="21"/>
          <w:szCs w:val="21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-239395</wp:posOffset>
            </wp:positionH>
            <wp:positionV relativeFrom="paragraph">
              <wp:posOffset>194310</wp:posOffset>
            </wp:positionV>
            <wp:extent cx="5850255" cy="4700270"/>
            <wp:effectExtent l="0" t="0" r="4445" b="11430"/>
            <wp:wrapNone/>
            <wp:docPr id="4" name="图片 4" descr="Anti-OX40L-治疗SLE文章-S-figure-2-2023-3-21_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nti-OX40L-治疗SLE文章-S-figure-2-2023-3-21_06"/>
                    <pic:cNvPicPr>
                      <a:picLocks noChangeAspect="1"/>
                    </pic:cNvPicPr>
                  </pic:nvPicPr>
                  <pic:blipFill>
                    <a:blip r:embed="rId6"/>
                    <a:srcRect t="16457" b="27912"/>
                    <a:stretch>
                      <a:fillRect/>
                    </a:stretch>
                  </pic:blipFill>
                  <pic:spPr>
                    <a:xfrm>
                      <a:off x="0" y="0"/>
                      <a:ext cx="5850255" cy="4700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spacing w:line="360" w:lineRule="auto"/>
        <w:rPr>
          <w:rFonts w:ascii="Times New Roman" w:hAnsi="Times New Roman" w:eastAsia="宋体" w:cs="Times New Roman"/>
          <w:color w:val="000000"/>
          <w:kern w:val="0"/>
          <w:sz w:val="21"/>
          <w:szCs w:val="21"/>
          <w:lang w:bidi="ar"/>
        </w:rPr>
      </w:pPr>
      <w:r>
        <w:rPr>
          <w:rFonts w:ascii="Times New Roman" w:hAnsi="Times New Roman" w:cs="Times New Roman"/>
          <w:sz w:val="21"/>
          <w:szCs w:val="21"/>
        </w:rPr>
        <w:t xml:space="preserve">Supplementary Fig 2. Anti-OX40L’s function in mRNA levels of pro-inflammatory cytokines 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(IL-1α, IL-1β, IL-6, IL-9,</w:t>
      </w:r>
      <w:r>
        <w:rPr>
          <w:rFonts w:hint="eastAsia" w:ascii="Times New Roman" w:hAnsi="Times New Roman" w:cs="Times New Roman"/>
          <w:sz w:val="21"/>
          <w:szCs w:val="21"/>
        </w:rPr>
        <w:t xml:space="preserve"> IL-17A, IFN-</w:t>
      </w:r>
      <w:r>
        <w:rPr>
          <w:rFonts w:ascii="Times New Roman" w:hAnsi="Times New Roman" w:cs="Times New Roman"/>
          <w:sz w:val="21"/>
          <w:szCs w:val="21"/>
        </w:rPr>
        <w:t>α</w:t>
      </w:r>
      <w:r>
        <w:rPr>
          <w:rFonts w:hint="eastAsia" w:ascii="Times New Roman" w:hAnsi="Times New Roman" w:cs="Times New Roman"/>
          <w:sz w:val="21"/>
          <w:szCs w:val="21"/>
        </w:rPr>
        <w:t>, TNF-</w:t>
      </w:r>
      <w:r>
        <w:rPr>
          <w:rFonts w:ascii="Times New Roman" w:hAnsi="Times New Roman" w:cs="Times New Roman"/>
          <w:sz w:val="21"/>
          <w:szCs w:val="21"/>
        </w:rPr>
        <w:t>α</w:t>
      </w:r>
      <w:r>
        <w:rPr>
          <w:rFonts w:hint="eastAsia" w:ascii="Times New Roman" w:hAnsi="Times New Roman" w:cs="Times New Roman"/>
          <w:sz w:val="21"/>
          <w:szCs w:val="21"/>
        </w:rPr>
        <w:t>, APRIL, BAFF</w:t>
      </w:r>
      <w:r>
        <w:rPr>
          <w:rFonts w:ascii="Times New Roman" w:hAnsi="Times New Roman" w:cs="Times New Roman"/>
          <w:sz w:val="21"/>
          <w:szCs w:val="21"/>
        </w:rPr>
        <w:t>), and marker</w:t>
      </w:r>
      <w:r>
        <w:rPr>
          <w:rFonts w:hint="eastAsia" w:ascii="Times New Roman" w:hAnsi="Times New Roman" w:cs="Times New Roman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of inflammatory cell</w:t>
      </w:r>
      <w:r>
        <w:rPr>
          <w:rFonts w:hint="eastAsia" w:ascii="Times New Roman" w:hAnsi="Times New Roman" w:cs="Times New Roman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(</w:t>
      </w:r>
      <w:r>
        <w:rPr>
          <w:rFonts w:hint="eastAsia" w:ascii="Times New Roman" w:hAnsi="Times New Roman" w:cs="Times New Roman"/>
          <w:sz w:val="21"/>
          <w:szCs w:val="21"/>
        </w:rPr>
        <w:t xml:space="preserve">BCMA, </w:t>
      </w:r>
      <w:r>
        <w:rPr>
          <w:rFonts w:ascii="Times New Roman" w:hAnsi="Times New Roman" w:cs="Times New Roman"/>
          <w:sz w:val="21"/>
          <w:szCs w:val="21"/>
        </w:rPr>
        <w:t>CD</w:t>
      </w:r>
      <w:r>
        <w:rPr>
          <w:rFonts w:hint="eastAsia" w:ascii="Times New Roman" w:hAnsi="Times New Roman" w:cs="Times New Roman"/>
          <w:sz w:val="21"/>
          <w:szCs w:val="21"/>
        </w:rPr>
        <w:t>4, CD8, CD11b, CD19, CD45, CD138</w:t>
      </w:r>
      <w:r>
        <w:rPr>
          <w:rFonts w:ascii="Times New Roman" w:hAnsi="Times New Roman" w:cs="Times New Roman"/>
          <w:sz w:val="21"/>
          <w:szCs w:val="21"/>
        </w:rPr>
        <w:t>)</w:t>
      </w:r>
      <w:r>
        <w:rPr>
          <w:rFonts w:hint="eastAsia" w:ascii="Times New Roman" w:hAnsi="Times New Roman" w:cs="Times New Roman"/>
          <w:sz w:val="21"/>
          <w:szCs w:val="21"/>
        </w:rPr>
        <w:t xml:space="preserve"> in the kidney of MRL/Lpr mice. </w:t>
      </w:r>
      <w:r>
        <w:rPr>
          <w:rFonts w:ascii="Times New Roman" w:hAnsi="Times New Roman" w:cs="Times New Roman"/>
          <w:sz w:val="21"/>
          <w:szCs w:val="21"/>
        </w:rPr>
        <w:t>Horizontal bars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represent the mean ± SEM. 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0.05</w:t>
      </w:r>
      <w:r>
        <w:rPr>
          <w:rFonts w:hint="eastAsia" w:ascii="Times New Roman" w:hAnsi="Times New Roman" w:cs="Times New Roman"/>
          <w:sz w:val="21"/>
          <w:szCs w:val="21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-25400</wp:posOffset>
            </wp:positionH>
            <wp:positionV relativeFrom="paragraph">
              <wp:posOffset>16510</wp:posOffset>
            </wp:positionV>
            <wp:extent cx="5230495" cy="3686810"/>
            <wp:effectExtent l="0" t="0" r="1905" b="8890"/>
            <wp:wrapNone/>
            <wp:docPr id="5" name="图片 5" descr="G:\赵俊鹏-博士研究生相关资料\OX40L课题备份-2023-2-12\Anti-OX40L-治疗SLE文章-S-figure-3-2023-3-21_09.tifAnti-OX40L-治疗SLE文章-S-figure-3-2023-3-21_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G:\赵俊鹏-博士研究生相关资料\OX40L课题备份-2023-2-12\Anti-OX40L-治疗SLE文章-S-figure-3-2023-3-21_09.tifAnti-OX40L-治疗SLE文章-S-figure-3-2023-3-21_09"/>
                    <pic:cNvPicPr>
                      <a:picLocks noChangeAspect="1"/>
                    </pic:cNvPicPr>
                  </pic:nvPicPr>
                  <pic:blipFill>
                    <a:blip r:embed="rId7"/>
                    <a:srcRect l="6858" t="12905" r="11340" b="47193"/>
                    <a:stretch>
                      <a:fillRect/>
                    </a:stretch>
                  </pic:blipFill>
                  <pic:spPr>
                    <a:xfrm>
                      <a:off x="0" y="0"/>
                      <a:ext cx="5230495" cy="3686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spacing w:line="360" w:lineRule="auto"/>
        <w:rPr>
          <w:rFonts w:ascii="Times New Roman" w:hAnsi="Times New Roman" w:eastAsia="宋体" w:cs="Times New Roman"/>
          <w:color w:val="000000"/>
          <w:kern w:val="0"/>
          <w:sz w:val="21"/>
          <w:szCs w:val="21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1"/>
          <w:szCs w:val="21"/>
          <w:lang w:bidi="ar"/>
        </w:rPr>
        <w:t xml:space="preserve">Supplementary Fig 3. </w:t>
      </w:r>
      <w:r>
        <w:rPr>
          <w:rFonts w:hint="eastAsia" w:ascii="Times New Roman" w:hAnsi="Times New Roman" w:cs="Times New Roman"/>
          <w:sz w:val="21"/>
          <w:szCs w:val="21"/>
        </w:rPr>
        <w:t>The KLH-induced response in a</w:t>
      </w:r>
      <w:r>
        <w:rPr>
          <w:rFonts w:ascii="Times New Roman" w:hAnsi="Times New Roman" w:cs="Times New Roman"/>
          <w:sz w:val="21"/>
          <w:szCs w:val="21"/>
        </w:rPr>
        <w:t>nti-OX40L</w:t>
      </w:r>
      <w:r>
        <w:rPr>
          <w:rFonts w:hint="eastAsia" w:ascii="Times New Roman" w:hAnsi="Times New Roman" w:cs="Times New Roman"/>
          <w:sz w:val="21"/>
          <w:szCs w:val="21"/>
        </w:rPr>
        <w:t xml:space="preserve"> treated mice. </w:t>
      </w:r>
      <w:r>
        <w:rPr>
          <w:rFonts w:ascii="Times New Roman" w:hAnsi="Times New Roman" w:cs="Times New Roman"/>
          <w:sz w:val="21"/>
          <w:szCs w:val="21"/>
        </w:rPr>
        <w:t>Representative flow cytometry diagrams and statistical analysis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of the percentages of </w:t>
      </w:r>
      <w:r>
        <w:rPr>
          <w:rFonts w:hint="eastAsia" w:ascii="Times New Roman" w:hAnsi="Times New Roman" w:cs="Times New Roman"/>
          <w:sz w:val="21"/>
          <w:szCs w:val="21"/>
        </w:rPr>
        <w:t>CD4+ TCM cells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hint="eastAsia" w:ascii="Times New Roman" w:hAnsi="Times New Roman" w:cs="Times New Roman"/>
          <w:sz w:val="21"/>
          <w:szCs w:val="21"/>
        </w:rPr>
        <w:t xml:space="preserve">CD4+ TEM </w:t>
      </w:r>
      <w:r>
        <w:rPr>
          <w:rFonts w:ascii="Times New Roman" w:hAnsi="Times New Roman" w:cs="Times New Roman"/>
          <w:sz w:val="21"/>
          <w:szCs w:val="21"/>
        </w:rPr>
        <w:t>cells</w:t>
      </w:r>
      <w:r>
        <w:rPr>
          <w:rFonts w:hint="eastAsia" w:ascii="Times New Roman" w:hAnsi="Times New Roman" w:cs="Times New Roman"/>
          <w:sz w:val="21"/>
          <w:szCs w:val="21"/>
        </w:rPr>
        <w:t xml:space="preserve">, CD4+ TEMR </w:t>
      </w:r>
      <w:r>
        <w:rPr>
          <w:rFonts w:ascii="Times New Roman" w:hAnsi="Times New Roman" w:cs="Times New Roman"/>
          <w:sz w:val="21"/>
          <w:szCs w:val="21"/>
        </w:rPr>
        <w:t>cells</w:t>
      </w:r>
      <w:r>
        <w:rPr>
          <w:rFonts w:hint="eastAsia" w:ascii="Times New Roman" w:hAnsi="Times New Roman" w:cs="Times New Roman"/>
          <w:sz w:val="21"/>
          <w:szCs w:val="21"/>
        </w:rPr>
        <w:t xml:space="preserve"> and Tfh cells </w:t>
      </w:r>
      <w:r>
        <w:rPr>
          <w:rFonts w:ascii="Times New Roman" w:hAnsi="Times New Roman" w:cs="Times New Roman"/>
          <w:sz w:val="21"/>
          <w:szCs w:val="21"/>
        </w:rPr>
        <w:t>in the spleens of the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C</w:t>
      </w:r>
      <w:r>
        <w:rPr>
          <w:rFonts w:hint="eastAsia" w:ascii="Times New Roman" w:hAnsi="Times New Roman" w:cs="Times New Roman"/>
          <w:sz w:val="21"/>
          <w:szCs w:val="21"/>
        </w:rPr>
        <w:t xml:space="preserve">57 </w:t>
      </w:r>
      <w:r>
        <w:rPr>
          <w:rFonts w:ascii="Times New Roman" w:hAnsi="Times New Roman" w:cs="Times New Roman"/>
          <w:sz w:val="21"/>
          <w:szCs w:val="21"/>
        </w:rPr>
        <w:t>mice.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Horizontal bars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represent the mean ± SEM.</w:t>
      </w:r>
      <w:r>
        <w:rPr>
          <w:rFonts w:hint="eastAsia" w:ascii="Times New Roman" w:hAnsi="Times New Roman" w:cs="Times New Roman"/>
          <w:sz w:val="21"/>
          <w:szCs w:val="21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lang w:val="en-US" w:eastAsia="zh-CN"/>
        </w:rPr>
        <w:t xml:space="preserve">n </w:t>
      </w:r>
      <w:r>
        <w:rPr>
          <w:rFonts w:hint="eastAsia" w:ascii="Times New Roman" w:hAnsi="Times New Roman" w:cs="Times New Roma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5 in C57 blank group</w:t>
      </w:r>
      <w:r>
        <w:rPr>
          <w:rFonts w:hint="eastAsia" w:ascii="Times New Roman" w:hAnsi="Times New Roman" w:cs="Times New Roman"/>
          <w:lang w:val="en-US" w:eastAsia="zh-CN"/>
        </w:rPr>
        <w:t xml:space="preserve"> (no KLH immunization)</w:t>
      </w:r>
      <w:r>
        <w:rPr>
          <w:rFonts w:hint="eastAsia" w:ascii="Times New Roman" w:hAnsi="Times New Roman" w:cs="Times New Roman"/>
        </w:rPr>
        <w:t>; n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</w:rPr>
        <w:t>=</w:t>
      </w:r>
      <w:r>
        <w:rPr>
          <w:rFonts w:hint="eastAsia" w:ascii="Times New Roman" w:hAnsi="Times New Roman" w:cs="Times New Roman"/>
          <w:lang w:val="en-US" w:eastAsia="zh-CN"/>
        </w:rPr>
        <w:t xml:space="preserve"> 7</w:t>
      </w:r>
      <w:r>
        <w:rPr>
          <w:rFonts w:hint="eastAsia" w:ascii="Times New Roman" w:hAnsi="Times New Roman" w:cs="Times New Roman"/>
        </w:rPr>
        <w:t xml:space="preserve"> in C57+KLH treated group;</w:t>
      </w:r>
      <w:r>
        <w:rPr>
          <w:rFonts w:ascii="Times New Roman" w:hAnsi="Times New Roman" w:cs="Times New Roman"/>
        </w:rPr>
        <w:t xml:space="preserve"> </w:t>
      </w:r>
      <w:r>
        <w:rPr>
          <w:rFonts w:hint="eastAsia" w:ascii="Times New Roman" w:hAnsi="Times New Roman" w:cs="Times New Roman"/>
        </w:rPr>
        <w:t>n=6 in C57+KLH+anti-OX40L treated group.</w:t>
      </w:r>
      <w:r>
        <w:rPr>
          <w:rFonts w:hint="eastAsia"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0.05, **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0.01, ***</w:t>
      </w:r>
      <w:r>
        <w:rPr>
          <w:rFonts w:ascii="Times New Roman" w:hAnsi="Times New Roman" w:cs="Times New Roman"/>
          <w:i/>
          <w:iCs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 &lt; 0.00</w:t>
      </w:r>
      <w:r>
        <w:rPr>
          <w:rFonts w:hint="eastAsia" w:ascii="Times New Roman" w:hAnsi="Times New Roman" w:cs="Times New Roman"/>
          <w:sz w:val="21"/>
          <w:szCs w:val="21"/>
        </w:rPr>
        <w:t>1</w:t>
      </w:r>
      <w:r>
        <w:rPr>
          <w:rFonts w:ascii="Times New Roman" w:hAnsi="Times New Roman" w:cs="Times New Roman"/>
          <w:sz w:val="21"/>
          <w:szCs w:val="21"/>
        </w:rPr>
        <w:t>.</w:t>
      </w: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</w:p>
    <w:p>
      <w:pPr>
        <w:widowControl/>
        <w:jc w:val="left"/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</w:pPr>
      <w:r>
        <w:rPr>
          <w:rFonts w:hint="eastAsia" w:ascii="Times New Roman" w:hAnsi="Times New Roman" w:eastAsia="宋体" w:cs="Times New Roman"/>
          <w:color w:val="000000"/>
          <w:kern w:val="0"/>
          <w:sz w:val="24"/>
          <w:lang w:bidi="ar"/>
        </w:rPr>
        <w:t>Supplementary Table 1</w:t>
      </w:r>
    </w:p>
    <w:p>
      <w:pPr>
        <w:widowControl/>
        <w:jc w:val="center"/>
      </w:pPr>
      <w:r>
        <w:rPr>
          <w:rFonts w:ascii="Times New Roman" w:hAnsi="Times New Roman" w:eastAsia="宋体" w:cs="Times New Roman"/>
          <w:color w:val="000000"/>
          <w:kern w:val="0"/>
          <w:sz w:val="24"/>
          <w:lang w:bidi="ar"/>
        </w:rPr>
        <w:t>Primers for qRT-PCR</w:t>
      </w:r>
    </w:p>
    <w:tbl>
      <w:tblPr>
        <w:tblStyle w:val="5"/>
        <w:tblpPr w:leftFromText="180" w:rightFromText="180" w:vertAnchor="text" w:tblpXSpec="center" w:tblpY="1"/>
        <w:tblOverlap w:val="never"/>
        <w:tblW w:w="8419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846"/>
        <w:gridCol w:w="1010"/>
        <w:gridCol w:w="5705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Species </w:t>
            </w:r>
          </w:p>
        </w:tc>
        <w:tc>
          <w:tcPr>
            <w:tcW w:w="846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Gene </w:t>
            </w:r>
          </w:p>
        </w:tc>
        <w:tc>
          <w:tcPr>
            <w:tcW w:w="1010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Direction</w:t>
            </w:r>
          </w:p>
        </w:tc>
        <w:tc>
          <w:tcPr>
            <w:tcW w:w="5705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Sequence (5’→3’)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  <w:tcBorders>
              <w:top w:val="single" w:color="auto" w:sz="4" w:space="0"/>
            </w:tcBorders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IL-1α</w:t>
            </w:r>
          </w:p>
        </w:tc>
        <w:tc>
          <w:tcPr>
            <w:tcW w:w="1010" w:type="dxa"/>
            <w:tcBorders>
              <w:top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tcBorders>
              <w:top w:val="single" w:color="auto" w:sz="4" w:space="0"/>
            </w:tcBorders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GCACCTTACACCTACCAGAGT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</w:tcPr>
          <w:p>
            <w:pPr>
              <w:widowControl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AAACTTCTGCCTGACGAGCTT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</w:t>
            </w:r>
            <w:r>
              <w:rPr>
                <w:rFonts w:hint="eastAsia" w:ascii="Times New Roman" w:hAnsi="Times New Roman" w:cs="Times New Roman"/>
              </w:rPr>
              <w:t>-</w:t>
            </w:r>
            <w:r>
              <w:rPr>
                <w:rFonts w:ascii="Times New Roman" w:hAnsi="Times New Roman" w:cs="Times New Roman"/>
              </w:rPr>
              <w:t>1β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TGGACCTTCCAGGATGAGGACA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GTTCATCTCGGAGCCTGTAGTG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IL-2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GTGCTCCTTGTCAACAGCG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GGGGAGTTTCAGGTTCCTGTA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</w:t>
            </w:r>
            <w:r>
              <w:rPr>
                <w:rFonts w:hint="eastAsia" w:ascii="Times New Roman" w:hAnsi="Times New Roman" w:cs="Times New Roman"/>
              </w:rPr>
              <w:t>4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GGTCTCAACCCCCAGCTAGT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GCCGATGATCTCTCTCAAGTGAT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IL-5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CTCTGTTGACAAGCAATGAGACG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TCTTCAGTATGTCTAGCCCCTG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</w:t>
            </w:r>
            <w:r>
              <w:rPr>
                <w:rFonts w:hint="eastAsia" w:ascii="Times New Roman" w:hAnsi="Times New Roman" w:cs="Times New Roman"/>
              </w:rPr>
              <w:t>6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CTGCAAGAGACTTCCATCCAG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AGTGGTATAGACAGGTCTGTTGG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</w:t>
            </w:r>
            <w:r>
              <w:rPr>
                <w:rFonts w:hint="eastAsia" w:ascii="Times New Roman" w:hAnsi="Times New Roman" w:cs="Times New Roman"/>
              </w:rPr>
              <w:t>9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ATGTTGGTGACATACATCCTTGC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TGACGGTGGATCATCCTTCAG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</w:t>
            </w:r>
            <w:r>
              <w:rPr>
                <w:rFonts w:hint="eastAsia" w:ascii="Times New Roman" w:hAnsi="Times New Roman" w:cs="Times New Roman"/>
              </w:rPr>
              <w:t>13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AGACCAGACTCCCCTGTGCA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TGGGTCCTGTAGATGGCATTG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</w:t>
            </w:r>
            <w:r>
              <w:rPr>
                <w:rFonts w:hint="eastAsia" w:ascii="Times New Roman" w:hAnsi="Times New Roman" w:cs="Times New Roman"/>
              </w:rPr>
              <w:t>17A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TCCAGAAGGCCCTCAGACTA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CTCGACCCTGAAAGTGAAGG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IL-</w:t>
            </w:r>
            <w:r>
              <w:rPr>
                <w:rFonts w:hint="eastAsia" w:ascii="Times New Roman" w:hAnsi="Times New Roman" w:cs="Times New Roman"/>
              </w:rPr>
              <w:t>21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GGACCCTTGTCTGTCTGGTAG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TGTGGAGCTGATAGAAGTTCAGG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TNF-α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CCTGTAGCCCACGTCGTAG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GGGAGTAGACAAGGTACAACCC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IFN-α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ATGAACGCTACACACTGCATC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CCATCCTTTTGCCAGTTCCTC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IFN-β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CAGCTCCAAGAAAGGACGAAC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GGCAGTGTAACTCTTCTGCAT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IFN-γ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ATGAACGCTACACACTGCATC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CCATCCTTTTGCCAGTTCCTC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BAFF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ACACTGCCCAACAATTCCTG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TCGTCTCCGTTGCGTGAAATC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APRIL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CTTTCGGTTGCTCTTTGGTTG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CGACAGCACAAGTCACAGC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CCL2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</w:tcPr>
          <w:p>
            <w:pPr>
              <w:widowControl/>
              <w:jc w:val="left"/>
              <w:textAlignment w:val="top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CAGCCAGATGCAATCAATGCC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TGGAATCCTGAACCCACTTCT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CCL</w:t>
            </w:r>
            <w:r>
              <w:rPr>
                <w:rFonts w:hint="eastAsia" w:ascii="Times New Roman" w:hAnsi="Times New Roman" w:cs="Times New Roman"/>
              </w:rPr>
              <w:t>7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GCTGCTTTCAGCATCCAAGTG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CCAGGGACACCGACTACTG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CCL</w:t>
            </w:r>
            <w:r>
              <w:rPr>
                <w:rFonts w:hint="eastAsia" w:ascii="Times New Roman" w:hAnsi="Times New Roman" w:cs="Times New Roman"/>
              </w:rPr>
              <w:t>8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TCTACGCAGTGCTTCTTTGCC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AAGGGGGATCTTCAGCTTTAGTA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CD3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ATGCGGTGGAACACTTTCTGG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GCACGTCAACTCTACACTGGT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8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846" w:type="dxa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CD4</w:t>
            </w:r>
          </w:p>
        </w:tc>
        <w:tc>
          <w:tcPr>
            <w:tcW w:w="1010" w:type="dxa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TCCTAGCTGTCACTCAAGGGA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TCAGAGAACTTCCAGGTGAAGA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</w:t>
            </w:r>
            <w:r>
              <w:rPr>
                <w:rFonts w:hint="eastAsia" w:ascii="Times New Roman" w:hAnsi="Times New Roman" w:cs="Times New Roman"/>
              </w:rPr>
              <w:t>8</w:t>
            </w: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CCGTTGACCCGCTTTCTGT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CGGCGTCCATTTTCTTTGGAA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CD11b</w:t>
            </w: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ATGGACGCTGATGGCAATACC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TCCCCATTCACGTCTCCCA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CD19</w:t>
            </w: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GGAGGCAATGTTGTGCTGC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ACAATCACTAGCAAGATGCCC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CD45</w:t>
            </w: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ATGGTCCTCTGAATAAAGCCCA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TCAGCACTATTGGTAGGCTCC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CD138</w:t>
            </w: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CTTTGTCACGGCAGACACCTT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GACAGAGGTAAAAGCAGTCTCG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BCMA</w:t>
            </w: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GCGCAACAGTGTTTCCACAG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CGCTTGGATCACAGTAAGGCT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Mouse</w:t>
            </w: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β-actin</w:t>
            </w: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Former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GTGACGTTGACATCCGTAAAGA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lang w:bidi="ar"/>
              </w:rPr>
              <w:t>Reverse</w:t>
            </w:r>
          </w:p>
        </w:tc>
        <w:tc>
          <w:tcPr>
            <w:tcW w:w="5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szCs w:val="22"/>
                <w:lang w:bidi="ar"/>
              </w:rPr>
              <w:t>GCCGGACTCATCGTACTCC</w:t>
            </w:r>
          </w:p>
        </w:tc>
      </w:tr>
    </w:tbl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5E913"/>
    <w:multiLevelType w:val="singleLevel"/>
    <w:tmpl w:val="8765E913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U4NDRkOWEzZjdlNjc4NmRlOWYyNGVmYTY4MDJhZjAifQ=="/>
  </w:docVars>
  <w:rsids>
    <w:rsidRoot w:val="62BA4F4E"/>
    <w:rsid w:val="00372EB2"/>
    <w:rsid w:val="00DC5419"/>
    <w:rsid w:val="067B3F3D"/>
    <w:rsid w:val="08F4583C"/>
    <w:rsid w:val="09D90022"/>
    <w:rsid w:val="11D32976"/>
    <w:rsid w:val="156F29B6"/>
    <w:rsid w:val="159B7C4F"/>
    <w:rsid w:val="20C75D9C"/>
    <w:rsid w:val="275733AC"/>
    <w:rsid w:val="3BA02E44"/>
    <w:rsid w:val="3F7722E4"/>
    <w:rsid w:val="40526FD9"/>
    <w:rsid w:val="4F7D7A4D"/>
    <w:rsid w:val="53732C3B"/>
    <w:rsid w:val="62BA4F4E"/>
    <w:rsid w:val="66192260"/>
    <w:rsid w:val="669C06FE"/>
    <w:rsid w:val="68AD3502"/>
    <w:rsid w:val="72EF2DFC"/>
    <w:rsid w:val="76C75323"/>
    <w:rsid w:val="7B1B4287"/>
    <w:rsid w:val="7CC92DFC"/>
    <w:rsid w:val="7F89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9"/>
    <w:qFormat/>
    <w:uiPriority w:val="0"/>
    <w:pPr>
      <w:jc w:val="left"/>
    </w:pPr>
  </w:style>
  <w:style w:type="paragraph" w:styleId="3">
    <w:name w:val="annotation subject"/>
    <w:basedOn w:val="2"/>
    <w:next w:val="2"/>
    <w:link w:val="10"/>
    <w:qFormat/>
    <w:uiPriority w:val="0"/>
    <w:rPr>
      <w:b/>
      <w:bCs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annotation reference"/>
    <w:basedOn w:val="6"/>
    <w:qFormat/>
    <w:uiPriority w:val="0"/>
    <w:rPr>
      <w:sz w:val="21"/>
      <w:szCs w:val="21"/>
    </w:rPr>
  </w:style>
  <w:style w:type="paragraph" w:customStyle="1" w:styleId="8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9">
    <w:name w:val="批注文字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批注主题 字符"/>
    <w:basedOn w:val="9"/>
    <w:link w:val="3"/>
    <w:qFormat/>
    <w:uiPriority w:val="0"/>
    <w:rPr>
      <w:rFonts w:asciiTheme="minorHAnsi" w:hAnsiTheme="minorHAnsi" w:eastAsiaTheme="minorEastAsia" w:cstheme="minorBidi"/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522</Words>
  <Characters>3748</Characters>
  <Lines>26</Lines>
  <Paragraphs>7</Paragraphs>
  <TotalTime>2</TotalTime>
  <ScaleCrop>false</ScaleCrop>
  <LinksUpToDate>false</LinksUpToDate>
  <CharactersWithSpaces>4079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2023-03-29T10:30:00Z</dcterms:created>
  <dc:creator>jun鹏</dc:creator>
  <cp:lastModifiedBy>jun鹏</cp:lastModifiedBy>
  <dcterms:modified xsi:type="dcterms:W3CDTF">2023-06-07T01:10:09Z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0D86982C690849AF96564C83AAEFFF02_13</vt:lpwstr>
  </property>
</Properties>
</file>