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6"/>
          <w:szCs w:val="36"/>
          <w:u w:val="single"/>
        </w:rPr>
      </w:pPr>
      <w:r>
        <w:rPr>
          <w:rFonts w:ascii="Times New Roman" w:hAnsi="Times New Roman" w:eastAsia="宋体" w:cs="Times New Roman"/>
          <w:b/>
          <w:sz w:val="36"/>
          <w:szCs w:val="36"/>
          <w:u w:val="single"/>
        </w:rPr>
        <w:t>S</w:t>
      </w:r>
      <w:r>
        <w:rPr>
          <w:rFonts w:hint="eastAsia" w:ascii="Times New Roman" w:hAnsi="Times New Roman" w:eastAsia="宋体" w:cs="Times New Roman"/>
          <w:b/>
          <w:sz w:val="36"/>
          <w:szCs w:val="36"/>
          <w:u w:val="single"/>
        </w:rPr>
        <w:t>upporting</w:t>
      </w:r>
      <w:r>
        <w:rPr>
          <w:rFonts w:ascii="Times New Roman" w:hAnsi="Times New Roman" w:eastAsia="宋体" w:cs="Times New Roman"/>
          <w:b/>
          <w:sz w:val="36"/>
          <w:szCs w:val="36"/>
          <w:u w:val="single"/>
        </w:rPr>
        <w:t xml:space="preserve"> I</w:t>
      </w:r>
      <w:r>
        <w:rPr>
          <w:rFonts w:hint="eastAsia" w:ascii="Times New Roman" w:hAnsi="Times New Roman" w:eastAsia="宋体" w:cs="Times New Roman"/>
          <w:b/>
          <w:sz w:val="36"/>
          <w:szCs w:val="36"/>
          <w:u w:val="single"/>
        </w:rPr>
        <w:t>nformation</w:t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TOC \o "1-3" \n \h \z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"_Toc139108480" </w:instrText>
      </w:r>
      <w:r>
        <w:fldChar w:fldCharType="separate"/>
      </w:r>
      <w:r>
        <w:rPr>
          <w:rStyle w:val="15"/>
          <w:rFonts w:ascii="Times New Roman" w:hAnsi="Times New Roman" w:cs="Times New Roman"/>
          <w:sz w:val="24"/>
          <w:szCs w:val="24"/>
        </w:rPr>
        <w:t>Text S1 The characteristics analysis of the CeO</w:t>
      </w:r>
      <w:r>
        <w:rPr>
          <w:rStyle w:val="15"/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Style w:val="15"/>
          <w:rFonts w:ascii="Times New Roman" w:hAnsi="Times New Roman" w:cs="Times New Roman"/>
          <w:sz w:val="24"/>
          <w:szCs w:val="24"/>
        </w:rPr>
        <w:t>@CNT membrane</w:t>
      </w:r>
      <w:r>
        <w:rPr>
          <w:rStyle w:val="15"/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"_Toc139108481" </w:instrText>
      </w:r>
      <w:r>
        <w:fldChar w:fldCharType="separate"/>
      </w:r>
      <w:r>
        <w:rPr>
          <w:rStyle w:val="15"/>
          <w:rFonts w:ascii="Times New Roman" w:hAnsi="Times New Roman" w:cs="Times New Roman"/>
          <w:sz w:val="24"/>
          <w:szCs w:val="24"/>
        </w:rPr>
        <w:t>Table S1 The properties of the spiked surface water and spiked secondary effluent samples</w:t>
      </w:r>
      <w:r>
        <w:rPr>
          <w:rStyle w:val="15"/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"_Toc139108482" </w:instrText>
      </w:r>
      <w:r>
        <w:fldChar w:fldCharType="separate"/>
      </w:r>
      <w:r>
        <w:rPr>
          <w:rStyle w:val="15"/>
          <w:rFonts w:ascii="Times New Roman" w:hAnsi="Times New Roman" w:cs="Times New Roman"/>
          <w:sz w:val="24"/>
          <w:szCs w:val="24"/>
        </w:rPr>
        <w:t>Table S2 The properties of the actual secondary effluent samples</w:t>
      </w:r>
      <w:r>
        <w:rPr>
          <w:rStyle w:val="15"/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"_Toc139108483" </w:instrText>
      </w:r>
      <w:r>
        <w:fldChar w:fldCharType="separate"/>
      </w:r>
      <w:r>
        <w:rPr>
          <w:rStyle w:val="15"/>
          <w:rFonts w:ascii="Times New Roman" w:hAnsi="Times New Roman" w:cs="Times New Roman"/>
          <w:sz w:val="24"/>
          <w:szCs w:val="24"/>
        </w:rPr>
        <w:t xml:space="preserve">Table S3 Primer pairs used to quantify the </w:t>
      </w:r>
      <w:r>
        <w:rPr>
          <w:rStyle w:val="15"/>
          <w:rFonts w:ascii="Times New Roman" w:hAnsi="Times New Roman" w:cs="Times New Roman"/>
          <w:i/>
          <w:iCs/>
          <w:sz w:val="24"/>
          <w:szCs w:val="24"/>
        </w:rPr>
        <w:t>16SrRNA</w:t>
      </w:r>
      <w:r>
        <w:rPr>
          <w:rStyle w:val="15"/>
          <w:rFonts w:ascii="Times New Roman" w:hAnsi="Times New Roman" w:cs="Times New Roman"/>
          <w:sz w:val="24"/>
          <w:szCs w:val="24"/>
        </w:rPr>
        <w:t xml:space="preserve"> gene, antibiotic resistance genes and the mobile genetic element</w:t>
      </w:r>
      <w:r>
        <w:rPr>
          <w:rStyle w:val="15"/>
          <w:rFonts w:ascii="Times New Roman" w:hAnsi="Times New Roman" w:cs="Times New Roman"/>
          <w:i/>
          <w:iCs/>
          <w:sz w:val="24"/>
          <w:szCs w:val="24"/>
        </w:rPr>
        <w:t xml:space="preserve"> intΙ1</w:t>
      </w:r>
      <w:r>
        <w:rPr>
          <w:rStyle w:val="15"/>
          <w:rFonts w:ascii="Times New Roman" w:hAnsi="Times New Roman" w:cs="Times New Roman"/>
          <w:i/>
          <w:iCs/>
          <w:sz w:val="24"/>
          <w:szCs w:val="24"/>
        </w:rPr>
        <w:fldChar w:fldCharType="end"/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"_Toc139108484" </w:instrText>
      </w:r>
      <w:r>
        <w:fldChar w:fldCharType="separate"/>
      </w:r>
      <w:r>
        <w:rPr>
          <w:rStyle w:val="15"/>
          <w:rFonts w:ascii="Times New Roman" w:hAnsi="Times New Roman" w:cs="Times New Roman"/>
          <w:sz w:val="24"/>
          <w:szCs w:val="24"/>
          <w:lang w:bidi="ar"/>
        </w:rPr>
        <w:t>Fig. S1</w:t>
      </w:r>
      <w:r>
        <w:rPr>
          <w:rStyle w:val="15"/>
          <w:rFonts w:ascii="Times New Roman" w:hAnsi="Times New Roman" w:cs="Times New Roman"/>
          <w:sz w:val="24"/>
          <w:szCs w:val="24"/>
        </w:rPr>
        <w:t xml:space="preserve"> Configuration of the electrified membrane reactor</w:t>
      </w:r>
      <w:r>
        <w:rPr>
          <w:rStyle w:val="15"/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"_Toc139108485" </w:instrText>
      </w:r>
      <w:r>
        <w:fldChar w:fldCharType="separate"/>
      </w:r>
      <w:r>
        <w:rPr>
          <w:rStyle w:val="15"/>
          <w:rFonts w:ascii="Times New Roman" w:hAnsi="Times New Roman" w:cs="Times New Roman"/>
          <w:w w:val="108"/>
          <w:sz w:val="24"/>
          <w:szCs w:val="24"/>
        </w:rPr>
        <w:t>Fig. S2 Physicochemical characteristics</w:t>
      </w:r>
      <w:r>
        <w:rPr>
          <w:rStyle w:val="15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5"/>
          <w:rFonts w:ascii="Times New Roman" w:hAnsi="Times New Roman" w:cs="Times New Roman"/>
          <w:w w:val="108"/>
          <w:sz w:val="24"/>
          <w:szCs w:val="24"/>
        </w:rPr>
        <w:t xml:space="preserve">of the </w:t>
      </w:r>
      <w:r>
        <w:rPr>
          <w:rStyle w:val="15"/>
          <w:rFonts w:ascii="Times New Roman" w:hAnsi="Times New Roman" w:cs="Times New Roman"/>
          <w:sz w:val="24"/>
          <w:szCs w:val="24"/>
        </w:rPr>
        <w:t>CeO</w:t>
      </w:r>
      <w:r>
        <w:rPr>
          <w:rStyle w:val="15"/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Style w:val="15"/>
          <w:rFonts w:ascii="Times New Roman" w:hAnsi="Times New Roman" w:cs="Times New Roman"/>
          <w:sz w:val="24"/>
          <w:szCs w:val="24"/>
        </w:rPr>
        <w:t>@CNT membrane</w:t>
      </w:r>
      <w:r>
        <w:rPr>
          <w:rStyle w:val="15"/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11"/>
        <w:tabs>
          <w:tab w:val="right" w:leader="dot" w:pos="829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"_Toc139108486" </w:instrText>
      </w:r>
      <w:r>
        <w:fldChar w:fldCharType="separate"/>
      </w:r>
      <w:r>
        <w:rPr>
          <w:rStyle w:val="15"/>
          <w:rFonts w:ascii="Times New Roman" w:hAnsi="Times New Roman" w:cs="Times New Roman"/>
          <w:w w:val="108"/>
          <w:sz w:val="24"/>
          <w:szCs w:val="24"/>
        </w:rPr>
        <w:t xml:space="preserve">Fig. S3 </w:t>
      </w:r>
      <w:r>
        <w:rPr>
          <w:rFonts w:hint="default" w:ascii="Times New Roman" w:hAnsi="Times New Roman" w:cs="Times New Roman"/>
          <w:w w:val="108"/>
          <w:sz w:val="24"/>
          <w:szCs w:val="24"/>
        </w:rPr>
        <w:t>The ARGs removal of individual NaClO</w:t>
      </w:r>
      <w:r>
        <w:rPr>
          <w:rFonts w:hint="default" w:ascii="Times New Roman" w:hAnsi="Times New Roman" w:cs="Times New Roman"/>
          <w:w w:val="108"/>
          <w:sz w:val="24"/>
          <w:szCs w:val="24"/>
          <w:lang w:val="en-US" w:eastAsia="zh-CN"/>
        </w:rPr>
        <w:t xml:space="preserve"> (a)</w:t>
      </w:r>
      <w:r>
        <w:rPr>
          <w:rFonts w:hint="default" w:ascii="Times New Roman" w:hAnsi="Times New Roman" w:cs="Times New Roman"/>
          <w:w w:val="108"/>
          <w:sz w:val="24"/>
          <w:szCs w:val="24"/>
        </w:rPr>
        <w:t xml:space="preserve"> and Ce</w:t>
      </w:r>
      <w:r>
        <w:rPr>
          <w:rFonts w:hint="default" w:ascii="Times New Roman" w:hAnsi="Times New Roman" w:cs="Times New Roman"/>
          <w:w w:val="108"/>
          <w:sz w:val="24"/>
          <w:szCs w:val="24"/>
          <w:vertAlign w:val="subscript"/>
        </w:rPr>
        <w:t>2</w:t>
      </w:r>
      <w:r>
        <w:rPr>
          <w:rFonts w:hint="default" w:ascii="Times New Roman" w:hAnsi="Times New Roman" w:cs="Times New Roman"/>
          <w:w w:val="108"/>
          <w:sz w:val="24"/>
          <w:szCs w:val="24"/>
        </w:rPr>
        <w:t>O@CNT membrane</w:t>
      </w:r>
      <w:r>
        <w:rPr>
          <w:rFonts w:hint="eastAsia" w:ascii="Times New Roman" w:hAnsi="Times New Roman" w:cs="Times New Roman"/>
          <w:w w:val="108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w w:val="108"/>
          <w:sz w:val="24"/>
          <w:szCs w:val="24"/>
          <w:lang w:val="en-US" w:eastAsia="zh-CN"/>
        </w:rPr>
        <w:t xml:space="preserve">(b): </w:t>
      </w:r>
      <w:r>
        <w:rPr>
          <w:rFonts w:hint="default" w:ascii="Times New Roman" w:hAnsi="Times New Roman" w:cs="Times New Roman"/>
          <w:w w:val="108"/>
          <w:sz w:val="24"/>
          <w:szCs w:val="24"/>
        </w:rPr>
        <w:t>the spiked surface water</w:t>
      </w:r>
      <w:r>
        <w:rPr>
          <w:rStyle w:val="15"/>
          <w:rFonts w:ascii="Times New Roman" w:hAnsi="Times New Roman" w:cs="Times New Roman"/>
          <w:w w:val="108"/>
          <w:sz w:val="24"/>
          <w:szCs w:val="24"/>
        </w:rPr>
        <w:fldChar w:fldCharType="end"/>
      </w:r>
    </w:p>
    <w:p>
      <w:pPr>
        <w:pStyle w:val="2"/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pStyle w:val="3"/>
      </w:pPr>
      <w:bookmarkStart w:id="0" w:name="_Toc139108480"/>
      <w:r>
        <w:t xml:space="preserve">Text S1 The characteristics analysis of </w:t>
      </w:r>
      <w:r>
        <w:rPr>
          <w:rFonts w:hint="eastAsia"/>
        </w:rPr>
        <w:t xml:space="preserve">the </w:t>
      </w:r>
      <w:r>
        <w:t>CeO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@</w:t>
      </w:r>
      <w:r>
        <w:t>CNT</w:t>
      </w:r>
      <w:r>
        <w:rPr>
          <w:rFonts w:hint="eastAsia"/>
        </w:rPr>
        <w:t xml:space="preserve"> membrane</w:t>
      </w:r>
      <w:bookmarkEnd w:id="0"/>
    </w:p>
    <w:p>
      <w:pPr>
        <w:spacing w:line="480" w:lineRule="auto"/>
        <w:ind w:firstLine="480" w:firstLineChars="200"/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The morphologies of </w:t>
      </w:r>
      <w:r>
        <w:rPr>
          <w:rFonts w:hint="eastAsia"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the </w:t>
      </w:r>
      <w:r>
        <w:rPr>
          <w:rFonts w:ascii="Times New Roman" w:hAnsi="Times New Roman"/>
          <w:sz w:val="24"/>
          <w:szCs w:val="24"/>
        </w:rPr>
        <w:t>CeO</w:t>
      </w:r>
      <w:r>
        <w:rPr>
          <w:rFonts w:hint="eastAsia" w:ascii="Times New Roman" w:hAnsi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/>
          <w:sz w:val="24"/>
          <w:szCs w:val="24"/>
        </w:rPr>
        <w:t>@</w:t>
      </w:r>
      <w:r>
        <w:rPr>
          <w:rFonts w:ascii="Times New Roman" w:hAnsi="Times New Roman"/>
          <w:sz w:val="24"/>
          <w:szCs w:val="24"/>
        </w:rPr>
        <w:t>CNT</w:t>
      </w:r>
      <w:r>
        <w:rPr>
          <w:rFonts w:hint="eastAsia" w:ascii="Times New Roman" w:hAnsi="Times New Roman"/>
          <w:sz w:val="24"/>
          <w:szCs w:val="24"/>
        </w:rPr>
        <w:t xml:space="preserve"> membrane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were observed using a field emission scanning electron microscope (SEM)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(Regulus8100, Hitachi, Japan) with an elemental analysis energy dispersive spectrometer (EDAX EDS Octane Elect Super-70mm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vertAlign w:val="superscript"/>
          <w:lang w:bidi="ar"/>
        </w:rPr>
        <w:t>2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, America) with 5 kV accelerating voltage. The analyses were performed at a working distance of 7.2-9.7 mm 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with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a magnification of 50 K or 100 K. The samples were coated with gold films to enhance the conductivity and secondary electron emission characteristics and to avoid surface charging under electron beam. </w:t>
      </w:r>
    </w:p>
    <w:p>
      <w:pPr>
        <w:spacing w:line="480" w:lineRule="auto"/>
        <w:ind w:firstLine="720" w:firstLineChars="300"/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The crystalline structure of </w:t>
      </w:r>
      <w:r>
        <w:rPr>
          <w:rFonts w:hint="eastAsia"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the </w:t>
      </w:r>
      <w:r>
        <w:rPr>
          <w:rFonts w:ascii="Times New Roman" w:hAnsi="Times New Roman"/>
          <w:sz w:val="24"/>
          <w:szCs w:val="24"/>
        </w:rPr>
        <w:t>CeO</w:t>
      </w:r>
      <w:r>
        <w:rPr>
          <w:rFonts w:hint="eastAsia" w:ascii="Times New Roman" w:hAnsi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/>
          <w:sz w:val="24"/>
          <w:szCs w:val="24"/>
        </w:rPr>
        <w:t>@</w:t>
      </w:r>
      <w:r>
        <w:rPr>
          <w:rFonts w:ascii="Times New Roman" w:hAnsi="Times New Roman"/>
          <w:sz w:val="24"/>
          <w:szCs w:val="24"/>
        </w:rPr>
        <w:t>CNT</w:t>
      </w:r>
      <w:r>
        <w:rPr>
          <w:rFonts w:hint="eastAsia" w:ascii="Times New Roman" w:hAnsi="Times New Roman"/>
          <w:sz w:val="24"/>
          <w:szCs w:val="24"/>
        </w:rPr>
        <w:t xml:space="preserve"> membrane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>was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analyzed with an X-ray diffraction (XRD) technique was conducted on a Bruker advance D8, Germany using Cu Kα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>radiation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in a 2θ range of 5-90° under an accelerating voltage of 40kV and the current 30mA.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T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he scan rate was 6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℃/min, 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the step size was 0.02°, the test speed was 0.1sec/step, the entry wavelength was 0.15118nm.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4"/>
        </w:rPr>
        <w:t>The crystal structure of the CeO</w:t>
      </w:r>
      <w:r>
        <w:rPr>
          <w:rFonts w:hint="eastAsia" w:ascii="Times New Roman" w:hAnsi="Times New Roman" w:eastAsia="宋体" w:cs="Times New Roman"/>
          <w:bCs/>
          <w:sz w:val="24"/>
          <w:vertAlign w:val="subscript"/>
        </w:rPr>
        <w:t>2</w:t>
      </w:r>
      <w:r>
        <w:rPr>
          <w:rFonts w:hint="eastAsia" w:ascii="Times New Roman" w:hAnsi="Times New Roman" w:eastAsia="宋体" w:cs="Times New Roman"/>
          <w:bCs/>
          <w:sz w:val="24"/>
        </w:rPr>
        <w:t xml:space="preserve">@CNT membrane was analyzed using MDI jade software. </w:t>
      </w:r>
    </w:p>
    <w:p>
      <w:pPr>
        <w:spacing w:line="480" w:lineRule="auto"/>
        <w:ind w:firstLine="480" w:firstLineChars="200"/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cs="Times New Roman"/>
          <w:sz w:val="24"/>
          <w:szCs w:val="24"/>
        </w:rPr>
        <w:t>Linear sweep voltammetry (LSV), Electrochemical Impedance Spectroscopy (EIS) and current versus time (I-t) curve of the CeO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@CNT membrane were carried out in conventional three-electrode electrochemical cells driven by a CHI660D electrochemical workstation (Shanghai Cenhua Instrument Co., Ltd., China). The counter electrode was a ruthenium-iridium titanium plate (4 cm × 5 cm), and a Ag/AgCl electrode was used as the reference electrode. 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LSV analysis were performed in 10 mM </w:t>
      </w:r>
      <w:bookmarkStart w:id="1" w:name="OLE_LINK1"/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NaClO solution</w:t>
      </w:r>
      <w:bookmarkEnd w:id="1"/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at a scan rate of 0.01 V/s with the voltage changed from 0 V to 3 V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. 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EIS measurements were performed in the 10 mM NaClO solution at frequencies of 1·10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vertAlign w:val="superscript"/>
          <w:lang w:bidi="ar"/>
        </w:rPr>
        <w:t>-1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Hz - 1∙10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vertAlign w:val="superscript"/>
          <w:lang w:bidi="ar"/>
        </w:rPr>
        <w:t>6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Hz with a signal amplitude of 5 mV at the init potential of 0 V.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 T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I-t curves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of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the 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CNT@CeO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membrane w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ere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completed in 10mM NaClO solution. The operation time last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ed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600s, aeration was given at 200 seconds, and </w:t>
      </w:r>
      <w:r>
        <w:rPr>
          <w:rFonts w:ascii="Times New Roman" w:hAnsi="Times New Roman" w:cs="Times New Roman"/>
          <w:sz w:val="24"/>
          <w:szCs w:val="24"/>
        </w:rPr>
        <w:t>antibiotics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 were added at 400 seconds.  The sensitivity is 1×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>e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vertAlign w:val="superscript"/>
          <w:lang w:bidi="ar"/>
        </w:rPr>
        <w:t>-4</w:t>
      </w:r>
      <w:r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  <w:t xml:space="preserve">. </w:t>
      </w:r>
    </w:p>
    <w:p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>
      <w:pPr>
        <w:pStyle w:val="3"/>
      </w:pPr>
      <w:bookmarkStart w:id="2" w:name="_Toc139108481"/>
      <w:r>
        <w:rPr>
          <w:rStyle w:val="19"/>
        </w:rPr>
        <w:t>Table S</w:t>
      </w:r>
      <w:r>
        <w:rPr>
          <w:rStyle w:val="19"/>
          <w:rFonts w:hint="eastAsia"/>
        </w:rPr>
        <w:t>1</w:t>
      </w:r>
      <w:r>
        <w:rPr>
          <w:rStyle w:val="19"/>
        </w:rPr>
        <w:t xml:space="preserve"> The properties of </w:t>
      </w:r>
      <w:r>
        <w:rPr>
          <w:rStyle w:val="19"/>
          <w:rFonts w:hint="eastAsia"/>
        </w:rPr>
        <w:t xml:space="preserve">the </w:t>
      </w:r>
      <w:r>
        <w:rPr>
          <w:rStyle w:val="19"/>
        </w:rPr>
        <w:t xml:space="preserve">spiked </w:t>
      </w:r>
      <w:r>
        <w:rPr>
          <w:rStyle w:val="19"/>
          <w:rFonts w:hint="eastAsia"/>
        </w:rPr>
        <w:t>surface</w:t>
      </w:r>
      <w:r>
        <w:rPr>
          <w:rStyle w:val="19"/>
        </w:rPr>
        <w:t xml:space="preserve"> water and spiked </w:t>
      </w:r>
      <w:r>
        <w:rPr>
          <w:rStyle w:val="19"/>
          <w:rFonts w:hint="eastAsia"/>
        </w:rPr>
        <w:t>secondary effluent</w:t>
      </w:r>
      <w:r>
        <w:rPr>
          <w:rFonts w:hint="eastAsia"/>
        </w:rPr>
        <w:t xml:space="preserve"> samples</w:t>
      </w:r>
      <w:bookmarkEnd w:id="2"/>
    </w:p>
    <w:tbl>
      <w:tblPr>
        <w:tblStyle w:val="1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728"/>
        <w:gridCol w:w="2494"/>
        <w:gridCol w:w="27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258" w:type="dxa"/>
            <w:gridSpan w:val="2"/>
            <w:tcBorders>
              <w:tl2br w:val="nil"/>
              <w:tr2bl w:val="nil"/>
            </w:tcBorders>
            <w:shd w:val="clear" w:color="auto" w:fill="9CC2E5" w:themeFill="accent1" w:themeFillTint="99"/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Water samples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shd w:val="clear" w:color="auto" w:fill="9CC2E5" w:themeFill="accent1" w:themeFillTint="99"/>
            <w:vAlign w:val="center"/>
          </w:tcPr>
          <w:p>
            <w:pPr>
              <w:pStyle w:val="16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piked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surface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shd w:val="clear" w:color="auto" w:fill="9CC2E5" w:themeFill="accent1" w:themeFillTint="99"/>
            <w:vAlign w:val="center"/>
          </w:tcPr>
          <w:p>
            <w:pPr>
              <w:pStyle w:val="16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piked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Secondary effluent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  <w:t>pH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 ± 0.1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 ± 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  <w:t>SS</w:t>
            </w:r>
            <w:r>
              <w:rPr>
                <w:rFonts w:hint="eastAsia" w:ascii="Times New Roman" w:hAnsi="Times New Roman" w:cs="Times New Roman"/>
                <w:sz w:val="24"/>
                <w:szCs w:val="24"/>
                <w:shd w:val="clear" w:color="auto" w:fill="FCFDFE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  <w:t xml:space="preserve"> mg/L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 ± 0.8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Conductivity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uS/cm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520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14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</w:rPr>
              <w:t>357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微软雅黑" w:cs="Times New Roman"/>
                <w:sz w:val="24"/>
                <w:szCs w:val="24"/>
              </w:rPr>
              <w:t xml:space="preserve">TOC, mg/L 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2.4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0.3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14.3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2.4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Abundance of genes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log/mL 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  <w:t>sul1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± 0.15 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intI1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5.24 ± 0.09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5.41 ± 0.28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  <w:t>16SrRNA</w:t>
            </w:r>
          </w:p>
        </w:tc>
        <w:tc>
          <w:tcPr>
            <w:tcW w:w="249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6.87 ± 0.13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6.59 ± 0.15</w:t>
            </w:r>
          </w:p>
        </w:tc>
      </w:tr>
    </w:tbl>
    <w:p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>
      <w:pPr>
        <w:pStyle w:val="3"/>
        <w:jc w:val="center"/>
        <w:rPr>
          <w:rFonts w:eastAsia="宋体"/>
        </w:rPr>
      </w:pPr>
      <w:bookmarkStart w:id="3" w:name="_Toc139108482"/>
      <w:r>
        <w:t>Table S</w:t>
      </w:r>
      <w:r>
        <w:rPr>
          <w:rFonts w:hint="eastAsia"/>
        </w:rPr>
        <w:t>2</w:t>
      </w:r>
      <w:r>
        <w:t xml:space="preserve"> The properties of the </w:t>
      </w:r>
      <w:r>
        <w:rPr>
          <w:rFonts w:hint="eastAsia"/>
        </w:rPr>
        <w:t>actual secondary effluent samples</w:t>
      </w:r>
      <w:bookmarkEnd w:id="3"/>
    </w:p>
    <w:tbl>
      <w:tblPr>
        <w:tblStyle w:val="1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728"/>
        <w:gridCol w:w="52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3258" w:type="dxa"/>
            <w:gridSpan w:val="2"/>
            <w:tcBorders>
              <w:tl2br w:val="nil"/>
              <w:tr2bl w:val="nil"/>
            </w:tcBorders>
            <w:shd w:val="clear" w:color="auto" w:fill="9CC2E5" w:themeFill="accent1" w:themeFillTint="99"/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Water samples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shd w:val="clear" w:color="auto" w:fill="9CC2E5" w:themeFill="accent1" w:themeFillTint="99"/>
            <w:vAlign w:val="center"/>
          </w:tcPr>
          <w:p>
            <w:pPr>
              <w:pStyle w:val="16"/>
              <w:spacing w:before="0" w:beforeAutospacing="0" w:after="0" w:afterAutospacing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actual secondary effluent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  <w:t>pH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 ± 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CFDFE"/>
              </w:rPr>
              <w:t>SS, mg/L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 ± 0.7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Conductivity, uS/cm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1670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TOC, mg/L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.3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2.4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Copy number of genes, mL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  <w:t>sul1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  <w:t>tetA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intI1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 ± 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sz w:val="24"/>
                <w:szCs w:val="24"/>
              </w:rPr>
              <w:t>16SrRNA</w:t>
            </w:r>
          </w:p>
        </w:tc>
        <w:tc>
          <w:tcPr>
            <w:tcW w:w="526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13158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242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pStyle w:val="3"/>
        <w:jc w:val="center"/>
        <w:rPr>
          <w:i/>
          <w:iCs/>
        </w:rPr>
      </w:pPr>
      <w:bookmarkStart w:id="4" w:name="_Toc139108483"/>
      <w:r>
        <w:t>Table S</w:t>
      </w:r>
      <w:r>
        <w:rPr>
          <w:rFonts w:hint="eastAsia"/>
        </w:rPr>
        <w:t>3</w:t>
      </w:r>
      <w:r>
        <w:t xml:space="preserve"> Primer pairs used to quantify the </w:t>
      </w:r>
      <w:r>
        <w:rPr>
          <w:i/>
          <w:iCs/>
        </w:rPr>
        <w:t>16SrRNA</w:t>
      </w:r>
      <w:r>
        <w:t xml:space="preserve"> gene, antibiotic resistance genes and the mobile genetic element</w:t>
      </w:r>
      <w:r>
        <w:rPr>
          <w:i/>
          <w:iCs/>
        </w:rPr>
        <w:t xml:space="preserve"> intΙ1</w:t>
      </w:r>
      <w:bookmarkEnd w:id="4"/>
    </w:p>
    <w:tbl>
      <w:tblPr>
        <w:tblStyle w:val="1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200"/>
        <w:gridCol w:w="4014"/>
        <w:gridCol w:w="17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tcBorders>
              <w:top w:val="single" w:color="auto" w:sz="4" w:space="0"/>
              <w:bottom w:val="single" w:color="auto" w:sz="4" w:space="0"/>
            </w:tcBorders>
            <w:shd w:val="clear" w:color="auto" w:fill="9CC2E5" w:themeFill="accent1" w:themeFillTint="99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Target Genes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shd w:val="clear" w:color="auto" w:fill="9CC2E5" w:themeFill="accent1" w:themeFillTint="99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4014" w:type="dxa"/>
            <w:tcBorders>
              <w:top w:val="single" w:color="auto" w:sz="4" w:space="0"/>
              <w:bottom w:val="single" w:color="auto" w:sz="4" w:space="0"/>
            </w:tcBorders>
            <w:shd w:val="clear" w:color="auto" w:fill="9CC2E5" w:themeFill="accent1" w:themeFillTint="99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Sequence (5’ to 3’)</w:t>
            </w:r>
          </w:p>
        </w:tc>
        <w:tc>
          <w:tcPr>
            <w:tcW w:w="1747" w:type="dxa"/>
            <w:tcBorders>
              <w:top w:val="single" w:color="auto" w:sz="4" w:space="0"/>
              <w:bottom w:val="single" w:color="auto" w:sz="4" w:space="0"/>
            </w:tcBorders>
            <w:shd w:val="clear" w:color="auto" w:fill="9CC2E5" w:themeFill="accent1" w:themeFillTint="99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Amplimer (bp)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sul1</w:t>
            </w:r>
          </w:p>
        </w:tc>
        <w:tc>
          <w:tcPr>
            <w:tcW w:w="1200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sul1-F</w:t>
            </w:r>
          </w:p>
        </w:tc>
        <w:tc>
          <w:tcPr>
            <w:tcW w:w="4014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CGCACCGGAAACATCGCTGCAC</w:t>
            </w:r>
          </w:p>
        </w:tc>
        <w:tc>
          <w:tcPr>
            <w:tcW w:w="1747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61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sul1-R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TGAAGTTCCGCCGCAAGGCTCG</w:t>
            </w:r>
          </w:p>
        </w:tc>
        <w:tc>
          <w:tcPr>
            <w:tcW w:w="1747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vMerge w:val="restart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tetA</w:t>
            </w: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tetA-F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CAGGCAGGTGGATGAGGAA</w:t>
            </w:r>
          </w:p>
        </w:tc>
        <w:tc>
          <w:tcPr>
            <w:tcW w:w="1747" w:type="dxa"/>
            <w:vMerge w:val="restart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tetA -R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GGCAGGCAGAGCAAGTAGAG</w:t>
            </w:r>
          </w:p>
        </w:tc>
        <w:tc>
          <w:tcPr>
            <w:tcW w:w="1747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vMerge w:val="restart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intΙ1</w:t>
            </w: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Int1-F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GGCTTCGTGATGCCTGCTT</w:t>
            </w:r>
          </w:p>
        </w:tc>
        <w:tc>
          <w:tcPr>
            <w:tcW w:w="1747" w:type="dxa"/>
            <w:vMerge w:val="restart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Int1-R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CATTCCTGGCCGTGGTTCT</w:t>
            </w:r>
          </w:p>
        </w:tc>
        <w:tc>
          <w:tcPr>
            <w:tcW w:w="1747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vMerge w:val="restart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16SrRNA</w:t>
            </w: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16S338F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ACTCCTACGGGAGGCAGCAG</w:t>
            </w:r>
          </w:p>
        </w:tc>
        <w:tc>
          <w:tcPr>
            <w:tcW w:w="1747" w:type="dxa"/>
            <w:vMerge w:val="restart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1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16S-518R</w:t>
            </w:r>
          </w:p>
        </w:tc>
        <w:tc>
          <w:tcPr>
            <w:tcW w:w="4014" w:type="dxa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ATTACCGCGGCTGCTGG</w:t>
            </w:r>
          </w:p>
        </w:tc>
        <w:tc>
          <w:tcPr>
            <w:tcW w:w="1747" w:type="dxa"/>
            <w:vMerge w:val="continue"/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pStyle w:val="2"/>
      </w:pPr>
    </w:p>
    <w:p>
      <w:pPr>
        <w:pStyle w:val="2"/>
        <w:rPr>
          <w:rFonts w:ascii="Times New Roman" w:hAnsi="Times New Roman" w:eastAsia="AdvOT2e364b11" w:cs="Times New Roman"/>
          <w:color w:val="000000"/>
          <w:kern w:val="0"/>
          <w:sz w:val="24"/>
          <w:szCs w:val="24"/>
          <w:lang w:bidi="ar"/>
        </w:rPr>
      </w:pPr>
    </w:p>
    <w:p>
      <w:pPr>
        <w:pStyle w:val="2"/>
      </w:pPr>
    </w:p>
    <w:p>
      <w:pPr>
        <w:spacing w:line="480" w:lineRule="auto"/>
        <w:rPr>
          <w:szCs w:val="32"/>
        </w:rPr>
      </w:pPr>
      <w:r>
        <w:rPr>
          <w:position w:val="-24"/>
          <w:szCs w:val="21"/>
        </w:rPr>
        <w:drawing>
          <wp:inline distT="0" distB="0" distL="0" distR="0">
            <wp:extent cx="5273675" cy="5132705"/>
            <wp:effectExtent l="0" t="0" r="635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000" cy="513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</w:pPr>
      <w:bookmarkStart w:id="5" w:name="_Toc139108484"/>
      <w:r>
        <w:rPr>
          <w:lang w:bidi="ar"/>
        </w:rPr>
        <w:t>Fig. S1</w:t>
      </w:r>
      <w:r>
        <w:t xml:space="preserve"> Configuration of the electrified membrane reactor</w:t>
      </w:r>
      <w:bookmarkEnd w:id="5"/>
    </w:p>
    <w:p>
      <w:pPr>
        <w:wordWrap w:val="0"/>
        <w:spacing w:line="480" w:lineRule="auto"/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and the flat sheet membrane module (b). (1: DC electrical supply; 2: peristaltic pump; 3: aerator; 4: anode; 5: flat sheet membrane module; 6: the sample outlet; 7: titanium ring; 8: rubber gasket; 9: cathode; 10: plexiglass frame. </w:t>
      </w:r>
    </w:p>
    <w:p>
      <w:pPr>
        <w:pStyle w:val="2"/>
      </w:pPr>
      <w:r>
        <w:drawing>
          <wp:inline distT="0" distB="0" distL="114300" distR="114300">
            <wp:extent cx="5264150" cy="4044315"/>
            <wp:effectExtent l="0" t="0" r="0" b="508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404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8" w:name="_GoBack"/>
      <w:bookmarkEnd w:id="8"/>
    </w:p>
    <w:p>
      <w:pPr>
        <w:pStyle w:val="3"/>
        <w:jc w:val="center"/>
      </w:pPr>
      <w:bookmarkStart w:id="6" w:name="_Toc139108485"/>
      <w:r>
        <w:rPr>
          <w:w w:val="108"/>
        </w:rPr>
        <w:t>Fig</w:t>
      </w:r>
      <w:r>
        <w:rPr>
          <w:rFonts w:hint="eastAsia"/>
          <w:w w:val="108"/>
        </w:rPr>
        <w:t>.</w:t>
      </w:r>
      <w:r>
        <w:rPr>
          <w:w w:val="108"/>
        </w:rPr>
        <w:t xml:space="preserve"> </w:t>
      </w:r>
      <w:r>
        <w:rPr>
          <w:rFonts w:hint="eastAsia"/>
          <w:w w:val="108"/>
        </w:rPr>
        <w:t>S2</w:t>
      </w:r>
      <w:r>
        <w:rPr>
          <w:w w:val="108"/>
        </w:rPr>
        <w:t xml:space="preserve"> </w:t>
      </w:r>
      <w:r>
        <w:rPr>
          <w:rFonts w:hint="eastAsia"/>
          <w:w w:val="108"/>
        </w:rPr>
        <w:t>P</w:t>
      </w:r>
      <w:r>
        <w:rPr>
          <w:w w:val="108"/>
        </w:rPr>
        <w:t>hysicochemical characteristics</w:t>
      </w:r>
      <w:r>
        <w:t xml:space="preserve"> </w:t>
      </w:r>
      <w:r>
        <w:rPr>
          <w:w w:val="108"/>
        </w:rPr>
        <w:t xml:space="preserve">of the </w:t>
      </w:r>
      <w:r>
        <w:t>CeO</w:t>
      </w:r>
      <w:r>
        <w:rPr>
          <w:vertAlign w:val="subscript"/>
        </w:rPr>
        <w:t>2</w:t>
      </w:r>
      <w:r>
        <w:t>@CNT membrane</w:t>
      </w:r>
      <w:bookmarkEnd w:id="6"/>
    </w:p>
    <w:p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w w:val="108"/>
          <w:sz w:val="24"/>
          <w:szCs w:val="24"/>
        </w:rPr>
        <w:t>a)</w:t>
      </w:r>
      <w:r>
        <w:rPr>
          <w:rFonts w:hint="eastAsia" w:ascii="Times New Roman" w:hAnsi="Times New Roman" w:cs="Times New Roman"/>
          <w:w w:val="108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8"/>
          <w:sz w:val="24"/>
          <w:szCs w:val="24"/>
        </w:rPr>
        <w:t xml:space="preserve">SEM-EDS image, (b) XRD patterns,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eastAsia"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EIS Nyquist plots and (</w:t>
      </w:r>
      <w:r>
        <w:rPr>
          <w:rFonts w:hint="eastAsia"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sz w:val="24"/>
          <w:szCs w:val="24"/>
        </w:rPr>
        <w:t>I-t curve</w:t>
      </w:r>
    </w:p>
    <w:p>
      <w:r>
        <w:rPr>
          <w:rFonts w:hint="eastAsia"/>
        </w:rPr>
        <w:br w:type="page"/>
      </w:r>
    </w:p>
    <w:p>
      <w:pPr>
        <w:pStyle w:val="2"/>
      </w:pPr>
    </w:p>
    <w:p>
      <w:pPr>
        <w:pStyle w:val="2"/>
        <w:rPr>
          <w:rFonts w:ascii="Times New Roman" w:hAnsi="Times New Roman" w:cs="Times New Roman"/>
          <w:sz w:val="24"/>
          <w:szCs w:val="24"/>
        </w:rPr>
      </w:pPr>
      <w:r>
        <w:object>
          <v:shape id="_x0000_i1025" o:spt="75" type="#_x0000_t75" style="height:162.6pt;width:200.4pt;" o:ole="t" filled="f" o:preferrelative="t" stroked="f" coordsize="21600,21600">
            <v:path/>
            <v:fill on="f" focussize="0,0"/>
            <v:stroke on="f" joinstyle="miter"/>
            <v:imagedata r:id="rId7" cropleft="3367f" croptop="6335f" cropright="8018f" cropbottom="1835f" o:title=""/>
            <o:lock v:ext="edit" aspectratio="t"/>
            <w10:wrap type="none"/>
            <w10:anchorlock/>
          </v:shape>
          <o:OLEObject Type="Embed" ProgID="Origin95.Graph" ShapeID="_x0000_i1025" DrawAspect="Content" ObjectID="_1468075725" r:id="rId6">
            <o:LockedField>false</o:LockedField>
          </o:OLEObject>
        </w:object>
      </w:r>
      <w:r>
        <w:object>
          <v:shape id="_x0000_i1026" o:spt="75" type="#_x0000_t75" style="height:165.6pt;width:201.6pt;" o:ole="t" filled="f" o:preferrelative="t" stroked="f" coordsize="21600,21600">
            <v:path/>
            <v:fill on="f" focussize="0,0"/>
            <v:stroke on="f" joinstyle="miter"/>
            <v:imagedata r:id="rId9" cropleft="3467f" croptop="5294f" cropright="7743f" cropbottom="1870f" o:title=""/>
            <o:lock v:ext="edit" aspectratio="t"/>
            <w10:wrap type="none"/>
            <w10:anchorlock/>
          </v:shape>
          <o:OLEObject Type="Embed" ProgID="Origin95.Graph" ShapeID="_x0000_i1026" DrawAspect="Content" ObjectID="_1468075726" r:id="rId8">
            <o:LockedField>false</o:LockedField>
          </o:OLEObject>
        </w:object>
      </w:r>
    </w:p>
    <w:p>
      <w:pPr>
        <w:pStyle w:val="3"/>
        <w:rPr>
          <w:rFonts w:ascii="Times New Roman" w:hAnsi="Times New Roman" w:cs="Times New Roman"/>
          <w:sz w:val="24"/>
          <w:szCs w:val="24"/>
        </w:rPr>
      </w:pPr>
      <w:bookmarkStart w:id="7" w:name="_Toc139108486"/>
      <w:r>
        <w:rPr>
          <w:w w:val="108"/>
        </w:rPr>
        <w:t>Fig</w:t>
      </w:r>
      <w:r>
        <w:rPr>
          <w:rFonts w:hint="eastAsia"/>
          <w:w w:val="108"/>
        </w:rPr>
        <w:t>.</w:t>
      </w:r>
      <w:r>
        <w:rPr>
          <w:w w:val="108"/>
        </w:rPr>
        <w:t xml:space="preserve"> </w:t>
      </w:r>
      <w:r>
        <w:rPr>
          <w:rFonts w:hint="eastAsia"/>
          <w:w w:val="108"/>
        </w:rPr>
        <w:t xml:space="preserve">S3 </w:t>
      </w:r>
      <w:r>
        <w:rPr>
          <w:w w:val="108"/>
        </w:rPr>
        <w:t>The ARGs</w:t>
      </w:r>
      <w:r>
        <w:rPr>
          <w:rFonts w:hint="eastAsia"/>
          <w:w w:val="108"/>
        </w:rPr>
        <w:t xml:space="preserve"> </w:t>
      </w:r>
      <w:r>
        <w:rPr>
          <w:w w:val="108"/>
        </w:rPr>
        <w:t>removal of</w:t>
      </w:r>
      <w:r>
        <w:rPr>
          <w:rFonts w:hint="eastAsia"/>
          <w:w w:val="108"/>
        </w:rPr>
        <w:t xml:space="preserve"> individual NaClO</w:t>
      </w:r>
      <w:r>
        <w:rPr>
          <w:rFonts w:hint="eastAsia"/>
          <w:w w:val="108"/>
          <w:lang w:val="en-US" w:eastAsia="zh-CN"/>
        </w:rPr>
        <w:t xml:space="preserve"> (a)</w:t>
      </w:r>
      <w:r>
        <w:rPr>
          <w:rFonts w:hint="eastAsia"/>
          <w:w w:val="108"/>
        </w:rPr>
        <w:t xml:space="preserve"> and Ce</w:t>
      </w:r>
      <w:r>
        <w:rPr>
          <w:rFonts w:hint="eastAsia"/>
          <w:w w:val="108"/>
          <w:vertAlign w:val="subscript"/>
        </w:rPr>
        <w:t>2</w:t>
      </w:r>
      <w:r>
        <w:rPr>
          <w:rFonts w:hint="eastAsia"/>
          <w:w w:val="108"/>
        </w:rPr>
        <w:t>O@CNT membrane</w:t>
      </w:r>
      <w:bookmarkEnd w:id="7"/>
      <w:r>
        <w:rPr>
          <w:rFonts w:hint="eastAsia"/>
          <w:w w:val="108"/>
          <w:lang w:val="en-US" w:eastAsia="zh-CN"/>
        </w:rPr>
        <w:t xml:space="preserve">(b): </w:t>
      </w:r>
      <w:r>
        <w:rPr>
          <w:rFonts w:hint="eastAsia" w:ascii="Times New Roman" w:hAnsi="Times New Roman" w:cs="Times New Roman"/>
          <w:w w:val="108"/>
          <w:sz w:val="24"/>
          <w:szCs w:val="24"/>
        </w:rPr>
        <w:t>the spiked surface water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OT2e364b1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0OGYxNTM3MDRkMDJlOWFkYWU4NTYxMDg2N2E5ZDIifQ=="/>
  </w:docVars>
  <w:rsids>
    <w:rsidRoot w:val="69897813"/>
    <w:rsid w:val="00A96F78"/>
    <w:rsid w:val="00E92505"/>
    <w:rsid w:val="00F061EC"/>
    <w:rsid w:val="07EC303B"/>
    <w:rsid w:val="14E85EFA"/>
    <w:rsid w:val="156B7B80"/>
    <w:rsid w:val="168B4CF8"/>
    <w:rsid w:val="1B145072"/>
    <w:rsid w:val="1BB61628"/>
    <w:rsid w:val="1EC01F8F"/>
    <w:rsid w:val="25C73BCF"/>
    <w:rsid w:val="271C79C9"/>
    <w:rsid w:val="273279A0"/>
    <w:rsid w:val="2797037F"/>
    <w:rsid w:val="32D555C2"/>
    <w:rsid w:val="35252C0E"/>
    <w:rsid w:val="393C6040"/>
    <w:rsid w:val="4A1D350A"/>
    <w:rsid w:val="507C486D"/>
    <w:rsid w:val="516464A1"/>
    <w:rsid w:val="541E5E24"/>
    <w:rsid w:val="576D5C9D"/>
    <w:rsid w:val="57E24C8E"/>
    <w:rsid w:val="586C1201"/>
    <w:rsid w:val="58AA4906"/>
    <w:rsid w:val="58C31B6E"/>
    <w:rsid w:val="65CE2E1E"/>
    <w:rsid w:val="682D6301"/>
    <w:rsid w:val="69897813"/>
    <w:rsid w:val="6D0112BB"/>
    <w:rsid w:val="745E4F47"/>
    <w:rsid w:val="77446F35"/>
    <w:rsid w:val="79002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outlineLvl w:val="0"/>
    </w:p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华文楷体"/>
      <w:b/>
      <w:sz w:val="52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line="360" w:lineRule="auto"/>
      <w:jc w:val="center"/>
      <w:outlineLvl w:val="2"/>
    </w:pPr>
    <w:rPr>
      <w:rFonts w:ascii="Times New Roman" w:hAnsi="Times New Roman" w:eastAsia="宋体" w:cs="Times New Roman"/>
      <w:b/>
      <w:bCs/>
      <w:sz w:val="28"/>
      <w:szCs w:val="27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line="360" w:lineRule="auto"/>
      <w:outlineLvl w:val="3"/>
    </w:pPr>
    <w:rPr>
      <w:rFonts w:ascii="Times New Roman" w:hAnsi="Times New Roman" w:eastAsia="宋体" w:cs="Times New Roman"/>
      <w:b/>
      <w:lang w:eastAsia="en-US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4">
    <w:name w:val="Title"/>
    <w:basedOn w:val="1"/>
    <w:next w:val="1"/>
    <w:link w:val="19"/>
    <w:qFormat/>
    <w:uiPriority w:val="0"/>
    <w:pPr>
      <w:spacing w:line="480" w:lineRule="auto"/>
    </w:pPr>
    <w:rPr>
      <w:rFonts w:ascii="Times New Roman" w:hAnsi="Times New Roman" w:cs="Times New Roman"/>
      <w:sz w:val="24"/>
      <w:szCs w:val="24"/>
    </w:rPr>
  </w:style>
  <w:style w:type="paragraph" w:styleId="8">
    <w:name w:val="caption"/>
    <w:basedOn w:val="1"/>
    <w:next w:val="1"/>
    <w:semiHidden/>
    <w:unhideWhenUsed/>
    <w:qFormat/>
    <w:uiPriority w:val="0"/>
    <w:pPr>
      <w:spacing w:line="360" w:lineRule="auto"/>
      <w:jc w:val="center"/>
    </w:pPr>
    <w:rPr>
      <w:rFonts w:ascii="Arial" w:hAnsi="Arial" w:eastAsia="黑体"/>
      <w:sz w:val="24"/>
    </w:rPr>
  </w:style>
  <w:style w:type="paragraph" w:styleId="9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6">
    <w:name w:val="src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17">
    <w:name w:val="页眉 字符"/>
    <w:basedOn w:val="14"/>
    <w:link w:val="10"/>
    <w:qFormat/>
    <w:uiPriority w:val="0"/>
    <w:rPr>
      <w:kern w:val="2"/>
      <w:sz w:val="18"/>
      <w:szCs w:val="18"/>
    </w:rPr>
  </w:style>
  <w:style w:type="character" w:customStyle="1" w:styleId="18">
    <w:name w:val="页脚 字符"/>
    <w:basedOn w:val="14"/>
    <w:link w:val="9"/>
    <w:uiPriority w:val="0"/>
    <w:rPr>
      <w:kern w:val="2"/>
      <w:sz w:val="18"/>
      <w:szCs w:val="18"/>
    </w:rPr>
  </w:style>
  <w:style w:type="character" w:customStyle="1" w:styleId="19">
    <w:name w:val="标题 字符"/>
    <w:basedOn w:val="14"/>
    <w:link w:val="4"/>
    <w:qFormat/>
    <w:uiPriority w:val="0"/>
    <w:rPr>
      <w:rFonts w:ascii="Times New Roman" w:hAnsi="Times New Roman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2A23B-F963-40CC-88EC-5DF6B957B4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679</Words>
  <Characters>3568</Characters>
  <Lines>32</Lines>
  <Paragraphs>9</Paragraphs>
  <TotalTime>25</TotalTime>
  <ScaleCrop>false</ScaleCrop>
  <LinksUpToDate>false</LinksUpToDate>
  <CharactersWithSpaces>4164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2023-07-01T04:54:00Z</dcterms:created>
  <dc:creator>王燕</dc:creator>
  <cp:lastModifiedBy>王燕</cp:lastModifiedBy>
  <dcterms:modified xsi:type="dcterms:W3CDTF">2023-07-13T02:00:57Z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71A619AF18BC42E3928F686D3267CF53_11</vt:lpwstr>
  </property>
</Properties>
</file>