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4D78B4" w14:textId="77777777" w:rsidR="00A16808" w:rsidRPr="00DF350E" w:rsidRDefault="00A16808" w:rsidP="00A16808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8"/>
        </w:rPr>
      </w:pPr>
      <w:r w:rsidRPr="00DF350E">
        <w:rPr>
          <w:rFonts w:ascii="Times New Roman" w:eastAsia="Times New Roman" w:hAnsi="Times New Roman" w:cs="Times New Roman"/>
          <w:b/>
          <w:sz w:val="24"/>
          <w:szCs w:val="28"/>
        </w:rPr>
        <w:t>The role of antipsychotics and other drugs on the development and progression of Neuroleptic Malignant Syndrome</w:t>
      </w:r>
    </w:p>
    <w:p w14:paraId="2A1C538E" w14:textId="77777777" w:rsidR="00A16808" w:rsidRDefault="00A16808" w:rsidP="00A16808">
      <w:pPr>
        <w:spacing w:line="480" w:lineRule="auto"/>
        <w:outlineLvl w:val="0"/>
        <w:rPr>
          <w:rFonts w:ascii="Times New Roman" w:eastAsia="Times New Roman" w:hAnsi="Times New Roman" w:cs="Times New Roman"/>
          <w:bCs/>
          <w:sz w:val="20"/>
        </w:rPr>
      </w:pPr>
    </w:p>
    <w:p w14:paraId="1BBE30FA" w14:textId="77777777" w:rsidR="00A16808" w:rsidRDefault="00A16808" w:rsidP="00A16808">
      <w:pPr>
        <w:spacing w:line="480" w:lineRule="auto"/>
        <w:outlineLvl w:val="0"/>
        <w:rPr>
          <w:rFonts w:ascii="Times New Roman" w:eastAsia="Times New Roman" w:hAnsi="Times New Roman" w:cs="Times New Roman"/>
          <w:bCs/>
          <w:sz w:val="20"/>
          <w:vertAlign w:val="superscript"/>
        </w:rPr>
      </w:pPr>
      <w:r w:rsidRPr="00DF350E">
        <w:rPr>
          <w:rFonts w:ascii="Times New Roman" w:eastAsia="Times New Roman" w:hAnsi="Times New Roman" w:cs="Times New Roman"/>
          <w:bCs/>
          <w:sz w:val="20"/>
        </w:rPr>
        <w:t>Yoji Kyotani</w:t>
      </w:r>
      <w:r w:rsidRPr="00DF350E">
        <w:rPr>
          <w:rFonts w:ascii="Times New Roman" w:eastAsia="Times New Roman" w:hAnsi="Times New Roman" w:cs="Times New Roman"/>
          <w:bCs/>
          <w:sz w:val="20"/>
          <w:vertAlign w:val="superscript"/>
        </w:rPr>
        <w:t>1,*</w:t>
      </w:r>
      <w:r w:rsidRPr="00DF350E">
        <w:rPr>
          <w:rFonts w:ascii="Times New Roman" w:eastAsia="Times New Roman" w:hAnsi="Times New Roman" w:cs="Times New Roman"/>
          <w:bCs/>
          <w:sz w:val="20"/>
        </w:rPr>
        <w:t>, Jing Zhao</w:t>
      </w:r>
      <w:r w:rsidRPr="00DF350E">
        <w:rPr>
          <w:rFonts w:ascii="Times New Roman" w:eastAsia="Times New Roman" w:hAnsi="Times New Roman" w:cs="Times New Roman"/>
          <w:bCs/>
          <w:sz w:val="20"/>
          <w:vertAlign w:val="superscript"/>
        </w:rPr>
        <w:t>1</w:t>
      </w:r>
      <w:r w:rsidRPr="00DF350E">
        <w:rPr>
          <w:rFonts w:ascii="Times New Roman" w:eastAsia="Times New Roman" w:hAnsi="Times New Roman" w:cs="Times New Roman"/>
          <w:bCs/>
          <w:sz w:val="20"/>
        </w:rPr>
        <w:t>, Kiichi Nakahira</w:t>
      </w:r>
      <w:r w:rsidRPr="00DF350E">
        <w:rPr>
          <w:rFonts w:ascii="Times New Roman" w:eastAsia="Times New Roman" w:hAnsi="Times New Roman" w:cs="Times New Roman"/>
          <w:bCs/>
          <w:sz w:val="20"/>
          <w:vertAlign w:val="superscript"/>
        </w:rPr>
        <w:t>1</w:t>
      </w:r>
      <w:r w:rsidRPr="00DF350E">
        <w:rPr>
          <w:rFonts w:ascii="Times New Roman" w:eastAsia="Times New Roman" w:hAnsi="Times New Roman" w:cs="Times New Roman"/>
          <w:bCs/>
          <w:sz w:val="20"/>
        </w:rPr>
        <w:t>, and Masanori Yoshizumi</w:t>
      </w:r>
      <w:r w:rsidRPr="00DF350E">
        <w:rPr>
          <w:rFonts w:ascii="Times New Roman" w:eastAsia="Times New Roman" w:hAnsi="Times New Roman" w:cs="Times New Roman"/>
          <w:bCs/>
          <w:sz w:val="20"/>
          <w:vertAlign w:val="superscript"/>
        </w:rPr>
        <w:t>1</w:t>
      </w:r>
    </w:p>
    <w:p w14:paraId="6A6997BF" w14:textId="77777777" w:rsidR="00A16808" w:rsidRPr="00DF350E" w:rsidRDefault="00A16808" w:rsidP="00A16808">
      <w:pPr>
        <w:spacing w:line="480" w:lineRule="auto"/>
        <w:outlineLvl w:val="0"/>
        <w:rPr>
          <w:rFonts w:ascii="Times New Roman" w:eastAsia="Times New Roman" w:hAnsi="Times New Roman" w:cs="Times New Roman"/>
          <w:bCs/>
          <w:sz w:val="20"/>
        </w:rPr>
      </w:pPr>
    </w:p>
    <w:p w14:paraId="6FEF6BAD" w14:textId="77777777" w:rsidR="00A16808" w:rsidRPr="00DF350E" w:rsidRDefault="00A16808" w:rsidP="00A16808">
      <w:pPr>
        <w:pStyle w:val="a3"/>
        <w:numPr>
          <w:ilvl w:val="0"/>
          <w:numId w:val="5"/>
        </w:numPr>
        <w:ind w:leftChars="0" w:left="1200"/>
        <w:rPr>
          <w:rFonts w:ascii="Times New Roman" w:eastAsia="Times New Roman" w:hAnsi="Times New Roman" w:cs="Times New Roman"/>
          <w:bCs/>
          <w:i/>
          <w:iCs/>
          <w:sz w:val="20"/>
        </w:rPr>
      </w:pPr>
      <w:r w:rsidRPr="00DF350E">
        <w:rPr>
          <w:bCs/>
          <w:i/>
          <w:iCs/>
        </w:rPr>
        <w:t xml:space="preserve"> </w:t>
      </w:r>
      <w:r w:rsidRPr="00DF350E">
        <w:rPr>
          <w:rFonts w:ascii="Times New Roman" w:eastAsia="Times New Roman" w:hAnsi="Times New Roman" w:cs="Times New Roman"/>
          <w:bCs/>
          <w:i/>
          <w:iCs/>
          <w:sz w:val="20"/>
        </w:rPr>
        <w:t>Department of Pharmacology, Nara Medical University School of Medicine; 840 Shijo-cho, Kashihara, Nara 634-8521, Japan.</w:t>
      </w:r>
    </w:p>
    <w:p w14:paraId="4F02BE43" w14:textId="77777777" w:rsidR="00A16808" w:rsidRPr="00DF350E" w:rsidRDefault="00A16808" w:rsidP="00A16808">
      <w:pPr>
        <w:spacing w:line="480" w:lineRule="auto"/>
        <w:outlineLvl w:val="0"/>
        <w:rPr>
          <w:rFonts w:ascii="Times New Roman" w:hAnsi="Times New Roman" w:cs="Times New Roman"/>
          <w:b/>
          <w:sz w:val="20"/>
        </w:rPr>
      </w:pPr>
    </w:p>
    <w:p w14:paraId="3749F844" w14:textId="77777777" w:rsidR="00A16808" w:rsidRDefault="00A16808" w:rsidP="00A16808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DF350E"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 w:rsidRPr="003D66CC">
        <w:rPr>
          <w:rFonts w:ascii="Times New Roman" w:hAnsi="Times New Roman" w:cs="Times New Roman"/>
          <w:sz w:val="20"/>
          <w:szCs w:val="20"/>
        </w:rPr>
        <w:t>Corresponding author: Yoji Kyotani</w:t>
      </w:r>
    </w:p>
    <w:p w14:paraId="2BC62012" w14:textId="77777777" w:rsidR="00A16808" w:rsidRDefault="00A16808" w:rsidP="00A16808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 xml:space="preserve">-mail address: </w:t>
      </w:r>
      <w:hyperlink r:id="rId7" w:history="1">
        <w:r w:rsidRPr="00964FEE">
          <w:rPr>
            <w:rStyle w:val="a4"/>
            <w:rFonts w:ascii="Times New Roman" w:hAnsi="Times New Roman" w:cs="Times New Roman"/>
            <w:sz w:val="20"/>
            <w:szCs w:val="20"/>
          </w:rPr>
          <w:t>cd147@naramed-u.ac.jp</w:t>
        </w:r>
      </w:hyperlink>
    </w:p>
    <w:p w14:paraId="6AC9246F" w14:textId="77777777" w:rsidR="00A16808" w:rsidRPr="00E621B1" w:rsidRDefault="00A16808" w:rsidP="00A16808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ORCID: </w:t>
      </w:r>
      <w:r w:rsidRPr="003D66CC">
        <w:rPr>
          <w:rFonts w:ascii="Times New Roman" w:hAnsi="Times New Roman" w:cs="Times New Roman"/>
          <w:sz w:val="20"/>
          <w:szCs w:val="20"/>
        </w:rPr>
        <w:t>0000-0002-7771-6889</w:t>
      </w:r>
    </w:p>
    <w:p w14:paraId="3E15D864" w14:textId="77777777" w:rsidR="00BE4FA4" w:rsidRPr="003D66CC" w:rsidRDefault="00BE4FA4" w:rsidP="0000331D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1887E78" w14:textId="77777777" w:rsidR="003C21CA" w:rsidRDefault="003C21CA" w:rsidP="009B40B5">
      <w:pPr>
        <w:widowControl/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3BE62715" w14:textId="1AFC5065" w:rsidR="009B40B5" w:rsidRPr="00654712" w:rsidRDefault="009B40B5" w:rsidP="009B40B5">
      <w:pPr>
        <w:widowControl/>
        <w:spacing w:line="480" w:lineRule="auto"/>
        <w:jc w:val="left"/>
        <w:rPr>
          <w:rFonts w:ascii="Times New Roman" w:hAnsi="Times New Roman" w:cs="Times New Roman"/>
          <w:sz w:val="20"/>
          <w:szCs w:val="20"/>
        </w:rPr>
        <w:sectPr w:rsidR="009B40B5" w:rsidRPr="00654712">
          <w:footerReference w:type="default" r:id="rId8"/>
          <w:pgSz w:w="11906" w:h="16838"/>
          <w:pgMar w:top="1985" w:right="1701" w:bottom="1701" w:left="1701" w:header="851" w:footer="992" w:gutter="0"/>
          <w:cols w:space="425"/>
          <w:docGrid w:type="lines" w:linePitch="360"/>
        </w:sectPr>
      </w:pPr>
    </w:p>
    <w:p w14:paraId="7060A85A" w14:textId="238B3FAF" w:rsidR="001E573D" w:rsidRPr="001E573D" w:rsidRDefault="001E573D" w:rsidP="001E573D">
      <w:pPr>
        <w:pStyle w:val="ae"/>
        <w:keepNext/>
        <w:rPr>
          <w:rFonts w:ascii="Times New Roman" w:hAnsi="Times New Roman" w:cs="Times New Roman"/>
          <w:sz w:val="20"/>
          <w:szCs w:val="20"/>
        </w:rPr>
      </w:pPr>
      <w:r w:rsidRPr="001E573D">
        <w:rPr>
          <w:rFonts w:ascii="Times New Roman" w:hAnsi="Times New Roman" w:cs="Times New Roman"/>
          <w:sz w:val="20"/>
          <w:szCs w:val="20"/>
        </w:rPr>
        <w:lastRenderedPageBreak/>
        <w:t xml:space="preserve">Supplementary Table </w:t>
      </w:r>
      <w:r w:rsidRPr="001E573D">
        <w:rPr>
          <w:rFonts w:ascii="Times New Roman" w:hAnsi="Times New Roman" w:cs="Times New Roman"/>
          <w:sz w:val="20"/>
          <w:szCs w:val="20"/>
        </w:rPr>
        <w:fldChar w:fldCharType="begin"/>
      </w:r>
      <w:r w:rsidRPr="001E573D">
        <w:rPr>
          <w:rFonts w:ascii="Times New Roman" w:hAnsi="Times New Roman" w:cs="Times New Roman"/>
          <w:sz w:val="20"/>
          <w:szCs w:val="20"/>
        </w:rPr>
        <w:instrText xml:space="preserve"> SEQ Table \* ARABIC </w:instrText>
      </w:r>
      <w:r w:rsidRPr="001E573D">
        <w:rPr>
          <w:rFonts w:ascii="Times New Roman" w:hAnsi="Times New Roman" w:cs="Times New Roman"/>
          <w:sz w:val="20"/>
          <w:szCs w:val="20"/>
        </w:rPr>
        <w:fldChar w:fldCharType="separate"/>
      </w:r>
      <w:r w:rsidR="00572C85">
        <w:rPr>
          <w:rFonts w:ascii="Times New Roman" w:hAnsi="Times New Roman" w:cs="Times New Roman"/>
          <w:noProof/>
          <w:sz w:val="20"/>
          <w:szCs w:val="20"/>
        </w:rPr>
        <w:t>1</w:t>
      </w:r>
      <w:r w:rsidRPr="001E573D">
        <w:rPr>
          <w:rFonts w:ascii="Times New Roman" w:hAnsi="Times New Roman" w:cs="Times New Roman"/>
          <w:sz w:val="20"/>
          <w:szCs w:val="20"/>
        </w:rPr>
        <w:fldChar w:fldCharType="end"/>
      </w:r>
      <w:r w:rsidRPr="001E573D">
        <w:rPr>
          <w:rFonts w:ascii="Times New Roman" w:hAnsi="Times New Roman" w:cs="Times New Roman"/>
          <w:sz w:val="20"/>
          <w:szCs w:val="20"/>
        </w:rPr>
        <w:t xml:space="preserve"> </w:t>
      </w:r>
      <w:r w:rsidRPr="001E573D">
        <w:rPr>
          <w:rFonts w:ascii="Times New Roman" w:hAnsi="Times New Roman" w:cs="Times New Roman"/>
          <w:b w:val="0"/>
          <w:bCs w:val="0"/>
          <w:sz w:val="20"/>
          <w:szCs w:val="20"/>
        </w:rPr>
        <w:t>KEGG pathways for each drug</w:t>
      </w:r>
    </w:p>
    <w:tbl>
      <w:tblPr>
        <w:tblStyle w:val="aa"/>
        <w:tblW w:w="13041" w:type="dxa"/>
        <w:tblInd w:w="-5" w:type="dxa"/>
        <w:tblLook w:val="04A0" w:firstRow="1" w:lastRow="0" w:firstColumn="1" w:lastColumn="0" w:noHBand="0" w:noVBand="1"/>
      </w:tblPr>
      <w:tblGrid>
        <w:gridCol w:w="5103"/>
        <w:gridCol w:w="7938"/>
      </w:tblGrid>
      <w:tr w:rsidR="006478BA" w:rsidRPr="001E573D" w14:paraId="34BE9B1B" w14:textId="77777777" w:rsidTr="00DC2CBA">
        <w:trPr>
          <w:trHeight w:val="416"/>
        </w:trPr>
        <w:tc>
          <w:tcPr>
            <w:tcW w:w="5103" w:type="dxa"/>
            <w:tcBorders>
              <w:top w:val="single" w:sz="4" w:space="0" w:color="auto"/>
            </w:tcBorders>
          </w:tcPr>
          <w:p w14:paraId="5EB2E378" w14:textId="77777777" w:rsidR="006478BA" w:rsidRPr="001E573D" w:rsidRDefault="006478BA" w:rsidP="00D324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Drug</w:t>
            </w:r>
          </w:p>
        </w:tc>
        <w:tc>
          <w:tcPr>
            <w:tcW w:w="7938" w:type="dxa"/>
            <w:tcBorders>
              <w:top w:val="single" w:sz="4" w:space="0" w:color="auto"/>
            </w:tcBorders>
          </w:tcPr>
          <w:p w14:paraId="0FCD61CA" w14:textId="28B3FACA" w:rsidR="006478BA" w:rsidRPr="001E573D" w:rsidRDefault="006478BA" w:rsidP="00D324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KEGG pathway</w:t>
            </w:r>
          </w:p>
        </w:tc>
      </w:tr>
      <w:tr w:rsidR="00DC2CBA" w:rsidRPr="001E573D" w14:paraId="274811B9" w14:textId="77777777" w:rsidTr="00DC2CBA">
        <w:trPr>
          <w:trHeight w:val="383"/>
        </w:trPr>
        <w:tc>
          <w:tcPr>
            <w:tcW w:w="5103" w:type="dxa"/>
          </w:tcPr>
          <w:p w14:paraId="02F4E6F3" w14:textId="77777777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Risperidone</w:t>
            </w:r>
          </w:p>
        </w:tc>
        <w:tc>
          <w:tcPr>
            <w:tcW w:w="7938" w:type="dxa"/>
          </w:tcPr>
          <w:p w14:paraId="084C9774" w14:textId="0DB9A30B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hsa04080, hsa04726, hsa04728</w:t>
            </w:r>
          </w:p>
        </w:tc>
      </w:tr>
      <w:tr w:rsidR="00DC2CBA" w:rsidRPr="001E573D" w14:paraId="2337FEBF" w14:textId="77777777" w:rsidTr="00DC2CBA">
        <w:trPr>
          <w:trHeight w:val="395"/>
        </w:trPr>
        <w:tc>
          <w:tcPr>
            <w:tcW w:w="5103" w:type="dxa"/>
          </w:tcPr>
          <w:p w14:paraId="12DCBF99" w14:textId="77777777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Aripiprazole</w:t>
            </w:r>
          </w:p>
        </w:tc>
        <w:tc>
          <w:tcPr>
            <w:tcW w:w="7938" w:type="dxa"/>
          </w:tcPr>
          <w:p w14:paraId="39AF1ECF" w14:textId="25B08F46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hsa04080, hsa04726, hsa04728</w:t>
            </w:r>
          </w:p>
        </w:tc>
      </w:tr>
      <w:tr w:rsidR="00DC2CBA" w:rsidRPr="001E573D" w14:paraId="44EA58A6" w14:textId="77777777" w:rsidTr="00DC2CBA">
        <w:trPr>
          <w:trHeight w:val="383"/>
        </w:trPr>
        <w:tc>
          <w:tcPr>
            <w:tcW w:w="5103" w:type="dxa"/>
          </w:tcPr>
          <w:p w14:paraId="36349963" w14:textId="77777777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Haloperidol</w:t>
            </w:r>
          </w:p>
        </w:tc>
        <w:tc>
          <w:tcPr>
            <w:tcW w:w="7938" w:type="dxa"/>
          </w:tcPr>
          <w:p w14:paraId="1AED470E" w14:textId="017545B4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hsa04080, hsa04728</w:t>
            </w:r>
          </w:p>
        </w:tc>
      </w:tr>
      <w:tr w:rsidR="00DC2CBA" w:rsidRPr="001E573D" w14:paraId="7E532FB0" w14:textId="77777777" w:rsidTr="00DC2CBA">
        <w:trPr>
          <w:trHeight w:val="383"/>
        </w:trPr>
        <w:tc>
          <w:tcPr>
            <w:tcW w:w="5103" w:type="dxa"/>
          </w:tcPr>
          <w:p w14:paraId="6D57B24B" w14:textId="77777777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Olanzapine</w:t>
            </w:r>
          </w:p>
        </w:tc>
        <w:tc>
          <w:tcPr>
            <w:tcW w:w="7938" w:type="dxa"/>
          </w:tcPr>
          <w:p w14:paraId="585FC6DA" w14:textId="0AFFB2A1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hsa04080, hsa04726, hsa04728</w:t>
            </w:r>
          </w:p>
        </w:tc>
      </w:tr>
      <w:tr w:rsidR="00DC2CBA" w:rsidRPr="001E573D" w14:paraId="03F9A93B" w14:textId="77777777" w:rsidTr="00DC2CBA">
        <w:trPr>
          <w:trHeight w:val="383"/>
        </w:trPr>
        <w:tc>
          <w:tcPr>
            <w:tcW w:w="5103" w:type="dxa"/>
          </w:tcPr>
          <w:p w14:paraId="58598007" w14:textId="77777777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Quetiapine fumarate</w:t>
            </w:r>
          </w:p>
        </w:tc>
        <w:tc>
          <w:tcPr>
            <w:tcW w:w="7938" w:type="dxa"/>
          </w:tcPr>
          <w:p w14:paraId="7C916794" w14:textId="0E7492B9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hsa04080, hsa04726, hsa04728</w:t>
            </w:r>
          </w:p>
        </w:tc>
      </w:tr>
      <w:tr w:rsidR="00DC2CBA" w:rsidRPr="001E573D" w14:paraId="2CB358AE" w14:textId="77777777" w:rsidTr="00DC2CBA">
        <w:trPr>
          <w:trHeight w:val="383"/>
        </w:trPr>
        <w:tc>
          <w:tcPr>
            <w:tcW w:w="5103" w:type="dxa"/>
          </w:tcPr>
          <w:p w14:paraId="1BDDFD66" w14:textId="77777777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Blonanserin</w:t>
            </w:r>
          </w:p>
        </w:tc>
        <w:tc>
          <w:tcPr>
            <w:tcW w:w="7938" w:type="dxa"/>
          </w:tcPr>
          <w:p w14:paraId="2E4EF80A" w14:textId="292D8615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hsa04080, hsa04726, hsa04728</w:t>
            </w:r>
          </w:p>
        </w:tc>
      </w:tr>
      <w:tr w:rsidR="00DC2CBA" w:rsidRPr="001E573D" w14:paraId="0EB3E048" w14:textId="77777777" w:rsidTr="00DC2CBA">
        <w:trPr>
          <w:trHeight w:val="383"/>
        </w:trPr>
        <w:tc>
          <w:tcPr>
            <w:tcW w:w="5103" w:type="dxa"/>
          </w:tcPr>
          <w:p w14:paraId="775DD191" w14:textId="77777777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Paroxetine hydrochloride hemihydrate</w:t>
            </w:r>
          </w:p>
        </w:tc>
        <w:tc>
          <w:tcPr>
            <w:tcW w:w="7938" w:type="dxa"/>
          </w:tcPr>
          <w:p w14:paraId="653D9704" w14:textId="527D9EAB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hsa04726</w:t>
            </w:r>
          </w:p>
        </w:tc>
      </w:tr>
      <w:tr w:rsidR="00DC2CBA" w:rsidRPr="001E573D" w14:paraId="12FC0EA0" w14:textId="77777777" w:rsidTr="00DC2CBA">
        <w:trPr>
          <w:trHeight w:val="383"/>
        </w:trPr>
        <w:tc>
          <w:tcPr>
            <w:tcW w:w="5103" w:type="dxa"/>
          </w:tcPr>
          <w:p w14:paraId="25AFE67A" w14:textId="77777777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Levomepromazine maleate</w:t>
            </w:r>
          </w:p>
        </w:tc>
        <w:tc>
          <w:tcPr>
            <w:tcW w:w="7938" w:type="dxa"/>
          </w:tcPr>
          <w:p w14:paraId="68299243" w14:textId="383CEFCF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hsa04080, hsa04728</w:t>
            </w:r>
          </w:p>
        </w:tc>
      </w:tr>
      <w:tr w:rsidR="00DC2CBA" w:rsidRPr="001E573D" w14:paraId="2F00CF16" w14:textId="77777777" w:rsidTr="00DC2CBA">
        <w:trPr>
          <w:trHeight w:val="383"/>
        </w:trPr>
        <w:tc>
          <w:tcPr>
            <w:tcW w:w="5103" w:type="dxa"/>
          </w:tcPr>
          <w:p w14:paraId="6AC9C373" w14:textId="77777777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Biperiden hydrochloride</w:t>
            </w:r>
          </w:p>
        </w:tc>
        <w:tc>
          <w:tcPr>
            <w:tcW w:w="7938" w:type="dxa"/>
          </w:tcPr>
          <w:p w14:paraId="595BFCE0" w14:textId="14C8A6BA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hsa04080, hsa04725</w:t>
            </w:r>
          </w:p>
        </w:tc>
      </w:tr>
      <w:tr w:rsidR="00DC2CBA" w:rsidRPr="001E573D" w14:paraId="6CC61D6E" w14:textId="77777777" w:rsidTr="00DC2CBA">
        <w:trPr>
          <w:trHeight w:val="383"/>
        </w:trPr>
        <w:tc>
          <w:tcPr>
            <w:tcW w:w="5103" w:type="dxa"/>
          </w:tcPr>
          <w:p w14:paraId="4D153CE2" w14:textId="1A762B6A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Perospirone hydrochloride hydrate</w:t>
            </w:r>
            <w:r w:rsidRPr="001E573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7938" w:type="dxa"/>
          </w:tcPr>
          <w:p w14:paraId="42CD854A" w14:textId="70B0EED5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hsa04020, hsa04080, hsa04540</w:t>
            </w:r>
          </w:p>
        </w:tc>
      </w:tr>
      <w:tr w:rsidR="00DC2CBA" w:rsidRPr="001E573D" w14:paraId="60E5AFFF" w14:textId="77777777" w:rsidTr="00DC2CBA">
        <w:trPr>
          <w:trHeight w:val="383"/>
        </w:trPr>
        <w:tc>
          <w:tcPr>
            <w:tcW w:w="5103" w:type="dxa"/>
          </w:tcPr>
          <w:p w14:paraId="0763F1B0" w14:textId="77777777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Sulpiride</w:t>
            </w:r>
          </w:p>
        </w:tc>
        <w:tc>
          <w:tcPr>
            <w:tcW w:w="7938" w:type="dxa"/>
          </w:tcPr>
          <w:p w14:paraId="203B8FA2" w14:textId="4EC7433C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hsa04080, hsa04728</w:t>
            </w:r>
          </w:p>
        </w:tc>
      </w:tr>
      <w:tr w:rsidR="00DC2CBA" w:rsidRPr="001E573D" w14:paraId="597146E2" w14:textId="77777777" w:rsidTr="00DC2CBA">
        <w:trPr>
          <w:trHeight w:val="383"/>
        </w:trPr>
        <w:tc>
          <w:tcPr>
            <w:tcW w:w="5103" w:type="dxa"/>
          </w:tcPr>
          <w:p w14:paraId="669DBD53" w14:textId="77777777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Lithium carbonate</w:t>
            </w:r>
          </w:p>
        </w:tc>
        <w:tc>
          <w:tcPr>
            <w:tcW w:w="7938" w:type="dxa"/>
          </w:tcPr>
          <w:p w14:paraId="4C750460" w14:textId="2262A65A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2CBA" w:rsidRPr="001E573D" w14:paraId="0B6A8E66" w14:textId="77777777" w:rsidTr="00DC2CBA">
        <w:trPr>
          <w:trHeight w:val="383"/>
        </w:trPr>
        <w:tc>
          <w:tcPr>
            <w:tcW w:w="5103" w:type="dxa"/>
          </w:tcPr>
          <w:p w14:paraId="69B93466" w14:textId="77777777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Flunitrazepam</w:t>
            </w:r>
          </w:p>
        </w:tc>
        <w:tc>
          <w:tcPr>
            <w:tcW w:w="7938" w:type="dxa"/>
          </w:tcPr>
          <w:p w14:paraId="011C2744" w14:textId="4D6B3754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hsa04080, hsa04727</w:t>
            </w:r>
          </w:p>
        </w:tc>
      </w:tr>
      <w:tr w:rsidR="00DC2CBA" w:rsidRPr="001E573D" w14:paraId="08F7E01A" w14:textId="77777777" w:rsidTr="00DC2CBA">
        <w:trPr>
          <w:trHeight w:val="383"/>
        </w:trPr>
        <w:tc>
          <w:tcPr>
            <w:tcW w:w="5103" w:type="dxa"/>
          </w:tcPr>
          <w:p w14:paraId="11E59010" w14:textId="77777777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Amantadine hydrochloride</w:t>
            </w:r>
          </w:p>
        </w:tc>
        <w:tc>
          <w:tcPr>
            <w:tcW w:w="7938" w:type="dxa"/>
          </w:tcPr>
          <w:p w14:paraId="2ED46159" w14:textId="253665E3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hsa04080, hsa04724, hsa04728, ko03230, ko05164</w:t>
            </w:r>
          </w:p>
        </w:tc>
      </w:tr>
      <w:tr w:rsidR="00DC2CBA" w:rsidRPr="001E573D" w14:paraId="397EF37D" w14:textId="77777777" w:rsidTr="00DC2CBA">
        <w:trPr>
          <w:trHeight w:val="383"/>
        </w:trPr>
        <w:tc>
          <w:tcPr>
            <w:tcW w:w="5103" w:type="dxa"/>
          </w:tcPr>
          <w:p w14:paraId="285D0CA1" w14:textId="77777777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Paliperidone</w:t>
            </w:r>
          </w:p>
        </w:tc>
        <w:tc>
          <w:tcPr>
            <w:tcW w:w="7938" w:type="dxa"/>
          </w:tcPr>
          <w:p w14:paraId="14BA4565" w14:textId="32EF7D2C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hsa04080, hsa04726, hsa04728</w:t>
            </w:r>
          </w:p>
        </w:tc>
      </w:tr>
      <w:tr w:rsidR="00DC2CBA" w:rsidRPr="001E573D" w14:paraId="1B0C29BB" w14:textId="77777777" w:rsidTr="00DC2CBA">
        <w:trPr>
          <w:trHeight w:val="383"/>
        </w:trPr>
        <w:tc>
          <w:tcPr>
            <w:tcW w:w="5103" w:type="dxa"/>
          </w:tcPr>
          <w:p w14:paraId="564FCF83" w14:textId="77777777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Donepezil hydrochloride</w:t>
            </w:r>
          </w:p>
        </w:tc>
        <w:tc>
          <w:tcPr>
            <w:tcW w:w="7938" w:type="dxa"/>
          </w:tcPr>
          <w:p w14:paraId="4ED8AAE8" w14:textId="28A1D44E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hsa00564, hsa04725</w:t>
            </w:r>
          </w:p>
        </w:tc>
      </w:tr>
      <w:tr w:rsidR="00DC2CBA" w:rsidRPr="001E573D" w14:paraId="48D487F3" w14:textId="77777777" w:rsidTr="00DC2CBA">
        <w:trPr>
          <w:trHeight w:val="383"/>
        </w:trPr>
        <w:tc>
          <w:tcPr>
            <w:tcW w:w="5103" w:type="dxa"/>
          </w:tcPr>
          <w:p w14:paraId="3CA9AF0B" w14:textId="77777777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Carbamazepine</w:t>
            </w:r>
          </w:p>
        </w:tc>
        <w:tc>
          <w:tcPr>
            <w:tcW w:w="7938" w:type="dxa"/>
          </w:tcPr>
          <w:p w14:paraId="54AD171B" w14:textId="635A8D93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hsa04728</w:t>
            </w:r>
          </w:p>
        </w:tc>
      </w:tr>
      <w:tr w:rsidR="00DC2CBA" w:rsidRPr="001E573D" w14:paraId="0D22E6B7" w14:textId="77777777" w:rsidTr="00DC2CBA">
        <w:trPr>
          <w:trHeight w:val="383"/>
        </w:trPr>
        <w:tc>
          <w:tcPr>
            <w:tcW w:w="5103" w:type="dxa"/>
          </w:tcPr>
          <w:p w14:paraId="1C704394" w14:textId="77777777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Chlorpromazine hydrochloride</w:t>
            </w:r>
          </w:p>
        </w:tc>
        <w:tc>
          <w:tcPr>
            <w:tcW w:w="7938" w:type="dxa"/>
          </w:tcPr>
          <w:p w14:paraId="19DD577D" w14:textId="23F6270E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hsa04080, hsa04725, hsa04726, hsa04728</w:t>
            </w:r>
          </w:p>
        </w:tc>
      </w:tr>
      <w:tr w:rsidR="00DC2CBA" w:rsidRPr="001E573D" w14:paraId="059F57F8" w14:textId="77777777" w:rsidTr="00DC2CBA">
        <w:trPr>
          <w:trHeight w:val="383"/>
        </w:trPr>
        <w:tc>
          <w:tcPr>
            <w:tcW w:w="5103" w:type="dxa"/>
          </w:tcPr>
          <w:p w14:paraId="0EF9B06F" w14:textId="77777777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Fluvoxamine maleate</w:t>
            </w:r>
          </w:p>
        </w:tc>
        <w:tc>
          <w:tcPr>
            <w:tcW w:w="7938" w:type="dxa"/>
          </w:tcPr>
          <w:p w14:paraId="1BF23D69" w14:textId="35451815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hsa04726</w:t>
            </w:r>
          </w:p>
        </w:tc>
      </w:tr>
      <w:tr w:rsidR="00DC2CBA" w:rsidRPr="001E573D" w14:paraId="537856C5" w14:textId="77777777" w:rsidTr="00DC2CBA">
        <w:trPr>
          <w:trHeight w:val="383"/>
        </w:trPr>
        <w:tc>
          <w:tcPr>
            <w:tcW w:w="5103" w:type="dxa"/>
          </w:tcPr>
          <w:p w14:paraId="4CFE82E9" w14:textId="77777777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Brexpiprazole</w:t>
            </w:r>
          </w:p>
        </w:tc>
        <w:tc>
          <w:tcPr>
            <w:tcW w:w="7938" w:type="dxa"/>
          </w:tcPr>
          <w:p w14:paraId="5AF0F8DD" w14:textId="36B9A8DC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hsa04080, hsa04726, hsa04728</w:t>
            </w:r>
          </w:p>
        </w:tc>
      </w:tr>
      <w:tr w:rsidR="00DC2CBA" w:rsidRPr="001E573D" w14:paraId="4009CDB6" w14:textId="77777777" w:rsidTr="00DC2CBA">
        <w:trPr>
          <w:trHeight w:val="383"/>
        </w:trPr>
        <w:tc>
          <w:tcPr>
            <w:tcW w:w="5103" w:type="dxa"/>
          </w:tcPr>
          <w:p w14:paraId="4AA5A858" w14:textId="77777777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Midazolam</w:t>
            </w:r>
          </w:p>
        </w:tc>
        <w:tc>
          <w:tcPr>
            <w:tcW w:w="7938" w:type="dxa"/>
          </w:tcPr>
          <w:p w14:paraId="50381D92" w14:textId="0B8FC17D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hsa04080, hsa04727</w:t>
            </w:r>
          </w:p>
        </w:tc>
      </w:tr>
      <w:tr w:rsidR="00DC2CBA" w:rsidRPr="001E573D" w14:paraId="157A6E5A" w14:textId="77777777" w:rsidTr="00DC2CBA">
        <w:trPr>
          <w:trHeight w:val="383"/>
        </w:trPr>
        <w:tc>
          <w:tcPr>
            <w:tcW w:w="5103" w:type="dxa"/>
          </w:tcPr>
          <w:p w14:paraId="53259150" w14:textId="77777777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Milnacipran hydrochloride</w:t>
            </w:r>
          </w:p>
        </w:tc>
        <w:tc>
          <w:tcPr>
            <w:tcW w:w="7938" w:type="dxa"/>
          </w:tcPr>
          <w:p w14:paraId="63448DDD" w14:textId="24FE896A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hsa04721, hsa04726</w:t>
            </w:r>
          </w:p>
        </w:tc>
      </w:tr>
      <w:tr w:rsidR="00DC2CBA" w:rsidRPr="001E573D" w14:paraId="4B6727FB" w14:textId="77777777" w:rsidTr="00DC2CBA">
        <w:trPr>
          <w:trHeight w:val="383"/>
        </w:trPr>
        <w:tc>
          <w:tcPr>
            <w:tcW w:w="5103" w:type="dxa"/>
          </w:tcPr>
          <w:p w14:paraId="14E81F48" w14:textId="77777777" w:rsidR="00DC2CBA" w:rsidRPr="00E4408B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408B">
              <w:rPr>
                <w:rFonts w:ascii="Times New Roman" w:hAnsi="Times New Roman" w:cs="Times New Roman"/>
                <w:sz w:val="20"/>
                <w:szCs w:val="20"/>
              </w:rPr>
              <w:t>Etizolam</w:t>
            </w:r>
          </w:p>
        </w:tc>
        <w:tc>
          <w:tcPr>
            <w:tcW w:w="7938" w:type="dxa"/>
          </w:tcPr>
          <w:p w14:paraId="2804C38E" w14:textId="53EA7967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hsa04080, hsa04727</w:t>
            </w:r>
          </w:p>
        </w:tc>
      </w:tr>
      <w:tr w:rsidR="00DC2CBA" w:rsidRPr="001E573D" w14:paraId="6CE88846" w14:textId="77777777" w:rsidTr="00DC2CBA">
        <w:trPr>
          <w:trHeight w:val="383"/>
        </w:trPr>
        <w:tc>
          <w:tcPr>
            <w:tcW w:w="5103" w:type="dxa"/>
          </w:tcPr>
          <w:p w14:paraId="4F75A0F9" w14:textId="446A1819" w:rsidR="00DC2CBA" w:rsidRPr="00E4408B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408B">
              <w:rPr>
                <w:rFonts w:ascii="Times New Roman" w:hAnsi="Times New Roman" w:cs="Times New Roman"/>
                <w:sz w:val="20"/>
                <w:szCs w:val="20"/>
              </w:rPr>
              <w:t>Tiapride hydrochloride</w:t>
            </w:r>
          </w:p>
        </w:tc>
        <w:tc>
          <w:tcPr>
            <w:tcW w:w="7938" w:type="dxa"/>
          </w:tcPr>
          <w:p w14:paraId="6EAD53A9" w14:textId="654052B6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hsa04080, hsa04728</w:t>
            </w:r>
          </w:p>
        </w:tc>
      </w:tr>
      <w:tr w:rsidR="00DC2CBA" w:rsidRPr="001E573D" w14:paraId="08E82B3B" w14:textId="77777777" w:rsidTr="00DC2CBA">
        <w:trPr>
          <w:trHeight w:val="383"/>
        </w:trPr>
        <w:tc>
          <w:tcPr>
            <w:tcW w:w="5103" w:type="dxa"/>
          </w:tcPr>
          <w:p w14:paraId="2FC0CC15" w14:textId="77777777" w:rsidR="00DC2CBA" w:rsidRPr="00E4408B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408B">
              <w:rPr>
                <w:rFonts w:ascii="Times New Roman" w:hAnsi="Times New Roman" w:cs="Times New Roman"/>
                <w:sz w:val="20"/>
                <w:szCs w:val="20"/>
              </w:rPr>
              <w:t>Promethazine hydrochloride</w:t>
            </w:r>
          </w:p>
        </w:tc>
        <w:tc>
          <w:tcPr>
            <w:tcW w:w="7938" w:type="dxa"/>
          </w:tcPr>
          <w:p w14:paraId="126215C7" w14:textId="6FB1F857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hsa04020, hsa04080, hsa04750</w:t>
            </w:r>
          </w:p>
        </w:tc>
      </w:tr>
      <w:tr w:rsidR="00DC2CBA" w:rsidRPr="001E573D" w14:paraId="06580799" w14:textId="77777777" w:rsidTr="00DC2CBA">
        <w:trPr>
          <w:trHeight w:val="383"/>
        </w:trPr>
        <w:tc>
          <w:tcPr>
            <w:tcW w:w="5103" w:type="dxa"/>
          </w:tcPr>
          <w:p w14:paraId="4DCF2018" w14:textId="77777777" w:rsidR="00DC2CBA" w:rsidRPr="00E4408B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408B">
              <w:rPr>
                <w:rFonts w:ascii="Times New Roman" w:hAnsi="Times New Roman" w:cs="Times New Roman"/>
                <w:sz w:val="20"/>
                <w:szCs w:val="20"/>
              </w:rPr>
              <w:t>Zotepine</w:t>
            </w:r>
          </w:p>
        </w:tc>
        <w:tc>
          <w:tcPr>
            <w:tcW w:w="7938" w:type="dxa"/>
          </w:tcPr>
          <w:p w14:paraId="1E0F1243" w14:textId="199114D9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hsa04080, hsa04726, hsa04728</w:t>
            </w:r>
          </w:p>
        </w:tc>
      </w:tr>
      <w:tr w:rsidR="00DC2CBA" w:rsidRPr="001E573D" w14:paraId="0FDDD2D6" w14:textId="77777777" w:rsidTr="00DC2CBA">
        <w:trPr>
          <w:trHeight w:val="383"/>
        </w:trPr>
        <w:tc>
          <w:tcPr>
            <w:tcW w:w="5103" w:type="dxa"/>
          </w:tcPr>
          <w:p w14:paraId="7A282071" w14:textId="77777777" w:rsidR="00DC2CBA" w:rsidRPr="00E4408B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408B">
              <w:rPr>
                <w:rFonts w:ascii="Times New Roman" w:hAnsi="Times New Roman" w:cs="Times New Roman"/>
                <w:sz w:val="20"/>
                <w:szCs w:val="20"/>
              </w:rPr>
              <w:t>Clozapine</w:t>
            </w:r>
          </w:p>
        </w:tc>
        <w:tc>
          <w:tcPr>
            <w:tcW w:w="7938" w:type="dxa"/>
          </w:tcPr>
          <w:p w14:paraId="7071812A" w14:textId="6DD98A64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hsa04080, hsa04726, hsa04728</w:t>
            </w:r>
          </w:p>
        </w:tc>
      </w:tr>
      <w:tr w:rsidR="00DC2CBA" w:rsidRPr="001E573D" w14:paraId="6591D94D" w14:textId="77777777" w:rsidTr="00DC2CBA">
        <w:trPr>
          <w:trHeight w:val="383"/>
        </w:trPr>
        <w:tc>
          <w:tcPr>
            <w:tcW w:w="5103" w:type="dxa"/>
          </w:tcPr>
          <w:p w14:paraId="4BEE0241" w14:textId="77777777" w:rsidR="00DC2CBA" w:rsidRPr="00E4408B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408B">
              <w:rPr>
                <w:rFonts w:ascii="Times New Roman" w:hAnsi="Times New Roman" w:cs="Times New Roman"/>
                <w:sz w:val="20"/>
                <w:szCs w:val="20"/>
              </w:rPr>
              <w:t>Paliperidone palmitate</w:t>
            </w:r>
          </w:p>
        </w:tc>
        <w:tc>
          <w:tcPr>
            <w:tcW w:w="7938" w:type="dxa"/>
          </w:tcPr>
          <w:p w14:paraId="04D95F65" w14:textId="4D9F1C0F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hsa04080, hsa04726, hsa04728</w:t>
            </w:r>
          </w:p>
        </w:tc>
      </w:tr>
      <w:tr w:rsidR="00DC2CBA" w:rsidRPr="001E573D" w14:paraId="4AED922B" w14:textId="77777777" w:rsidTr="00DC2CBA">
        <w:trPr>
          <w:trHeight w:val="383"/>
        </w:trPr>
        <w:tc>
          <w:tcPr>
            <w:tcW w:w="5103" w:type="dxa"/>
          </w:tcPr>
          <w:p w14:paraId="274A4B9F" w14:textId="77777777" w:rsidR="00DC2CBA" w:rsidRPr="00E4408B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408B">
              <w:rPr>
                <w:rFonts w:ascii="Times New Roman" w:hAnsi="Times New Roman" w:cs="Times New Roman"/>
                <w:sz w:val="20"/>
                <w:szCs w:val="20"/>
              </w:rPr>
              <w:t>Clomipramine hydrochloride</w:t>
            </w:r>
          </w:p>
        </w:tc>
        <w:tc>
          <w:tcPr>
            <w:tcW w:w="7938" w:type="dxa"/>
          </w:tcPr>
          <w:p w14:paraId="6843D4C5" w14:textId="6C043D7E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hsa04721, hsa04726</w:t>
            </w:r>
          </w:p>
        </w:tc>
      </w:tr>
      <w:tr w:rsidR="00DC2CBA" w:rsidRPr="001E573D" w14:paraId="14429C05" w14:textId="77777777" w:rsidTr="00DC2CBA">
        <w:trPr>
          <w:trHeight w:val="383"/>
        </w:trPr>
        <w:tc>
          <w:tcPr>
            <w:tcW w:w="5103" w:type="dxa"/>
          </w:tcPr>
          <w:p w14:paraId="170D4E7F" w14:textId="77777777" w:rsidR="00DC2CBA" w:rsidRPr="00E4408B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408B">
              <w:rPr>
                <w:rFonts w:ascii="Times New Roman" w:hAnsi="Times New Roman" w:cs="Times New Roman"/>
                <w:sz w:val="20"/>
                <w:szCs w:val="20"/>
              </w:rPr>
              <w:t>Valproate sodium</w:t>
            </w:r>
          </w:p>
        </w:tc>
        <w:tc>
          <w:tcPr>
            <w:tcW w:w="7938" w:type="dxa"/>
          </w:tcPr>
          <w:p w14:paraId="74890D90" w14:textId="79B80700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hsa04020, hsa04727</w:t>
            </w:r>
          </w:p>
        </w:tc>
      </w:tr>
      <w:tr w:rsidR="00DC2CBA" w:rsidRPr="001E573D" w14:paraId="5C34BEA1" w14:textId="77777777" w:rsidTr="00DC2CBA">
        <w:trPr>
          <w:trHeight w:val="383"/>
        </w:trPr>
        <w:tc>
          <w:tcPr>
            <w:tcW w:w="5103" w:type="dxa"/>
          </w:tcPr>
          <w:p w14:paraId="5A6838EB" w14:textId="31DBDA37" w:rsidR="00DC2CBA" w:rsidRPr="00E4408B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408B">
              <w:rPr>
                <w:rFonts w:ascii="Times New Roman" w:hAnsi="Times New Roman" w:cs="Times New Roman"/>
                <w:sz w:val="20"/>
                <w:szCs w:val="20"/>
              </w:rPr>
              <w:t>Chlorpromazine hydrochloride, promethazine hydrochloride and phenobarbital</w:t>
            </w:r>
            <w:r w:rsidRPr="00E4408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  <w:r w:rsidRPr="00E4408B">
              <w:rPr>
                <w:rFonts w:ascii="Times New Roman" w:hAnsi="Times New Roman" w:cs="Times New Roman"/>
                <w:sz w:val="20"/>
                <w:szCs w:val="20"/>
              </w:rPr>
              <w:t xml:space="preserve"> (Suspension of sale)</w:t>
            </w:r>
          </w:p>
        </w:tc>
        <w:tc>
          <w:tcPr>
            <w:tcW w:w="7938" w:type="dxa"/>
          </w:tcPr>
          <w:p w14:paraId="6B5C65B0" w14:textId="23F19180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hsa04080, hsa04725, hsa04726, hsa04728; hsa04020, hsa04080, hsa04750; hsa04080, hsa04727</w:t>
            </w:r>
          </w:p>
        </w:tc>
      </w:tr>
      <w:tr w:rsidR="00DC2CBA" w:rsidRPr="001E573D" w14:paraId="64DB9647" w14:textId="77777777" w:rsidTr="00DC2CBA">
        <w:trPr>
          <w:trHeight w:val="383"/>
        </w:trPr>
        <w:tc>
          <w:tcPr>
            <w:tcW w:w="5103" w:type="dxa"/>
          </w:tcPr>
          <w:p w14:paraId="6E81FC5B" w14:textId="77777777" w:rsidR="00DC2CBA" w:rsidRPr="00E4408B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408B">
              <w:rPr>
                <w:rFonts w:ascii="Times New Roman" w:hAnsi="Times New Roman" w:cs="Times New Roman"/>
                <w:sz w:val="20"/>
                <w:szCs w:val="20"/>
              </w:rPr>
              <w:t>Asenapine maleate</w:t>
            </w:r>
          </w:p>
        </w:tc>
        <w:tc>
          <w:tcPr>
            <w:tcW w:w="7938" w:type="dxa"/>
          </w:tcPr>
          <w:p w14:paraId="0BBB0F0C" w14:textId="056790C7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hsa04080, hsa04726, hsa04728</w:t>
            </w:r>
          </w:p>
        </w:tc>
      </w:tr>
      <w:tr w:rsidR="00DC2CBA" w:rsidRPr="001E573D" w14:paraId="7CDE60EE" w14:textId="77777777" w:rsidTr="00DC2CBA">
        <w:trPr>
          <w:trHeight w:val="383"/>
        </w:trPr>
        <w:tc>
          <w:tcPr>
            <w:tcW w:w="5103" w:type="dxa"/>
          </w:tcPr>
          <w:p w14:paraId="5721061F" w14:textId="77777777" w:rsidR="00DC2CBA" w:rsidRPr="00E4408B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408B">
              <w:rPr>
                <w:rFonts w:ascii="Times New Roman" w:hAnsi="Times New Roman" w:cs="Times New Roman"/>
                <w:sz w:val="20"/>
                <w:szCs w:val="20"/>
              </w:rPr>
              <w:t>Sertraline hydrochloride</w:t>
            </w:r>
          </w:p>
        </w:tc>
        <w:tc>
          <w:tcPr>
            <w:tcW w:w="7938" w:type="dxa"/>
          </w:tcPr>
          <w:p w14:paraId="28F4B56B" w14:textId="7129DB63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hsa04726</w:t>
            </w:r>
          </w:p>
        </w:tc>
      </w:tr>
      <w:tr w:rsidR="00DC2CBA" w:rsidRPr="001E573D" w14:paraId="6DC394B6" w14:textId="77777777" w:rsidTr="00DC2CBA">
        <w:trPr>
          <w:trHeight w:val="383"/>
        </w:trPr>
        <w:tc>
          <w:tcPr>
            <w:tcW w:w="5103" w:type="dxa"/>
          </w:tcPr>
          <w:p w14:paraId="7A397801" w14:textId="77777777" w:rsidR="00DC2CBA" w:rsidRPr="00E4408B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408B">
              <w:rPr>
                <w:rFonts w:ascii="Times New Roman" w:hAnsi="Times New Roman" w:cs="Times New Roman"/>
                <w:sz w:val="20"/>
                <w:szCs w:val="20"/>
              </w:rPr>
              <w:t>Amoxapine</w:t>
            </w:r>
          </w:p>
        </w:tc>
        <w:tc>
          <w:tcPr>
            <w:tcW w:w="7938" w:type="dxa"/>
          </w:tcPr>
          <w:p w14:paraId="09BDADC9" w14:textId="6DD24E89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hsa04721, hsa04726</w:t>
            </w:r>
          </w:p>
        </w:tc>
      </w:tr>
      <w:tr w:rsidR="00DC2CBA" w:rsidRPr="001E573D" w14:paraId="1FB746DC" w14:textId="77777777" w:rsidTr="00DC2CBA">
        <w:trPr>
          <w:trHeight w:val="383"/>
        </w:trPr>
        <w:tc>
          <w:tcPr>
            <w:tcW w:w="5103" w:type="dxa"/>
            <w:tcBorders>
              <w:bottom w:val="single" w:sz="4" w:space="0" w:color="auto"/>
            </w:tcBorders>
          </w:tcPr>
          <w:p w14:paraId="032CFFAF" w14:textId="04249C36" w:rsidR="00DC2CBA" w:rsidRPr="00E4408B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408B">
              <w:rPr>
                <w:rFonts w:ascii="Times New Roman" w:hAnsi="Times New Roman" w:cs="Times New Roman"/>
                <w:sz w:val="20"/>
                <w:szCs w:val="20"/>
              </w:rPr>
              <w:t>Levodopa and benserazide hydrochloride</w:t>
            </w:r>
          </w:p>
        </w:tc>
        <w:tc>
          <w:tcPr>
            <w:tcW w:w="7938" w:type="dxa"/>
            <w:tcBorders>
              <w:bottom w:val="single" w:sz="4" w:space="0" w:color="auto"/>
            </w:tcBorders>
          </w:tcPr>
          <w:p w14:paraId="70598FE6" w14:textId="381BDB6D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hso04020, hsa04080, hsa04728, hsa05012; hsa04726, hsa04728</w:t>
            </w:r>
          </w:p>
        </w:tc>
      </w:tr>
      <w:tr w:rsidR="00DC2CBA" w:rsidRPr="001E573D" w14:paraId="1CDCA603" w14:textId="77777777" w:rsidTr="00DC2CBA">
        <w:trPr>
          <w:trHeight w:val="383"/>
        </w:trPr>
        <w:tc>
          <w:tcPr>
            <w:tcW w:w="5103" w:type="dxa"/>
            <w:tcBorders>
              <w:bottom w:val="single" w:sz="4" w:space="0" w:color="auto"/>
            </w:tcBorders>
          </w:tcPr>
          <w:p w14:paraId="552626CF" w14:textId="77777777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Haloperidol decanoate</w:t>
            </w:r>
          </w:p>
        </w:tc>
        <w:tc>
          <w:tcPr>
            <w:tcW w:w="7938" w:type="dxa"/>
            <w:tcBorders>
              <w:bottom w:val="single" w:sz="4" w:space="0" w:color="auto"/>
            </w:tcBorders>
          </w:tcPr>
          <w:p w14:paraId="33ABB894" w14:textId="1FBDAF9A" w:rsidR="00DC2CBA" w:rsidRPr="001E573D" w:rsidRDefault="00DC2CBA" w:rsidP="00DC2C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73D">
              <w:rPr>
                <w:rFonts w:ascii="Times New Roman" w:hAnsi="Times New Roman" w:cs="Times New Roman"/>
                <w:sz w:val="20"/>
                <w:szCs w:val="20"/>
              </w:rPr>
              <w:t>hsa04080, hsa04728</w:t>
            </w:r>
          </w:p>
        </w:tc>
      </w:tr>
      <w:tr w:rsidR="00DC2CBA" w:rsidRPr="001E573D" w14:paraId="32ED94D1" w14:textId="77777777" w:rsidTr="00DC2CBA">
        <w:trPr>
          <w:trHeight w:val="383"/>
        </w:trPr>
        <w:tc>
          <w:tcPr>
            <w:tcW w:w="1304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87E1C7" w14:textId="2B795EF7" w:rsidR="00DC2CBA" w:rsidRPr="003C77E6" w:rsidRDefault="003C77E6" w:rsidP="003C77E6">
            <w:pPr>
              <w:tabs>
                <w:tab w:val="left" w:pos="412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1538C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sold</w:t>
            </w:r>
            <w:r w:rsidRPr="003421B0">
              <w:rPr>
                <w:rFonts w:ascii="Times New Roman" w:hAnsi="Times New Roman" w:cs="Times New Roman"/>
                <w:sz w:val="20"/>
                <w:szCs w:val="20"/>
              </w:rPr>
              <w:t xml:space="preserve"> only in Japan</w:t>
            </w:r>
          </w:p>
        </w:tc>
      </w:tr>
    </w:tbl>
    <w:p w14:paraId="7F6D9D15" w14:textId="77777777" w:rsidR="003C21CA" w:rsidRPr="003D66CC" w:rsidRDefault="003C21CA" w:rsidP="0000331D">
      <w:pPr>
        <w:spacing w:line="480" w:lineRule="auto"/>
        <w:rPr>
          <w:rFonts w:ascii="Times New Roman" w:hAnsi="Times New Roman" w:cs="Times New Roman"/>
          <w:sz w:val="20"/>
          <w:szCs w:val="20"/>
        </w:rPr>
        <w:sectPr w:rsidR="003C21CA" w:rsidRPr="003D66CC" w:rsidSect="003C21CA">
          <w:pgSz w:w="16838" w:h="11906" w:orient="landscape" w:code="9"/>
          <w:pgMar w:top="1701" w:right="1701" w:bottom="1701" w:left="1985" w:header="851" w:footer="992" w:gutter="0"/>
          <w:cols w:space="425"/>
          <w:docGrid w:type="linesAndChars" w:linePitch="360"/>
        </w:sectPr>
      </w:pPr>
    </w:p>
    <w:p w14:paraId="0CEB54D9" w14:textId="027927BF" w:rsidR="00572C85" w:rsidRPr="00572C85" w:rsidRDefault="002667A3" w:rsidP="00572C85">
      <w:pPr>
        <w:pStyle w:val="ae"/>
        <w:keepNext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Supplementary </w:t>
      </w:r>
      <w:r w:rsidR="00572C85" w:rsidRPr="00572C85">
        <w:rPr>
          <w:rFonts w:ascii="Times New Roman" w:hAnsi="Times New Roman" w:cs="Times New Roman"/>
          <w:sz w:val="20"/>
          <w:szCs w:val="20"/>
        </w:rPr>
        <w:t xml:space="preserve">Table </w:t>
      </w:r>
      <w:r w:rsidR="00572C85" w:rsidRPr="00572C85">
        <w:rPr>
          <w:rFonts w:ascii="Times New Roman" w:hAnsi="Times New Roman" w:cs="Times New Roman"/>
          <w:sz w:val="20"/>
          <w:szCs w:val="20"/>
        </w:rPr>
        <w:fldChar w:fldCharType="begin"/>
      </w:r>
      <w:r w:rsidR="00572C85" w:rsidRPr="00572C85">
        <w:rPr>
          <w:rFonts w:ascii="Times New Roman" w:hAnsi="Times New Roman" w:cs="Times New Roman"/>
          <w:sz w:val="20"/>
          <w:szCs w:val="20"/>
        </w:rPr>
        <w:instrText xml:space="preserve"> SEQ Table \* ARABIC </w:instrText>
      </w:r>
      <w:r w:rsidR="00572C85" w:rsidRPr="00572C85">
        <w:rPr>
          <w:rFonts w:ascii="Times New Roman" w:hAnsi="Times New Roman" w:cs="Times New Roman"/>
          <w:sz w:val="20"/>
          <w:szCs w:val="20"/>
        </w:rPr>
        <w:fldChar w:fldCharType="separate"/>
      </w:r>
      <w:r w:rsidR="00572C85" w:rsidRPr="00572C85">
        <w:rPr>
          <w:rFonts w:ascii="Times New Roman" w:hAnsi="Times New Roman" w:cs="Times New Roman"/>
          <w:noProof/>
          <w:sz w:val="20"/>
          <w:szCs w:val="20"/>
        </w:rPr>
        <w:t>2</w:t>
      </w:r>
      <w:r w:rsidR="00572C85" w:rsidRPr="00572C85">
        <w:rPr>
          <w:rFonts w:ascii="Times New Roman" w:hAnsi="Times New Roman" w:cs="Times New Roman"/>
          <w:sz w:val="20"/>
          <w:szCs w:val="20"/>
        </w:rPr>
        <w:fldChar w:fldCharType="end"/>
      </w:r>
      <w:r w:rsidR="00572C85" w:rsidRPr="00572C85">
        <w:rPr>
          <w:rFonts w:ascii="Times New Roman" w:hAnsi="Times New Roman" w:cs="Times New Roman"/>
          <w:sz w:val="20"/>
          <w:szCs w:val="20"/>
        </w:rPr>
        <w:t xml:space="preserve"> </w:t>
      </w:r>
      <w:r w:rsidR="00572C85" w:rsidRPr="00572C85">
        <w:rPr>
          <w:rFonts w:ascii="Times New Roman" w:hAnsi="Times New Roman" w:cs="Times New Roman"/>
          <w:b w:val="0"/>
          <w:bCs w:val="0"/>
          <w:sz w:val="20"/>
          <w:szCs w:val="20"/>
        </w:rPr>
        <w:t>Correspond</w:t>
      </w:r>
      <w:r w:rsidR="00572C85">
        <w:rPr>
          <w:rFonts w:ascii="Times New Roman" w:hAnsi="Times New Roman" w:cs="Times New Roman"/>
          <w:b w:val="0"/>
          <w:bCs w:val="0"/>
          <w:sz w:val="20"/>
          <w:szCs w:val="20"/>
        </w:rPr>
        <w:t>e</w:t>
      </w:r>
      <w:r w:rsidR="00572C85" w:rsidRPr="00572C85">
        <w:rPr>
          <w:rFonts w:ascii="Times New Roman" w:hAnsi="Times New Roman" w:cs="Times New Roman"/>
          <w:b w:val="0"/>
          <w:bCs w:val="0"/>
          <w:sz w:val="20"/>
          <w:szCs w:val="20"/>
        </w:rPr>
        <w:t xml:space="preserve">nce of </w:t>
      </w:r>
      <w:r w:rsidR="00FB4CA4">
        <w:rPr>
          <w:rFonts w:ascii="Times New Roman" w:hAnsi="Times New Roman" w:cs="Times New Roman"/>
          <w:b w:val="0"/>
          <w:bCs w:val="0"/>
          <w:sz w:val="20"/>
          <w:szCs w:val="20"/>
        </w:rPr>
        <w:t xml:space="preserve">KEGG </w:t>
      </w:r>
      <w:r w:rsidR="00572C85" w:rsidRPr="00572C85">
        <w:rPr>
          <w:rFonts w:ascii="Times New Roman" w:hAnsi="Times New Roman" w:cs="Times New Roman"/>
          <w:b w:val="0"/>
          <w:bCs w:val="0"/>
          <w:sz w:val="20"/>
          <w:szCs w:val="20"/>
        </w:rPr>
        <w:t>pathway and pathway map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263"/>
        <w:gridCol w:w="6231"/>
      </w:tblGrid>
      <w:tr w:rsidR="00E46DA2" w14:paraId="16A48520" w14:textId="77777777" w:rsidTr="00B960D4">
        <w:trPr>
          <w:trHeight w:val="132"/>
        </w:trPr>
        <w:tc>
          <w:tcPr>
            <w:tcW w:w="2263" w:type="dxa"/>
          </w:tcPr>
          <w:p w14:paraId="78E183CC" w14:textId="61B51402" w:rsidR="00E46DA2" w:rsidRPr="00B960D4" w:rsidRDefault="00B960D4" w:rsidP="00B960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60D4">
              <w:rPr>
                <w:rFonts w:ascii="Times New Roman" w:hAnsi="Times New Roman" w:cs="Times New Roman"/>
                <w:sz w:val="20"/>
                <w:szCs w:val="20"/>
              </w:rPr>
              <w:t>KEGG pathway</w:t>
            </w:r>
          </w:p>
        </w:tc>
        <w:tc>
          <w:tcPr>
            <w:tcW w:w="6231" w:type="dxa"/>
          </w:tcPr>
          <w:p w14:paraId="7E8A31C6" w14:textId="59767246" w:rsidR="00E46DA2" w:rsidRPr="00B960D4" w:rsidRDefault="00B960D4" w:rsidP="00B960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60D4">
              <w:rPr>
                <w:rFonts w:ascii="Times New Roman" w:hAnsi="Times New Roman" w:cs="Times New Roman"/>
                <w:sz w:val="20"/>
                <w:szCs w:val="20"/>
              </w:rPr>
              <w:t>KEGG pathway map</w:t>
            </w:r>
          </w:p>
        </w:tc>
      </w:tr>
      <w:tr w:rsidR="00B960D4" w:rsidRPr="00B960D4" w14:paraId="067613CB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316D729D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0" w:name="_Hlk135408743"/>
            <w:bookmarkStart w:id="1" w:name="_Hlk135408839"/>
            <w:bookmarkStart w:id="2" w:name="_Hlk135408862"/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hsa00230</w:t>
            </w:r>
          </w:p>
        </w:tc>
        <w:tc>
          <w:tcPr>
            <w:tcW w:w="6231" w:type="dxa"/>
            <w:hideMark/>
          </w:tcPr>
          <w:p w14:paraId="4ED2C255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Purine metabolism</w:t>
            </w:r>
          </w:p>
        </w:tc>
      </w:tr>
      <w:tr w:rsidR="00B960D4" w:rsidRPr="00B960D4" w14:paraId="226C27A9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7AE20F36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hsa00564</w:t>
            </w:r>
          </w:p>
        </w:tc>
        <w:tc>
          <w:tcPr>
            <w:tcW w:w="6231" w:type="dxa"/>
            <w:hideMark/>
          </w:tcPr>
          <w:p w14:paraId="4D6E7ADC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Glycerophospholipid metabolism</w:t>
            </w:r>
          </w:p>
        </w:tc>
      </w:tr>
      <w:tr w:rsidR="00B960D4" w:rsidRPr="00B960D4" w14:paraId="477390F4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2A3A3ACA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hsa00590</w:t>
            </w:r>
          </w:p>
        </w:tc>
        <w:tc>
          <w:tcPr>
            <w:tcW w:w="6231" w:type="dxa"/>
            <w:noWrap/>
            <w:hideMark/>
          </w:tcPr>
          <w:p w14:paraId="16EE1A4C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Arachidonic acid metabolism</w:t>
            </w:r>
          </w:p>
        </w:tc>
      </w:tr>
      <w:tr w:rsidR="00B960D4" w:rsidRPr="00B960D4" w14:paraId="5DF6FE52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378CB516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hsa00670</w:t>
            </w:r>
          </w:p>
        </w:tc>
        <w:tc>
          <w:tcPr>
            <w:tcW w:w="6231" w:type="dxa"/>
            <w:noWrap/>
            <w:hideMark/>
          </w:tcPr>
          <w:p w14:paraId="2C0BDBAB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One carbon pool by folate</w:t>
            </w:r>
          </w:p>
        </w:tc>
      </w:tr>
      <w:tr w:rsidR="00B960D4" w:rsidRPr="00B960D4" w14:paraId="416E1B9D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67876967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hsa00790</w:t>
            </w:r>
          </w:p>
        </w:tc>
        <w:tc>
          <w:tcPr>
            <w:tcW w:w="6231" w:type="dxa"/>
            <w:noWrap/>
            <w:hideMark/>
          </w:tcPr>
          <w:p w14:paraId="50E3778C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Folate biosynthesis</w:t>
            </w:r>
          </w:p>
        </w:tc>
      </w:tr>
      <w:tr w:rsidR="00B960D4" w:rsidRPr="00B960D4" w14:paraId="7A863255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38262323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hsa02010</w:t>
            </w:r>
          </w:p>
        </w:tc>
        <w:tc>
          <w:tcPr>
            <w:tcW w:w="6231" w:type="dxa"/>
            <w:hideMark/>
          </w:tcPr>
          <w:p w14:paraId="2A1ECC09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ABC transporters</w:t>
            </w:r>
          </w:p>
        </w:tc>
      </w:tr>
      <w:tr w:rsidR="00B960D4" w:rsidRPr="00B960D4" w14:paraId="3A3C1907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0945E882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hsa04010</w:t>
            </w:r>
          </w:p>
        </w:tc>
        <w:tc>
          <w:tcPr>
            <w:tcW w:w="6231" w:type="dxa"/>
            <w:noWrap/>
            <w:hideMark/>
          </w:tcPr>
          <w:p w14:paraId="59F57FFE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MAPK signaling pathway</w:t>
            </w:r>
          </w:p>
        </w:tc>
      </w:tr>
      <w:tr w:rsidR="00B960D4" w:rsidRPr="00B960D4" w14:paraId="1AE4F569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2E98EEA5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hsa04020</w:t>
            </w:r>
          </w:p>
        </w:tc>
        <w:tc>
          <w:tcPr>
            <w:tcW w:w="6231" w:type="dxa"/>
            <w:noWrap/>
            <w:hideMark/>
          </w:tcPr>
          <w:p w14:paraId="3C080642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Calcium signaling pathway</w:t>
            </w:r>
          </w:p>
        </w:tc>
      </w:tr>
      <w:tr w:rsidR="00B960D4" w:rsidRPr="00B960D4" w14:paraId="044C38A4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5CA7720B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hsa04060</w:t>
            </w:r>
          </w:p>
        </w:tc>
        <w:tc>
          <w:tcPr>
            <w:tcW w:w="6231" w:type="dxa"/>
            <w:noWrap/>
            <w:hideMark/>
          </w:tcPr>
          <w:p w14:paraId="1ECEF2FB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Cytokine-cytokine receptor interaction</w:t>
            </w:r>
          </w:p>
        </w:tc>
      </w:tr>
      <w:tr w:rsidR="00B960D4" w:rsidRPr="00B960D4" w14:paraId="65BCF393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7B259A8E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hsa04064</w:t>
            </w:r>
          </w:p>
        </w:tc>
        <w:tc>
          <w:tcPr>
            <w:tcW w:w="6231" w:type="dxa"/>
            <w:noWrap/>
            <w:hideMark/>
          </w:tcPr>
          <w:p w14:paraId="6CA73584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NF-kappa B signaling pathway</w:t>
            </w:r>
          </w:p>
        </w:tc>
      </w:tr>
      <w:tr w:rsidR="00B960D4" w:rsidRPr="00B960D4" w14:paraId="2669D8E1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1CD93A87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hsa04080</w:t>
            </w:r>
          </w:p>
        </w:tc>
        <w:tc>
          <w:tcPr>
            <w:tcW w:w="6231" w:type="dxa"/>
            <w:noWrap/>
            <w:hideMark/>
          </w:tcPr>
          <w:p w14:paraId="54A704A4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Neuroactive ligand-receptor interaction</w:t>
            </w:r>
          </w:p>
        </w:tc>
      </w:tr>
      <w:tr w:rsidR="00B960D4" w:rsidRPr="00B960D4" w14:paraId="258F8394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45B1E649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hsa04146</w:t>
            </w:r>
          </w:p>
        </w:tc>
        <w:tc>
          <w:tcPr>
            <w:tcW w:w="6231" w:type="dxa"/>
            <w:noWrap/>
            <w:hideMark/>
          </w:tcPr>
          <w:p w14:paraId="54DC6159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Peroxisome</w:t>
            </w:r>
          </w:p>
        </w:tc>
      </w:tr>
      <w:tr w:rsidR="00B960D4" w:rsidRPr="00B960D4" w14:paraId="04AA6A17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0DB77BFE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hsa04210</w:t>
            </w:r>
          </w:p>
        </w:tc>
        <w:tc>
          <w:tcPr>
            <w:tcW w:w="6231" w:type="dxa"/>
            <w:noWrap/>
            <w:hideMark/>
          </w:tcPr>
          <w:p w14:paraId="531C6DBA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Apoptosis</w:t>
            </w:r>
          </w:p>
        </w:tc>
      </w:tr>
      <w:tr w:rsidR="00B960D4" w:rsidRPr="00B960D4" w14:paraId="68A0DFB9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18B4AEF4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hsa04218</w:t>
            </w:r>
          </w:p>
        </w:tc>
        <w:tc>
          <w:tcPr>
            <w:tcW w:w="6231" w:type="dxa"/>
            <w:noWrap/>
            <w:hideMark/>
          </w:tcPr>
          <w:p w14:paraId="66A87BC3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Cellular senescence</w:t>
            </w:r>
          </w:p>
        </w:tc>
      </w:tr>
      <w:tr w:rsidR="00B960D4" w:rsidRPr="00B960D4" w14:paraId="6D949575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7EB3AE05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hsa04260</w:t>
            </w:r>
          </w:p>
        </w:tc>
        <w:tc>
          <w:tcPr>
            <w:tcW w:w="6231" w:type="dxa"/>
            <w:noWrap/>
            <w:hideMark/>
          </w:tcPr>
          <w:p w14:paraId="4E27F2A5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Cardiac muscle contraction</w:t>
            </w:r>
          </w:p>
        </w:tc>
      </w:tr>
      <w:tr w:rsidR="00B960D4" w:rsidRPr="00B960D4" w14:paraId="1A68B066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78368A75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hsa04261</w:t>
            </w:r>
          </w:p>
        </w:tc>
        <w:tc>
          <w:tcPr>
            <w:tcW w:w="6231" w:type="dxa"/>
            <w:noWrap/>
            <w:hideMark/>
          </w:tcPr>
          <w:p w14:paraId="5F6AAC81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Adrenergic signaling in cardiomyocytes</w:t>
            </w:r>
          </w:p>
        </w:tc>
      </w:tr>
      <w:tr w:rsidR="00B960D4" w:rsidRPr="00B960D4" w14:paraId="3C990087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3D44033C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hsa04270</w:t>
            </w:r>
          </w:p>
        </w:tc>
        <w:tc>
          <w:tcPr>
            <w:tcW w:w="6231" w:type="dxa"/>
            <w:noWrap/>
            <w:hideMark/>
          </w:tcPr>
          <w:p w14:paraId="753CE7E4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Vascular smooth muscle contraction</w:t>
            </w:r>
          </w:p>
        </w:tc>
      </w:tr>
      <w:tr w:rsidR="00B960D4" w:rsidRPr="00B960D4" w14:paraId="746AFF8F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54B607B2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hsa04350</w:t>
            </w:r>
          </w:p>
        </w:tc>
        <w:tc>
          <w:tcPr>
            <w:tcW w:w="6231" w:type="dxa"/>
            <w:noWrap/>
            <w:hideMark/>
          </w:tcPr>
          <w:p w14:paraId="66520A88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TGF-beta signaling pathway</w:t>
            </w:r>
          </w:p>
        </w:tc>
      </w:tr>
      <w:tr w:rsidR="00B960D4" w:rsidRPr="00B960D4" w14:paraId="4E9142B2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47DB1054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hsa04380</w:t>
            </w:r>
          </w:p>
        </w:tc>
        <w:tc>
          <w:tcPr>
            <w:tcW w:w="6231" w:type="dxa"/>
            <w:noWrap/>
            <w:hideMark/>
          </w:tcPr>
          <w:p w14:paraId="3A0E3843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Osteoclast differentiation</w:t>
            </w:r>
          </w:p>
        </w:tc>
      </w:tr>
      <w:tr w:rsidR="00B960D4" w:rsidRPr="00B960D4" w14:paraId="36E09A24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35B89722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hsa04512</w:t>
            </w:r>
          </w:p>
        </w:tc>
        <w:tc>
          <w:tcPr>
            <w:tcW w:w="6231" w:type="dxa"/>
            <w:noWrap/>
            <w:hideMark/>
          </w:tcPr>
          <w:p w14:paraId="058ABF7C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ECM-receptor interaction</w:t>
            </w:r>
          </w:p>
        </w:tc>
      </w:tr>
      <w:tr w:rsidR="00B960D4" w:rsidRPr="00B960D4" w14:paraId="18DA962E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6186235A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hsa04540</w:t>
            </w:r>
          </w:p>
        </w:tc>
        <w:tc>
          <w:tcPr>
            <w:tcW w:w="6231" w:type="dxa"/>
            <w:noWrap/>
            <w:hideMark/>
          </w:tcPr>
          <w:p w14:paraId="72073073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Gap junction</w:t>
            </w:r>
          </w:p>
        </w:tc>
      </w:tr>
      <w:tr w:rsidR="00B960D4" w:rsidRPr="00B960D4" w14:paraId="6CF0847F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14C0137E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hsa04611</w:t>
            </w:r>
          </w:p>
        </w:tc>
        <w:tc>
          <w:tcPr>
            <w:tcW w:w="6231" w:type="dxa"/>
            <w:noWrap/>
            <w:hideMark/>
          </w:tcPr>
          <w:p w14:paraId="27B885C4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Platelet activation</w:t>
            </w:r>
          </w:p>
        </w:tc>
      </w:tr>
      <w:tr w:rsidR="00B960D4" w:rsidRPr="00B960D4" w14:paraId="39BA56D0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6217E33C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hsa04612</w:t>
            </w:r>
          </w:p>
        </w:tc>
        <w:tc>
          <w:tcPr>
            <w:tcW w:w="6231" w:type="dxa"/>
            <w:noWrap/>
            <w:hideMark/>
          </w:tcPr>
          <w:p w14:paraId="4975729A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Antigen processing and presentation</w:t>
            </w:r>
          </w:p>
        </w:tc>
      </w:tr>
      <w:tr w:rsidR="00B960D4" w:rsidRPr="00B960D4" w14:paraId="2730E7E4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3CA12D60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hsa04614</w:t>
            </w:r>
          </w:p>
        </w:tc>
        <w:tc>
          <w:tcPr>
            <w:tcW w:w="6231" w:type="dxa"/>
            <w:noWrap/>
            <w:hideMark/>
          </w:tcPr>
          <w:p w14:paraId="0E567E1D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Renin-angiotensin system</w:t>
            </w:r>
          </w:p>
        </w:tc>
      </w:tr>
      <w:tr w:rsidR="00B960D4" w:rsidRPr="00B960D4" w14:paraId="3DB828DE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1A3CE900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hsa04650</w:t>
            </w:r>
          </w:p>
        </w:tc>
        <w:tc>
          <w:tcPr>
            <w:tcW w:w="6231" w:type="dxa"/>
            <w:noWrap/>
            <w:hideMark/>
          </w:tcPr>
          <w:p w14:paraId="2DC3704E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Natural killer cell mediated cytotoxicity</w:t>
            </w:r>
          </w:p>
        </w:tc>
      </w:tr>
      <w:tr w:rsidR="00B960D4" w:rsidRPr="00B960D4" w14:paraId="0D7427A5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5D049FE4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hsa04658</w:t>
            </w:r>
          </w:p>
        </w:tc>
        <w:tc>
          <w:tcPr>
            <w:tcW w:w="6231" w:type="dxa"/>
            <w:noWrap/>
            <w:hideMark/>
          </w:tcPr>
          <w:p w14:paraId="1576E677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Th1 and Th2 cell differentiation</w:t>
            </w:r>
          </w:p>
        </w:tc>
      </w:tr>
      <w:tr w:rsidR="00B960D4" w:rsidRPr="00B960D4" w14:paraId="67BCE2F5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3C219233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hsa04659</w:t>
            </w:r>
          </w:p>
        </w:tc>
        <w:tc>
          <w:tcPr>
            <w:tcW w:w="6231" w:type="dxa"/>
            <w:noWrap/>
            <w:hideMark/>
          </w:tcPr>
          <w:p w14:paraId="6EF27D46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Th17 cell differentiation</w:t>
            </w:r>
          </w:p>
        </w:tc>
      </w:tr>
      <w:tr w:rsidR="00B960D4" w:rsidRPr="00B960D4" w14:paraId="5B83C69C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545BCD02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hsa04660</w:t>
            </w:r>
          </w:p>
        </w:tc>
        <w:tc>
          <w:tcPr>
            <w:tcW w:w="6231" w:type="dxa"/>
            <w:hideMark/>
          </w:tcPr>
          <w:p w14:paraId="60D4B72B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T cell receptor signaling pathway</w:t>
            </w:r>
          </w:p>
        </w:tc>
      </w:tr>
      <w:tr w:rsidR="00B960D4" w:rsidRPr="00B960D4" w14:paraId="34A6EC50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69672E47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hsa04721</w:t>
            </w:r>
          </w:p>
        </w:tc>
        <w:tc>
          <w:tcPr>
            <w:tcW w:w="6231" w:type="dxa"/>
            <w:hideMark/>
          </w:tcPr>
          <w:p w14:paraId="3667514E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Synaptic vesicle cycle</w:t>
            </w:r>
          </w:p>
        </w:tc>
      </w:tr>
      <w:tr w:rsidR="00B960D4" w:rsidRPr="00B960D4" w14:paraId="4668CA15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02C47DC7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hsa04724</w:t>
            </w:r>
          </w:p>
        </w:tc>
        <w:tc>
          <w:tcPr>
            <w:tcW w:w="6231" w:type="dxa"/>
            <w:hideMark/>
          </w:tcPr>
          <w:p w14:paraId="4719DE0F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Glutamatergic synapse</w:t>
            </w:r>
          </w:p>
        </w:tc>
      </w:tr>
      <w:tr w:rsidR="00B960D4" w:rsidRPr="00B960D4" w14:paraId="4706E1AD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3D1D4FEF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hsa04725</w:t>
            </w:r>
          </w:p>
        </w:tc>
        <w:tc>
          <w:tcPr>
            <w:tcW w:w="6231" w:type="dxa"/>
            <w:hideMark/>
          </w:tcPr>
          <w:p w14:paraId="28906888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Cholinergic synapse</w:t>
            </w:r>
          </w:p>
        </w:tc>
      </w:tr>
      <w:tr w:rsidR="00B960D4" w:rsidRPr="00B960D4" w14:paraId="0F3A2912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6E0C937E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hsa04726</w:t>
            </w:r>
          </w:p>
        </w:tc>
        <w:tc>
          <w:tcPr>
            <w:tcW w:w="6231" w:type="dxa"/>
            <w:noWrap/>
            <w:hideMark/>
          </w:tcPr>
          <w:p w14:paraId="73834D52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Serotonergic synapse</w:t>
            </w:r>
          </w:p>
        </w:tc>
      </w:tr>
      <w:tr w:rsidR="00B960D4" w:rsidRPr="00B960D4" w14:paraId="3F22FE4C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454648C4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hsa04727</w:t>
            </w:r>
          </w:p>
        </w:tc>
        <w:tc>
          <w:tcPr>
            <w:tcW w:w="6231" w:type="dxa"/>
            <w:noWrap/>
            <w:hideMark/>
          </w:tcPr>
          <w:p w14:paraId="34626E01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GABAergic synapse</w:t>
            </w:r>
          </w:p>
        </w:tc>
      </w:tr>
      <w:tr w:rsidR="00B960D4" w:rsidRPr="00B960D4" w14:paraId="23428084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3C826C99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hsa04728</w:t>
            </w:r>
          </w:p>
        </w:tc>
        <w:tc>
          <w:tcPr>
            <w:tcW w:w="6231" w:type="dxa"/>
            <w:noWrap/>
            <w:hideMark/>
          </w:tcPr>
          <w:p w14:paraId="728CEBE4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Dopaminergic synapse</w:t>
            </w:r>
          </w:p>
        </w:tc>
      </w:tr>
      <w:tr w:rsidR="00B960D4" w:rsidRPr="00B960D4" w14:paraId="040C6402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49491701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hsa04750</w:t>
            </w:r>
          </w:p>
        </w:tc>
        <w:tc>
          <w:tcPr>
            <w:tcW w:w="6231" w:type="dxa"/>
            <w:noWrap/>
            <w:hideMark/>
          </w:tcPr>
          <w:p w14:paraId="14044D0B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Inflammatory mediator regulation of TRP channels</w:t>
            </w:r>
          </w:p>
        </w:tc>
      </w:tr>
      <w:tr w:rsidR="00B960D4" w:rsidRPr="00B960D4" w14:paraId="3455AF69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6A655F5D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hsa04911</w:t>
            </w:r>
          </w:p>
        </w:tc>
        <w:tc>
          <w:tcPr>
            <w:tcW w:w="6231" w:type="dxa"/>
            <w:hideMark/>
          </w:tcPr>
          <w:p w14:paraId="4E086D4B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Insulin secretion</w:t>
            </w:r>
          </w:p>
        </w:tc>
      </w:tr>
      <w:tr w:rsidR="00B960D4" w:rsidRPr="00B960D4" w14:paraId="59DE0A34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56372ED4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hsa04918</w:t>
            </w:r>
          </w:p>
        </w:tc>
        <w:tc>
          <w:tcPr>
            <w:tcW w:w="6231" w:type="dxa"/>
            <w:noWrap/>
            <w:hideMark/>
          </w:tcPr>
          <w:p w14:paraId="1E0C5322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Thyroid hormone synthesis</w:t>
            </w:r>
          </w:p>
        </w:tc>
      </w:tr>
      <w:tr w:rsidR="00B960D4" w:rsidRPr="00B960D4" w14:paraId="16F65902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363A5857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hsa04920</w:t>
            </w:r>
          </w:p>
        </w:tc>
        <w:tc>
          <w:tcPr>
            <w:tcW w:w="6231" w:type="dxa"/>
            <w:noWrap/>
            <w:hideMark/>
          </w:tcPr>
          <w:p w14:paraId="775BC736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Adipocytokine signaling pathway</w:t>
            </w:r>
          </w:p>
        </w:tc>
      </w:tr>
      <w:tr w:rsidR="00B960D4" w:rsidRPr="00B960D4" w14:paraId="613A2F23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03C154E8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hsa04930</w:t>
            </w:r>
          </w:p>
        </w:tc>
        <w:tc>
          <w:tcPr>
            <w:tcW w:w="6231" w:type="dxa"/>
            <w:hideMark/>
          </w:tcPr>
          <w:p w14:paraId="2AE2FE15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Type II diabetes mellitus</w:t>
            </w:r>
          </w:p>
        </w:tc>
      </w:tr>
      <w:tr w:rsidR="00B960D4" w:rsidRPr="00B960D4" w14:paraId="4DA8FA85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102F44CF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hsa04960</w:t>
            </w:r>
          </w:p>
        </w:tc>
        <w:tc>
          <w:tcPr>
            <w:tcW w:w="6231" w:type="dxa"/>
            <w:noWrap/>
            <w:hideMark/>
          </w:tcPr>
          <w:p w14:paraId="006F6CAE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Aldosterone-regulated sodium reabsorption</w:t>
            </w:r>
          </w:p>
        </w:tc>
      </w:tr>
      <w:tr w:rsidR="00B960D4" w:rsidRPr="00B960D4" w14:paraId="75DD6F25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669F99B4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hsa04966</w:t>
            </w:r>
          </w:p>
        </w:tc>
        <w:tc>
          <w:tcPr>
            <w:tcW w:w="6231" w:type="dxa"/>
            <w:noWrap/>
            <w:hideMark/>
          </w:tcPr>
          <w:p w14:paraId="13D88E72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Collecting duct acid secretion</w:t>
            </w:r>
          </w:p>
        </w:tc>
      </w:tr>
      <w:tr w:rsidR="00B960D4" w:rsidRPr="00B960D4" w14:paraId="474111ED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4AFDE670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hsa04971</w:t>
            </w:r>
          </w:p>
        </w:tc>
        <w:tc>
          <w:tcPr>
            <w:tcW w:w="6231" w:type="dxa"/>
            <w:noWrap/>
            <w:hideMark/>
          </w:tcPr>
          <w:p w14:paraId="097E243E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Gastric acid secretion</w:t>
            </w:r>
          </w:p>
        </w:tc>
      </w:tr>
      <w:tr w:rsidR="00B960D4" w:rsidRPr="00B960D4" w14:paraId="63364565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26597BCE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hsa05012</w:t>
            </w:r>
          </w:p>
        </w:tc>
        <w:tc>
          <w:tcPr>
            <w:tcW w:w="6231" w:type="dxa"/>
            <w:noWrap/>
            <w:hideMark/>
          </w:tcPr>
          <w:p w14:paraId="51EF44FB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Parkinson disease</w:t>
            </w:r>
          </w:p>
        </w:tc>
      </w:tr>
      <w:tr w:rsidR="00B960D4" w:rsidRPr="00B960D4" w14:paraId="5EB90A17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34112954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hsa05321</w:t>
            </w:r>
          </w:p>
        </w:tc>
        <w:tc>
          <w:tcPr>
            <w:tcW w:w="6231" w:type="dxa"/>
            <w:noWrap/>
            <w:hideMark/>
          </w:tcPr>
          <w:p w14:paraId="116B5C1A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Inflammatory bowel disease</w:t>
            </w:r>
          </w:p>
        </w:tc>
      </w:tr>
      <w:tr w:rsidR="00B960D4" w:rsidRPr="00B960D4" w14:paraId="3DB8525A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7BC4FA7B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hsa05323</w:t>
            </w:r>
          </w:p>
        </w:tc>
        <w:tc>
          <w:tcPr>
            <w:tcW w:w="6231" w:type="dxa"/>
            <w:noWrap/>
            <w:hideMark/>
          </w:tcPr>
          <w:p w14:paraId="4ECA30A0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Rheumatoid arthritis</w:t>
            </w:r>
          </w:p>
        </w:tc>
      </w:tr>
      <w:tr w:rsidR="00B960D4" w:rsidRPr="00B960D4" w14:paraId="11B0AE5C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633C1392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ko00100</w:t>
            </w:r>
          </w:p>
        </w:tc>
        <w:tc>
          <w:tcPr>
            <w:tcW w:w="6231" w:type="dxa"/>
            <w:noWrap/>
            <w:hideMark/>
          </w:tcPr>
          <w:p w14:paraId="12C7AFD1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Steroid biosynthesis</w:t>
            </w:r>
          </w:p>
        </w:tc>
      </w:tr>
      <w:tr w:rsidR="00B960D4" w:rsidRPr="00B960D4" w14:paraId="5CED7905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421DB333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ko00550</w:t>
            </w:r>
          </w:p>
        </w:tc>
        <w:tc>
          <w:tcPr>
            <w:tcW w:w="6231" w:type="dxa"/>
            <w:noWrap/>
            <w:hideMark/>
          </w:tcPr>
          <w:p w14:paraId="087072B7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Peptidoglycan biosynthesis</w:t>
            </w:r>
          </w:p>
        </w:tc>
      </w:tr>
      <w:tr w:rsidR="00B960D4" w:rsidRPr="00B960D4" w14:paraId="02288790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1D48AAE8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ko00790</w:t>
            </w:r>
          </w:p>
        </w:tc>
        <w:tc>
          <w:tcPr>
            <w:tcW w:w="6231" w:type="dxa"/>
            <w:noWrap/>
            <w:hideMark/>
          </w:tcPr>
          <w:p w14:paraId="07D143F3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Folate biosynthesis</w:t>
            </w:r>
          </w:p>
        </w:tc>
      </w:tr>
      <w:tr w:rsidR="00B960D4" w:rsidRPr="00B960D4" w14:paraId="7F140543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67E56152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ko03010</w:t>
            </w:r>
          </w:p>
        </w:tc>
        <w:tc>
          <w:tcPr>
            <w:tcW w:w="6231" w:type="dxa"/>
            <w:noWrap/>
            <w:hideMark/>
          </w:tcPr>
          <w:p w14:paraId="65D387F7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Ribosome</w:t>
            </w:r>
          </w:p>
        </w:tc>
      </w:tr>
      <w:tr w:rsidR="00B960D4" w:rsidRPr="00B960D4" w14:paraId="56C7B3FB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3E1AE92E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ko03020</w:t>
            </w:r>
          </w:p>
        </w:tc>
        <w:tc>
          <w:tcPr>
            <w:tcW w:w="6231" w:type="dxa"/>
            <w:noWrap/>
            <w:hideMark/>
          </w:tcPr>
          <w:p w14:paraId="29705DB5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RNA polymerase</w:t>
            </w:r>
          </w:p>
        </w:tc>
      </w:tr>
      <w:tr w:rsidR="00B960D4" w:rsidRPr="00B960D4" w14:paraId="1841B108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46508C1C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ko03230</w:t>
            </w:r>
          </w:p>
        </w:tc>
        <w:tc>
          <w:tcPr>
            <w:tcW w:w="6231" w:type="dxa"/>
            <w:noWrap/>
            <w:hideMark/>
          </w:tcPr>
          <w:p w14:paraId="1B1BE58A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Viral genome structure</w:t>
            </w:r>
          </w:p>
        </w:tc>
      </w:tr>
      <w:tr w:rsidR="00B960D4" w:rsidRPr="00B960D4" w14:paraId="6B9A2AF8" w14:textId="77777777" w:rsidTr="00B960D4">
        <w:trPr>
          <w:trHeight w:val="375"/>
        </w:trPr>
        <w:tc>
          <w:tcPr>
            <w:tcW w:w="2263" w:type="dxa"/>
            <w:noWrap/>
            <w:hideMark/>
          </w:tcPr>
          <w:p w14:paraId="2B3147D7" w14:textId="77777777" w:rsidR="00B960D4" w:rsidRPr="00B960D4" w:rsidRDefault="00B960D4" w:rsidP="00B960D4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ko05164</w:t>
            </w:r>
          </w:p>
        </w:tc>
        <w:tc>
          <w:tcPr>
            <w:tcW w:w="6231" w:type="dxa"/>
            <w:noWrap/>
            <w:hideMark/>
          </w:tcPr>
          <w:p w14:paraId="1C9DC4F8" w14:textId="77777777" w:rsidR="00B960D4" w:rsidRPr="00B960D4" w:rsidRDefault="00B960D4" w:rsidP="00B960D4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B960D4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Influenza A</w:t>
            </w:r>
          </w:p>
        </w:tc>
      </w:tr>
      <w:bookmarkEnd w:id="0"/>
      <w:bookmarkEnd w:id="1"/>
      <w:bookmarkEnd w:id="2"/>
    </w:tbl>
    <w:p w14:paraId="0896F2E4" w14:textId="77777777" w:rsidR="00FB2F4E" w:rsidRDefault="00FB2F4E" w:rsidP="0000331D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77EA8A5E" w14:textId="77777777" w:rsidR="00572C85" w:rsidRDefault="00572C85" w:rsidP="0000331D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DA82D2B" w14:textId="77777777" w:rsidR="00572C85" w:rsidRDefault="00572C85" w:rsidP="0000331D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7222A493" w14:textId="77777777" w:rsidR="00572C85" w:rsidRDefault="00572C85" w:rsidP="0000331D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23A8894" w14:textId="77777777" w:rsidR="00572C85" w:rsidRPr="003D66CC" w:rsidRDefault="00572C85" w:rsidP="0000331D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sectPr w:rsidR="00572C85" w:rsidRPr="003D66C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6AE373" w14:textId="77777777" w:rsidR="007D4A86" w:rsidRDefault="007D4A86" w:rsidP="00000A44">
      <w:r>
        <w:separator/>
      </w:r>
    </w:p>
  </w:endnote>
  <w:endnote w:type="continuationSeparator" w:id="0">
    <w:p w14:paraId="55D88DE1" w14:textId="77777777" w:rsidR="007D4A86" w:rsidRDefault="007D4A86" w:rsidP="00000A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60512156"/>
      <w:docPartObj>
        <w:docPartGallery w:val="Page Numbers (Bottom of Page)"/>
        <w:docPartUnique/>
      </w:docPartObj>
    </w:sdtPr>
    <w:sdtContent>
      <w:p w14:paraId="50525908" w14:textId="77777777" w:rsidR="00C568A0" w:rsidRDefault="00C568A0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022E72FC" w14:textId="77777777" w:rsidR="00C568A0" w:rsidRDefault="00C568A0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B494C3" w14:textId="77777777" w:rsidR="007D4A86" w:rsidRDefault="007D4A86" w:rsidP="00000A44">
      <w:r>
        <w:separator/>
      </w:r>
    </w:p>
  </w:footnote>
  <w:footnote w:type="continuationSeparator" w:id="0">
    <w:p w14:paraId="32BD732E" w14:textId="77777777" w:rsidR="007D4A86" w:rsidRDefault="007D4A86" w:rsidP="00000A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A168EB"/>
    <w:multiLevelType w:val="hybridMultilevel"/>
    <w:tmpl w:val="A51A777C"/>
    <w:lvl w:ilvl="0" w:tplc="5CA6B978">
      <w:start w:val="83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46D065FC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" w15:restartNumberingAfterBreak="0">
    <w:nsid w:val="499B77CB"/>
    <w:multiLevelType w:val="hybridMultilevel"/>
    <w:tmpl w:val="FA8A1AEA"/>
    <w:lvl w:ilvl="0" w:tplc="BB7278A6">
      <w:start w:val="1"/>
      <w:numFmt w:val="decimal"/>
      <w:lvlText w:val="%1."/>
      <w:lvlJc w:val="left"/>
      <w:pPr>
        <w:ind w:left="440" w:hanging="440"/>
      </w:pPr>
    </w:lvl>
    <w:lvl w:ilvl="1" w:tplc="0C80DFB2" w:tentative="1">
      <w:start w:val="1"/>
      <w:numFmt w:val="aiueoFullWidth"/>
      <w:lvlText w:val="(%2)"/>
      <w:lvlJc w:val="left"/>
      <w:pPr>
        <w:ind w:left="880" w:hanging="440"/>
      </w:pPr>
    </w:lvl>
    <w:lvl w:ilvl="2" w:tplc="51386620" w:tentative="1">
      <w:start w:val="1"/>
      <w:numFmt w:val="decimalEnclosedCircle"/>
      <w:lvlText w:val="%3"/>
      <w:lvlJc w:val="left"/>
      <w:pPr>
        <w:ind w:left="1320" w:hanging="440"/>
      </w:pPr>
    </w:lvl>
    <w:lvl w:ilvl="3" w:tplc="711248F0" w:tentative="1">
      <w:start w:val="1"/>
      <w:numFmt w:val="decimal"/>
      <w:lvlText w:val="%4."/>
      <w:lvlJc w:val="left"/>
      <w:pPr>
        <w:ind w:left="1760" w:hanging="440"/>
      </w:pPr>
    </w:lvl>
    <w:lvl w:ilvl="4" w:tplc="78C22D84" w:tentative="1">
      <w:start w:val="1"/>
      <w:numFmt w:val="aiueoFullWidth"/>
      <w:lvlText w:val="(%5)"/>
      <w:lvlJc w:val="left"/>
      <w:pPr>
        <w:ind w:left="2200" w:hanging="440"/>
      </w:pPr>
    </w:lvl>
    <w:lvl w:ilvl="5" w:tplc="695692B4" w:tentative="1">
      <w:start w:val="1"/>
      <w:numFmt w:val="decimalEnclosedCircle"/>
      <w:lvlText w:val="%6"/>
      <w:lvlJc w:val="left"/>
      <w:pPr>
        <w:ind w:left="2640" w:hanging="440"/>
      </w:pPr>
    </w:lvl>
    <w:lvl w:ilvl="6" w:tplc="870E9922" w:tentative="1">
      <w:start w:val="1"/>
      <w:numFmt w:val="decimal"/>
      <w:lvlText w:val="%7."/>
      <w:lvlJc w:val="left"/>
      <w:pPr>
        <w:ind w:left="3080" w:hanging="440"/>
      </w:pPr>
    </w:lvl>
    <w:lvl w:ilvl="7" w:tplc="4E1C00F6" w:tentative="1">
      <w:start w:val="1"/>
      <w:numFmt w:val="aiueoFullWidth"/>
      <w:lvlText w:val="(%8)"/>
      <w:lvlJc w:val="left"/>
      <w:pPr>
        <w:ind w:left="3520" w:hanging="440"/>
      </w:pPr>
    </w:lvl>
    <w:lvl w:ilvl="8" w:tplc="35F67A20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50BD3BFF"/>
    <w:multiLevelType w:val="hybridMultilevel"/>
    <w:tmpl w:val="C4D483D2"/>
    <w:lvl w:ilvl="0" w:tplc="E6D2934E">
      <w:start w:val="83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7F313F68"/>
    <w:multiLevelType w:val="hybridMultilevel"/>
    <w:tmpl w:val="505C7208"/>
    <w:lvl w:ilvl="0" w:tplc="0346F4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025473800">
    <w:abstractNumId w:val="4"/>
  </w:num>
  <w:num w:numId="2" w16cid:durableId="1846553067">
    <w:abstractNumId w:val="1"/>
  </w:num>
  <w:num w:numId="3" w16cid:durableId="1289972610">
    <w:abstractNumId w:val="0"/>
  </w:num>
  <w:num w:numId="4" w16cid:durableId="1229001007">
    <w:abstractNumId w:val="3"/>
  </w:num>
  <w:num w:numId="5" w16cid:durableId="9165917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941"/>
    <w:rsid w:val="00000A44"/>
    <w:rsid w:val="0000331D"/>
    <w:rsid w:val="00004A75"/>
    <w:rsid w:val="00004BA8"/>
    <w:rsid w:val="00006884"/>
    <w:rsid w:val="00011155"/>
    <w:rsid w:val="0001403E"/>
    <w:rsid w:val="00014CA0"/>
    <w:rsid w:val="00015310"/>
    <w:rsid w:val="000223CF"/>
    <w:rsid w:val="0003273F"/>
    <w:rsid w:val="000343B4"/>
    <w:rsid w:val="00042ADD"/>
    <w:rsid w:val="00053382"/>
    <w:rsid w:val="00076A47"/>
    <w:rsid w:val="0008137C"/>
    <w:rsid w:val="00082367"/>
    <w:rsid w:val="00083BDA"/>
    <w:rsid w:val="000A0A61"/>
    <w:rsid w:val="000B633B"/>
    <w:rsid w:val="000C7EDF"/>
    <w:rsid w:val="000D7D9A"/>
    <w:rsid w:val="000F2FA5"/>
    <w:rsid w:val="000F5379"/>
    <w:rsid w:val="00100A32"/>
    <w:rsid w:val="0011560F"/>
    <w:rsid w:val="001363AC"/>
    <w:rsid w:val="00137E95"/>
    <w:rsid w:val="0014039D"/>
    <w:rsid w:val="00140528"/>
    <w:rsid w:val="00147C11"/>
    <w:rsid w:val="001538CB"/>
    <w:rsid w:val="00165FFF"/>
    <w:rsid w:val="00176A83"/>
    <w:rsid w:val="00180589"/>
    <w:rsid w:val="0018243D"/>
    <w:rsid w:val="001A4338"/>
    <w:rsid w:val="001B204E"/>
    <w:rsid w:val="001B6978"/>
    <w:rsid w:val="001E3AC0"/>
    <w:rsid w:val="001E573D"/>
    <w:rsid w:val="001F035D"/>
    <w:rsid w:val="001F09FD"/>
    <w:rsid w:val="001F43AC"/>
    <w:rsid w:val="001F4C5B"/>
    <w:rsid w:val="0022228C"/>
    <w:rsid w:val="00236833"/>
    <w:rsid w:val="0024386C"/>
    <w:rsid w:val="00246D62"/>
    <w:rsid w:val="00260C95"/>
    <w:rsid w:val="002667A3"/>
    <w:rsid w:val="002716F4"/>
    <w:rsid w:val="00274D16"/>
    <w:rsid w:val="00281186"/>
    <w:rsid w:val="00282E28"/>
    <w:rsid w:val="00285DAE"/>
    <w:rsid w:val="00292941"/>
    <w:rsid w:val="00295169"/>
    <w:rsid w:val="002A1A57"/>
    <w:rsid w:val="002A3E38"/>
    <w:rsid w:val="002A46CC"/>
    <w:rsid w:val="002A5297"/>
    <w:rsid w:val="002B6CA2"/>
    <w:rsid w:val="002C46BF"/>
    <w:rsid w:val="002C4E3B"/>
    <w:rsid w:val="002C7718"/>
    <w:rsid w:val="002C7BDF"/>
    <w:rsid w:val="002D57DB"/>
    <w:rsid w:val="002E2251"/>
    <w:rsid w:val="002E2856"/>
    <w:rsid w:val="002E6931"/>
    <w:rsid w:val="002F4508"/>
    <w:rsid w:val="002F4972"/>
    <w:rsid w:val="002F6D0B"/>
    <w:rsid w:val="003221DB"/>
    <w:rsid w:val="00331ADF"/>
    <w:rsid w:val="003421B0"/>
    <w:rsid w:val="0034749C"/>
    <w:rsid w:val="00347EFD"/>
    <w:rsid w:val="00355864"/>
    <w:rsid w:val="00364C77"/>
    <w:rsid w:val="00373B45"/>
    <w:rsid w:val="0038255C"/>
    <w:rsid w:val="003848BA"/>
    <w:rsid w:val="003860AE"/>
    <w:rsid w:val="00386A10"/>
    <w:rsid w:val="0039323D"/>
    <w:rsid w:val="003A4CE7"/>
    <w:rsid w:val="003A779B"/>
    <w:rsid w:val="003B3B13"/>
    <w:rsid w:val="003B7BD0"/>
    <w:rsid w:val="003C21CA"/>
    <w:rsid w:val="003C3803"/>
    <w:rsid w:val="003C5C51"/>
    <w:rsid w:val="003C77E6"/>
    <w:rsid w:val="003D66CC"/>
    <w:rsid w:val="003F00EF"/>
    <w:rsid w:val="003F0DB7"/>
    <w:rsid w:val="003F47A7"/>
    <w:rsid w:val="00425855"/>
    <w:rsid w:val="00430CEF"/>
    <w:rsid w:val="0044527A"/>
    <w:rsid w:val="00445911"/>
    <w:rsid w:val="00452D24"/>
    <w:rsid w:val="00456BD2"/>
    <w:rsid w:val="00465697"/>
    <w:rsid w:val="00466F50"/>
    <w:rsid w:val="004848DA"/>
    <w:rsid w:val="004A0DBA"/>
    <w:rsid w:val="004A5858"/>
    <w:rsid w:val="004A62C0"/>
    <w:rsid w:val="004A6E84"/>
    <w:rsid w:val="004B1463"/>
    <w:rsid w:val="004C1730"/>
    <w:rsid w:val="004C2989"/>
    <w:rsid w:val="004C3601"/>
    <w:rsid w:val="004D5BA7"/>
    <w:rsid w:val="004E1152"/>
    <w:rsid w:val="005077DB"/>
    <w:rsid w:val="005140C8"/>
    <w:rsid w:val="00536CCD"/>
    <w:rsid w:val="00552AFF"/>
    <w:rsid w:val="0056093F"/>
    <w:rsid w:val="00572C85"/>
    <w:rsid w:val="005756EB"/>
    <w:rsid w:val="00590461"/>
    <w:rsid w:val="00593884"/>
    <w:rsid w:val="005A17AF"/>
    <w:rsid w:val="005A1800"/>
    <w:rsid w:val="005A255B"/>
    <w:rsid w:val="005B169B"/>
    <w:rsid w:val="005C2FFF"/>
    <w:rsid w:val="005C320F"/>
    <w:rsid w:val="005D06CF"/>
    <w:rsid w:val="005D22B2"/>
    <w:rsid w:val="005D3284"/>
    <w:rsid w:val="005D5946"/>
    <w:rsid w:val="005E2142"/>
    <w:rsid w:val="005E3EA1"/>
    <w:rsid w:val="005E657B"/>
    <w:rsid w:val="00613D3D"/>
    <w:rsid w:val="00615DE4"/>
    <w:rsid w:val="00635239"/>
    <w:rsid w:val="00635D42"/>
    <w:rsid w:val="0063646D"/>
    <w:rsid w:val="006404E0"/>
    <w:rsid w:val="0064066E"/>
    <w:rsid w:val="006478BA"/>
    <w:rsid w:val="00654712"/>
    <w:rsid w:val="00656F97"/>
    <w:rsid w:val="0066708B"/>
    <w:rsid w:val="006746C3"/>
    <w:rsid w:val="00677ADA"/>
    <w:rsid w:val="006E4580"/>
    <w:rsid w:val="006E6F19"/>
    <w:rsid w:val="00703576"/>
    <w:rsid w:val="0071263E"/>
    <w:rsid w:val="007162AC"/>
    <w:rsid w:val="00721E41"/>
    <w:rsid w:val="00735BE2"/>
    <w:rsid w:val="007465ED"/>
    <w:rsid w:val="007514E6"/>
    <w:rsid w:val="00757149"/>
    <w:rsid w:val="00757432"/>
    <w:rsid w:val="0077067A"/>
    <w:rsid w:val="007778DF"/>
    <w:rsid w:val="00782780"/>
    <w:rsid w:val="00792F2C"/>
    <w:rsid w:val="0079632F"/>
    <w:rsid w:val="007A55E8"/>
    <w:rsid w:val="007A6642"/>
    <w:rsid w:val="007D4063"/>
    <w:rsid w:val="007D4A86"/>
    <w:rsid w:val="007D6BAC"/>
    <w:rsid w:val="007F3459"/>
    <w:rsid w:val="00810095"/>
    <w:rsid w:val="00816693"/>
    <w:rsid w:val="00827879"/>
    <w:rsid w:val="0083237F"/>
    <w:rsid w:val="00842AFD"/>
    <w:rsid w:val="00844CDF"/>
    <w:rsid w:val="00856124"/>
    <w:rsid w:val="00857D76"/>
    <w:rsid w:val="00871FFD"/>
    <w:rsid w:val="00881723"/>
    <w:rsid w:val="00892AA3"/>
    <w:rsid w:val="008B1605"/>
    <w:rsid w:val="008B3707"/>
    <w:rsid w:val="008B3BF3"/>
    <w:rsid w:val="008C0431"/>
    <w:rsid w:val="008D2B30"/>
    <w:rsid w:val="008D5CB8"/>
    <w:rsid w:val="008E2F0D"/>
    <w:rsid w:val="008E5809"/>
    <w:rsid w:val="008F46E9"/>
    <w:rsid w:val="00911D9B"/>
    <w:rsid w:val="0091272A"/>
    <w:rsid w:val="00935E7A"/>
    <w:rsid w:val="00984CB7"/>
    <w:rsid w:val="00993592"/>
    <w:rsid w:val="00996487"/>
    <w:rsid w:val="00997FA0"/>
    <w:rsid w:val="009A12A2"/>
    <w:rsid w:val="009A284C"/>
    <w:rsid w:val="009A3F2C"/>
    <w:rsid w:val="009B40B5"/>
    <w:rsid w:val="009D3CD7"/>
    <w:rsid w:val="009D5B1E"/>
    <w:rsid w:val="009E5C48"/>
    <w:rsid w:val="009E61F7"/>
    <w:rsid w:val="00A0777F"/>
    <w:rsid w:val="00A16808"/>
    <w:rsid w:val="00A16F3F"/>
    <w:rsid w:val="00A23ABE"/>
    <w:rsid w:val="00A35C15"/>
    <w:rsid w:val="00A41127"/>
    <w:rsid w:val="00A42932"/>
    <w:rsid w:val="00A43297"/>
    <w:rsid w:val="00A443C5"/>
    <w:rsid w:val="00A46ACF"/>
    <w:rsid w:val="00A5022D"/>
    <w:rsid w:val="00A507EC"/>
    <w:rsid w:val="00A64F16"/>
    <w:rsid w:val="00A74E90"/>
    <w:rsid w:val="00A95009"/>
    <w:rsid w:val="00A978EC"/>
    <w:rsid w:val="00AA07E4"/>
    <w:rsid w:val="00AA2AE0"/>
    <w:rsid w:val="00AE271A"/>
    <w:rsid w:val="00B10027"/>
    <w:rsid w:val="00B16E9E"/>
    <w:rsid w:val="00B2236C"/>
    <w:rsid w:val="00B30B7E"/>
    <w:rsid w:val="00B354CB"/>
    <w:rsid w:val="00B42568"/>
    <w:rsid w:val="00B449BD"/>
    <w:rsid w:val="00B51C82"/>
    <w:rsid w:val="00B567B9"/>
    <w:rsid w:val="00B6460F"/>
    <w:rsid w:val="00B70FF8"/>
    <w:rsid w:val="00B72887"/>
    <w:rsid w:val="00B7526E"/>
    <w:rsid w:val="00B75E6B"/>
    <w:rsid w:val="00B76E8E"/>
    <w:rsid w:val="00B83C9E"/>
    <w:rsid w:val="00B90C90"/>
    <w:rsid w:val="00B960D4"/>
    <w:rsid w:val="00BA5033"/>
    <w:rsid w:val="00BC0DA7"/>
    <w:rsid w:val="00BC447F"/>
    <w:rsid w:val="00BC6F98"/>
    <w:rsid w:val="00BD52B4"/>
    <w:rsid w:val="00BE4FA4"/>
    <w:rsid w:val="00BF07AB"/>
    <w:rsid w:val="00BF4856"/>
    <w:rsid w:val="00C001C8"/>
    <w:rsid w:val="00C12E40"/>
    <w:rsid w:val="00C21DBF"/>
    <w:rsid w:val="00C24A30"/>
    <w:rsid w:val="00C30555"/>
    <w:rsid w:val="00C32017"/>
    <w:rsid w:val="00C3686D"/>
    <w:rsid w:val="00C568A0"/>
    <w:rsid w:val="00C82A29"/>
    <w:rsid w:val="00C91896"/>
    <w:rsid w:val="00C92E91"/>
    <w:rsid w:val="00C930C6"/>
    <w:rsid w:val="00C95A78"/>
    <w:rsid w:val="00C97348"/>
    <w:rsid w:val="00CA64A9"/>
    <w:rsid w:val="00CA66DF"/>
    <w:rsid w:val="00CB0E1B"/>
    <w:rsid w:val="00CB5B51"/>
    <w:rsid w:val="00CC726B"/>
    <w:rsid w:val="00CC738A"/>
    <w:rsid w:val="00CD0E4D"/>
    <w:rsid w:val="00CE6236"/>
    <w:rsid w:val="00CF4E1D"/>
    <w:rsid w:val="00D13901"/>
    <w:rsid w:val="00D3242C"/>
    <w:rsid w:val="00D43E48"/>
    <w:rsid w:val="00D4428D"/>
    <w:rsid w:val="00D54322"/>
    <w:rsid w:val="00D75EF8"/>
    <w:rsid w:val="00D916B8"/>
    <w:rsid w:val="00DB6139"/>
    <w:rsid w:val="00DC2CBA"/>
    <w:rsid w:val="00DD3E2D"/>
    <w:rsid w:val="00DD513E"/>
    <w:rsid w:val="00DD67AA"/>
    <w:rsid w:val="00DE3FC5"/>
    <w:rsid w:val="00DF35E5"/>
    <w:rsid w:val="00DF65AB"/>
    <w:rsid w:val="00E04DF2"/>
    <w:rsid w:val="00E13778"/>
    <w:rsid w:val="00E16514"/>
    <w:rsid w:val="00E4160B"/>
    <w:rsid w:val="00E42D0A"/>
    <w:rsid w:val="00E4408B"/>
    <w:rsid w:val="00E45FC3"/>
    <w:rsid w:val="00E46DA2"/>
    <w:rsid w:val="00E473FE"/>
    <w:rsid w:val="00E51068"/>
    <w:rsid w:val="00E52480"/>
    <w:rsid w:val="00E540CF"/>
    <w:rsid w:val="00E71882"/>
    <w:rsid w:val="00E7290C"/>
    <w:rsid w:val="00E815EF"/>
    <w:rsid w:val="00E95B52"/>
    <w:rsid w:val="00E9618D"/>
    <w:rsid w:val="00EA2760"/>
    <w:rsid w:val="00EA7634"/>
    <w:rsid w:val="00EB31A8"/>
    <w:rsid w:val="00EB64C3"/>
    <w:rsid w:val="00EC7B56"/>
    <w:rsid w:val="00ED06BC"/>
    <w:rsid w:val="00EE4258"/>
    <w:rsid w:val="00EE5C9A"/>
    <w:rsid w:val="00EF1501"/>
    <w:rsid w:val="00EF1636"/>
    <w:rsid w:val="00EF5BD6"/>
    <w:rsid w:val="00EF6051"/>
    <w:rsid w:val="00F13C94"/>
    <w:rsid w:val="00F1589D"/>
    <w:rsid w:val="00F1608B"/>
    <w:rsid w:val="00F36465"/>
    <w:rsid w:val="00F3655E"/>
    <w:rsid w:val="00F37D7C"/>
    <w:rsid w:val="00F40B9D"/>
    <w:rsid w:val="00F44457"/>
    <w:rsid w:val="00F708AA"/>
    <w:rsid w:val="00F74167"/>
    <w:rsid w:val="00F80BAC"/>
    <w:rsid w:val="00F835CA"/>
    <w:rsid w:val="00F93BE5"/>
    <w:rsid w:val="00F94C4A"/>
    <w:rsid w:val="00FA0EF5"/>
    <w:rsid w:val="00FA6FAA"/>
    <w:rsid w:val="00FB2F4E"/>
    <w:rsid w:val="00FB4CA4"/>
    <w:rsid w:val="00FC2D00"/>
    <w:rsid w:val="00FC50CC"/>
    <w:rsid w:val="00FC700D"/>
    <w:rsid w:val="00FD1D81"/>
    <w:rsid w:val="00FD3C79"/>
    <w:rsid w:val="00FD5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2F1753"/>
  <w15:chartTrackingRefBased/>
  <w15:docId w15:val="{746ECC89-CA4E-40A1-8BE2-C615F9AAF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60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82A29"/>
    <w:pPr>
      <w:ind w:leftChars="400" w:left="840"/>
    </w:pPr>
  </w:style>
  <w:style w:type="character" w:styleId="a4">
    <w:name w:val="Hyperlink"/>
    <w:basedOn w:val="a0"/>
    <w:uiPriority w:val="99"/>
    <w:unhideWhenUsed/>
    <w:rsid w:val="005077DB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5077DB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000A4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000A44"/>
  </w:style>
  <w:style w:type="paragraph" w:styleId="a8">
    <w:name w:val="footer"/>
    <w:basedOn w:val="a"/>
    <w:link w:val="a9"/>
    <w:uiPriority w:val="99"/>
    <w:unhideWhenUsed/>
    <w:rsid w:val="00000A44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000A44"/>
  </w:style>
  <w:style w:type="table" w:styleId="aa">
    <w:name w:val="Table Grid"/>
    <w:basedOn w:val="a1"/>
    <w:uiPriority w:val="39"/>
    <w:rsid w:val="004C36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laceholder Text"/>
    <w:basedOn w:val="a0"/>
    <w:uiPriority w:val="99"/>
    <w:semiHidden/>
    <w:rsid w:val="0091272A"/>
    <w:rPr>
      <w:color w:val="808080"/>
    </w:rPr>
  </w:style>
  <w:style w:type="paragraph" w:styleId="ac">
    <w:name w:val="Subtitle"/>
    <w:basedOn w:val="a"/>
    <w:next w:val="a"/>
    <w:link w:val="ad"/>
    <w:uiPriority w:val="11"/>
    <w:qFormat/>
    <w:rsid w:val="00C930C6"/>
    <w:pPr>
      <w:jc w:val="center"/>
      <w:outlineLvl w:val="1"/>
    </w:pPr>
    <w:rPr>
      <w:sz w:val="24"/>
      <w:szCs w:val="24"/>
    </w:rPr>
  </w:style>
  <w:style w:type="character" w:customStyle="1" w:styleId="ad">
    <w:name w:val="副題 (文字)"/>
    <w:basedOn w:val="a0"/>
    <w:link w:val="ac"/>
    <w:uiPriority w:val="11"/>
    <w:rsid w:val="00C930C6"/>
    <w:rPr>
      <w:sz w:val="24"/>
      <w:szCs w:val="24"/>
    </w:rPr>
  </w:style>
  <w:style w:type="paragraph" w:styleId="ae">
    <w:name w:val="caption"/>
    <w:basedOn w:val="a"/>
    <w:next w:val="a"/>
    <w:uiPriority w:val="35"/>
    <w:unhideWhenUsed/>
    <w:qFormat/>
    <w:rsid w:val="009B40B5"/>
    <w:rPr>
      <w:b/>
      <w:bCs/>
      <w:szCs w:val="21"/>
    </w:rPr>
  </w:style>
  <w:style w:type="paragraph" w:styleId="af">
    <w:name w:val="annotation text"/>
    <w:basedOn w:val="a"/>
    <w:link w:val="af0"/>
    <w:uiPriority w:val="99"/>
    <w:rsid w:val="00A16808"/>
    <w:rPr>
      <w:sz w:val="20"/>
      <w:szCs w:val="20"/>
    </w:rPr>
  </w:style>
  <w:style w:type="character" w:customStyle="1" w:styleId="af0">
    <w:name w:val="コメント文字列 (文字)"/>
    <w:basedOn w:val="a0"/>
    <w:link w:val="af"/>
    <w:uiPriority w:val="99"/>
    <w:rsid w:val="00A16808"/>
    <w:rPr>
      <w:sz w:val="20"/>
      <w:szCs w:val="20"/>
    </w:rPr>
  </w:style>
  <w:style w:type="character" w:styleId="af1">
    <w:name w:val="annotation reference"/>
    <w:basedOn w:val="a0"/>
    <w:uiPriority w:val="99"/>
    <w:rsid w:val="00A16808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021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cd147@naramed-u.ac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4208</TotalTime>
  <Pages>5</Pages>
  <Words>634</Words>
  <Characters>3614</Characters>
  <Application>Microsoft Office Word</Application>
  <DocSecurity>0</DocSecurity>
  <Lines>30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京谷 陽司</dc:creator>
  <cp:keywords/>
  <dc:description/>
  <cp:lastModifiedBy>京谷 陽司</cp:lastModifiedBy>
  <cp:revision>300</cp:revision>
  <dcterms:created xsi:type="dcterms:W3CDTF">2023-05-08T07:16:00Z</dcterms:created>
  <dcterms:modified xsi:type="dcterms:W3CDTF">2023-07-03T05:51:00Z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zotero-version="6.0.26"&gt;&lt;session id="qOp7nvpk"/&gt;&lt;style id="http://www.zotero.org/styles/drug-safety" hasBibliography="1" bibliographyStyleHasBeenSet="0"/&gt;&lt;prefs&gt;&lt;pref name="fieldType" value="Field"/&gt;&lt;/prefs&gt;&lt;/data&gt;</vt:lpwstr>
  </property>
</Properties>
</file>