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4385" w:rsidRPr="00497209" w:rsidRDefault="007B0FEF" w:rsidP="007B0FEF">
      <w:pPr>
        <w:rPr>
          <w:rFonts w:asciiTheme="majorBidi" w:hAnsiTheme="majorBidi" w:cstheme="majorBidi"/>
        </w:rPr>
      </w:pPr>
      <w:bookmarkStart w:id="0" w:name="_Toc119830792"/>
      <w:r w:rsidRPr="00497209">
        <w:rPr>
          <w:rFonts w:asciiTheme="majorBidi" w:hAnsiTheme="majorBidi" w:cstheme="majorBidi"/>
        </w:rPr>
        <w:t>Appendix 1. Content validity index and ratio of 96 items of the MACAT</w:t>
      </w:r>
      <w:bookmarkEnd w:id="0"/>
    </w:p>
    <w:tbl>
      <w:tblPr>
        <w:bidiVisual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6"/>
        <w:gridCol w:w="806"/>
        <w:gridCol w:w="1143"/>
        <w:gridCol w:w="1036"/>
        <w:gridCol w:w="2361"/>
        <w:gridCol w:w="3474"/>
      </w:tblGrid>
      <w:tr w:rsidR="00CA0FD1" w:rsidRPr="00CA0FD1" w:rsidTr="00687459">
        <w:trPr>
          <w:tblHeader/>
          <w:jc w:val="center"/>
        </w:trPr>
        <w:tc>
          <w:tcPr>
            <w:tcW w:w="394" w:type="pct"/>
            <w:vMerge w:val="restar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</w:pPr>
            <w:bookmarkStart w:id="1" w:name="_GoBack"/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lang w:bidi="fa-IR"/>
              </w:rPr>
              <w:t>Clear (1- 4)</w:t>
            </w:r>
          </w:p>
        </w:tc>
        <w:tc>
          <w:tcPr>
            <w:tcW w:w="420" w:type="pct"/>
            <w:vMerge w:val="restar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lang w:bidi="fa-IR"/>
              </w:rPr>
              <w:t>Simple</w:t>
            </w:r>
          </w:p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lang w:bidi="fa-IR"/>
              </w:rPr>
              <w:t>(1- 4)</w:t>
            </w:r>
          </w:p>
        </w:tc>
        <w:tc>
          <w:tcPr>
            <w:tcW w:w="597" w:type="pct"/>
            <w:vMerge w:val="restar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Relevance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lang w:bidi="fa-IR"/>
              </w:rPr>
              <w:t xml:space="preserve"> (1- 4)</w:t>
            </w:r>
          </w:p>
        </w:tc>
        <w:tc>
          <w:tcPr>
            <w:tcW w:w="541" w:type="pct"/>
            <w:vMerge w:val="restar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lang w:bidi="fa-IR"/>
              </w:rPr>
              <w:t>Essential (1-3)</w:t>
            </w:r>
          </w:p>
        </w:tc>
        <w:tc>
          <w:tcPr>
            <w:tcW w:w="1233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jc w:val="right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Persian Items</w:t>
            </w:r>
          </w:p>
        </w:tc>
        <w:tc>
          <w:tcPr>
            <w:tcW w:w="1814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lang w:bidi="fa-IR"/>
              </w:rPr>
              <w:t>English Items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vMerge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vMerge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vMerge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vMerge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rtl/>
              </w:rPr>
              <w:t>.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 xml:space="preserve"> حاکمیت 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A. Governance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jc w:val="both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A1</w:t>
            </w:r>
            <w:r w:rsidRPr="00CA0FD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rtl/>
              </w:rPr>
              <w:t xml:space="preserve">. 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>هیئت مدیره</w:t>
            </w:r>
          </w:p>
        </w:tc>
        <w:tc>
          <w:tcPr>
            <w:tcW w:w="1814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A1. Board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1. انجمن دارای هیات مدیره و یا کمیته اجرایی با تشکیلات قوی و قوانین است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1. The association has a Board and/or an Executive Committee governed by a Constitution and by laws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0.67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jc w:val="both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2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دارای نقش ها و مسئولیت های تعریف شده و شفاف برای هیئت مدیره و یا کمیته اجرایی انجمن است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2. The association has clearly defined roles and responsibilities for the Board/Executive and members.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0.93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jc w:val="both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3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هیئت مدیره و یا کمیته اجرایی حداقل دو بار در سال تشکیل جلسه می دهد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3. The Board/Executive meets at least twice a year.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0.68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jc w:val="both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4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هیئت مدیره و یا کمیته اجرایی نقش های مربوط به توسعه  استراتژی را انجام می دهد.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4. The Board/Executive Committee carries out the roles of strategy development.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jc w:val="both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5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هیئت مدیره و یا کمیته اجرایی نقش تدوین سیاست را بر عهده دارد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5. The Board/Executive Committee carries out the roles of policy formulation.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6 .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هیئت مدیره و یا کمیته اجرایی نقش افزایش سرمایه را بر عهده دار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6. The Board/Executive Committee carries out the roles of fund raising.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7.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هیئت مدیره و یا کمیته اجرایی نقش روابط عمومی را بر عهده دار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7. The Board/Executive Committee carries out the roles of public relations.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0.69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8.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هیئت مدیره و یا کمیته اجرایی نقش نظارت مالی را بر عهده دارد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8. The Board/Executive Committee carries out the roles of financial oversight.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97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9. هیئت مدیره و یا کمیته اجرایی در جهت  اعمال نفوذ (لابی گری) تلاش می کند.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9. The Board/Executive Committee carries out the roles of lobbying.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jc w:val="both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A2</w:t>
            </w:r>
            <w:r w:rsidRPr="00CA0FD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rtl/>
              </w:rPr>
              <w:t>.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 xml:space="preserve"> چشم انداز، ماموریت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A2. Vision, Mission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0.68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10. انجمن چشم انداز و بیانیه ماموریت را به وضوح بیان کرده است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10. The association has clearly stated vision and mission statements.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 xml:space="preserve">11.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ماموریت سازمان به صورت آنلاین یا حضوری موجود است (به صورت ایمیل، یا جلسه)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11. The mission is developed in collaboration with members in some way (email, or meetings).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0.69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12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اعضای جدید به چشم انداز، ماموریت و اهداف انجمن دسترسی دارند.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12. New members are have access and are orientated to the association’s vision, mission, and goals.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13.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فعالیت های انجمن منطبق بر رسالت و چشم انداز است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13. The activities of the association are consistent with the mission and vision.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lastRenderedPageBreak/>
              <w:t>0.8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14.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بیانیه های چشم انداز و ماموریت با اعضا به اشتراک گذاشته می شود و به آنها هدف و جهت را نشان می دهد.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14. The vision and mission statements are shared with members, giving a sense of purpose and direction to the association.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15.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چشم انداز و بیانیه های ماموریت به طور منظم با نظر اعضا حداقل هر 3 تا 5 سال یکبار  بررسی و به روز رسانی می شود.</w:t>
            </w:r>
          </w:p>
        </w:tc>
        <w:tc>
          <w:tcPr>
            <w:tcW w:w="1814" w:type="pct"/>
            <w:tcBorders>
              <w:bottom w:val="single" w:sz="4" w:space="0" w:color="auto"/>
            </w:tcBorders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15. The vision and mission statements are reviewed and updated regularly with input from members at least every 3-5 years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jc w:val="both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.A3</w:t>
            </w:r>
            <w:r w:rsidRPr="00CA0FD1">
              <w:rPr>
                <w:rFonts w:ascii="Times New Roman" w:eastAsia="Calibri" w:hAnsi="Times New Roman"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>اهداف و استراتژی ها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A3. Goals and Strategies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16. انجمن دارای یک فرآیند برنامه ریزی استراتژیک مشخص است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16. The association has a clear strategic planning process.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0.69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17. انجمن دارای یک برنامه راهبردی کاملاً مدون، با اهداف کوتاه مدت، بلندمدت و قابل دستیابی است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17. The association has a clearly written strategic plan with achievable long term and short term goals.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0.66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 xml:space="preserve">18.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اهداف و راهبردهای انجمن که با نظرات اعضا تدوین شده اند در راستای رسالت و چشم انداز هستند.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18. The association's goals and strategies, developed with input from members, are in line with the mission and vision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0.68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19. مکانیسم هایی برای بررسی و به روز رسانی اهداف انجمن توسط اعضا وجود دارد.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19. Mechanisms exist for reviewing and updating association goals with input from members.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20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ا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نجمن دارای برنامه های کاری و عملیاتی با بودجه واقع بینانه، همسو با فرآیند برنامه ریزی استراتژیک دارد.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20. The association has realistic budgeted operational work plans, aligned with the strategic planning process.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 xml:space="preserve">21.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بر کیفیت و تأثیر کار خود نظارت و ارزیابی می کند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21. The association monitors and evaluates the quality and impact of its work.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 xml:space="preserve">22.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از نتایج ارزیابی برای تأثیرگذاری بر برنامه ریزی برای ارائه خدمات استفاده می کند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814" w:type="pct"/>
            <w:tcBorders>
              <w:bottom w:val="single" w:sz="4" w:space="0" w:color="auto"/>
            </w:tcBorders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22. The association uses evaluation results to influence service delivery planning.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 xml:space="preserve">.A4 </w:t>
            </w:r>
            <w:r w:rsidRPr="00CA0FD1">
              <w:rPr>
                <w:rFonts w:ascii="Times New Roman" w:eastAsia="Calibri" w:hAnsi="Times New Roman"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>وضعیت حقوقی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A4. Legal Status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23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به عنوان یک سازمان خودمختار به مطابق قانون کشور به ثبت رسیده است.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23. The association is registered as an autonomous </w:t>
            </w:r>
            <w:proofErr w:type="spellStart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organisation</w:t>
            </w:r>
            <w:proofErr w:type="spellEnd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according to the country's legislation.</w:t>
            </w:r>
          </w:p>
        </w:tc>
      </w:tr>
      <w:tr w:rsidR="00CA0FD1" w:rsidRPr="00CA0FD1" w:rsidTr="00687459">
        <w:trPr>
          <w:trHeight w:val="1007"/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lang w:bidi="fa-IR"/>
              </w:rPr>
              <w:t>0.69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24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بخشی از یکی دیگر از انجمن های حرفه ای مراقبت های بهداشتی است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: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 xml:space="preserve"> </w:t>
            </w:r>
          </w:p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 xml:space="preserve">آ. انجمن زنان و زایمان </w:t>
            </w:r>
          </w:p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 xml:space="preserve">ب انجمن پرستاری </w:t>
            </w:r>
          </w:p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ج. دیگر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24. The association is part of another health care professional association:</w:t>
            </w:r>
          </w:p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a. Obstetric association</w:t>
            </w:r>
          </w:p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b. Nursing association</w:t>
            </w:r>
          </w:p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c. Other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0.93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25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 xml:space="preserve">اگر بله، به 24 بالا، انجمن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lastRenderedPageBreak/>
              <w:t>دارای ساختار و فرایند های تصمیم گیری خود با ابزارهای مستند و شفاف است.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lastRenderedPageBreak/>
              <w:t xml:space="preserve">25. If yes, to 24 above, the association has its own structure and decision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lastRenderedPageBreak/>
              <w:t>making processes and tools that are documented and transparent.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lang w:bidi="fa-IR"/>
              </w:rPr>
              <w:lastRenderedPageBreak/>
              <w:t>0.86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26. انجمن دارای اساسنامه ای است که با اعضا به اشتراک گذاشته شده است.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26. The association has a constitution developed and shared with members.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27. این اساسنامه با نظرات اعضا هر 5 تا 10 سال یکبار بازنگری می شود.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27. The constitution is reviewed with input from members every 5 to 10 years.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lang w:bidi="fa-IR"/>
              </w:rPr>
              <w:t>0.69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28. همه اعضای جدید به اساسنامه دسترسی دارند یا به آنها نسخه ای داده می شود.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28. All new members have access to or are given a copy of the constitution.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1233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jc w:val="right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B</w:t>
            </w:r>
            <w:r w:rsidRPr="00CA0FD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rtl/>
              </w:rPr>
              <w:t>.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 xml:space="preserve"> شیوه های مدیریت و رهبری</w:t>
            </w:r>
          </w:p>
        </w:tc>
        <w:tc>
          <w:tcPr>
            <w:tcW w:w="1814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B. Management Practices and Leadership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jc w:val="both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 xml:space="preserve"> .B1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>سیاست ها و رویه های اداری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B1. Administrative policies and procedures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 xml:space="preserve">29. انجمن دارای خط مشی ها و رویه هایی برای انتخاب رهبران و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  <w:t>صاحب منصبان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 xml:space="preserve"> است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  <w:lang w:bidi="fa-IR"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29. The association has policies and procedures for electing leaders and office bearers.</w:t>
            </w:r>
          </w:p>
        </w:tc>
      </w:tr>
      <w:tr w:rsidR="00CA0FD1" w:rsidRPr="00CA0FD1" w:rsidTr="00687459">
        <w:trPr>
          <w:trHeight w:val="70"/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lang w:bidi="fa-IR"/>
              </w:rPr>
              <w:t>0.78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30. انجمن دارای خط مشی ها و رویه های عملیاتی است.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30. The association has operational policies and procedures in place.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0.93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31. انجمن دارای نقش ها و مسئولیت های تعریف شده برای رهبران، کارکنان و در صورت وجود  برای اعضا است.</w:t>
            </w:r>
          </w:p>
        </w:tc>
        <w:tc>
          <w:tcPr>
            <w:tcW w:w="1814" w:type="pct"/>
            <w:tcBorders>
              <w:bottom w:val="single" w:sz="4" w:space="0" w:color="auto"/>
            </w:tcBorders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31. The association has defined roles and responsibilities for the leaders, for staff, if any, and for members.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jc w:val="both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 xml:space="preserve">.B2 </w:t>
            </w:r>
            <w:r w:rsidRPr="00CA0FD1">
              <w:rPr>
                <w:rFonts w:ascii="Times New Roman" w:eastAsia="Calibri" w:hAnsi="Times New Roman"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>زیرساخت و سیستم های اطلاعاتی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B2. Infrastructure and information systems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0.8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0.8</w:t>
            </w:r>
          </w:p>
        </w:tc>
        <w:tc>
          <w:tcPr>
            <w:tcW w:w="597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32. انجمن دارای دفتر/فضایی برای پشتیبانی و تسهیل کار روزانه خود است.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32. The association has office/space to support and facilitate its daily work.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0.75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33. دفتر / فضا با سیستم های ارتباطی (تلفن، ایمیل، فکس، اینترنت) به خوبی مجهز و نگهداری می شود.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33. The office /space is well equipped and maintained with relevant communication systems (telephone, email, fax, internet).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34. انجمن دارای سیستم هایی برای پردازش/مدیریت اطلاعات از جمله لیست به روز شده اعضای خود است.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34. The association has systems in place to process/manage information including an updated list of its members.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jc w:val="both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 xml:space="preserve"> .B3 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>اقتدار و پاسخگویی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B3. Authority and accountability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 xml:space="preserve">35. هیئت مدیره و یا کمیته اجرایی دارای دستورالعملی واضح و مستند برای روابط کاری بین کارکنان و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lastRenderedPageBreak/>
              <w:t>اعضا می باشد.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lastRenderedPageBreak/>
              <w:t xml:space="preserve">35. Guidelines for the working relationship between the Board/Executive Committee, staff and members are clearly outlined in the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lastRenderedPageBreak/>
              <w:t>policy documents.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tabs>
                <w:tab w:val="right" w:pos="8084"/>
              </w:tabs>
              <w:spacing w:after="0" w:line="240" w:lineRule="auto"/>
              <w:jc w:val="center"/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Times New Roman" w:hAnsi="Times New Roman" w:cs="B Nazanin"/>
                <w:noProof/>
                <w:color w:val="000000" w:themeColor="text1"/>
                <w:sz w:val="20"/>
                <w:szCs w:val="20"/>
                <w:lang w:bidi="fa-IR"/>
              </w:rPr>
              <w:lastRenderedPageBreak/>
              <w:t>0.69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 xml:space="preserve">36. هیئت مدیره و یا کمیته اجرایی به طور منظم و در مجمع عمومی سالانه،  فعالیت های انجمن را به استحضار اعضا می رساند. </w:t>
            </w:r>
          </w:p>
        </w:tc>
        <w:tc>
          <w:tcPr>
            <w:tcW w:w="1814" w:type="pct"/>
            <w:tcBorders>
              <w:bottom w:val="single" w:sz="4" w:space="0" w:color="auto"/>
            </w:tcBorders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36. The Board/Executive Committee regularly informs members on the association's activities and at the annual general meeting.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jc w:val="both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 xml:space="preserve"> .B4 </w:t>
            </w:r>
            <w:r w:rsidRPr="00CA0FD1">
              <w:rPr>
                <w:rFonts w:ascii="Times New Roman" w:eastAsia="Calibri" w:hAnsi="Times New Roman" w:cs="B Nazanin" w:hint="cs"/>
                <w:b/>
                <w:bCs/>
                <w:color w:val="000000" w:themeColor="text1"/>
                <w:sz w:val="20"/>
                <w:szCs w:val="20"/>
                <w:rtl/>
              </w:rPr>
              <w:t>منابع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00CA0FD1">
              <w:rPr>
                <w:rFonts w:ascii="Times New Roman" w:eastAsia="Calibri" w:hAnsi="Times New Roman" w:cs="B Nazanin" w:hint="cs"/>
                <w:b/>
                <w:bCs/>
                <w:color w:val="000000" w:themeColor="text1"/>
                <w:sz w:val="20"/>
                <w:szCs w:val="20"/>
                <w:rtl/>
              </w:rPr>
              <w:t>انسانی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B4. Human Resources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0.66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37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کارکنان انجمن، در صورت وجود، به صورت شفاف و رقابتی برای رفع نیازها جذب می شوند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37. The association staff, if any, are recruited in a transparent, competitive manner, to fulfil its needs.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0.66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38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در صورت داشتن پرسنل دارای سیاست های نیروی انسانی و استخدامی  مشخص است (مانند قراردادهای کاری، ساختار حقوق و مزایا، توصیف شغلی)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38. The association, if it has staff, has clear human resources and employment policies in place (employment contracts, salary structures and benefits, job descriptions).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420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541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39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این انجمن ظرفیت سازی/توسعه کارکنان را به عنوان بخشی از ابرنامه سالانه خود قرار داده است.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39. The association incorporates capacity building /development of staff as part of its annual plan.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420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541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40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دارای بسته های اطلاعاتی، دستورالعمل های خط مشی و غیره برای کارکنان خود و اعضا است که در صورت درخواست در دسترس هستند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40. The association has information kits, policy manuals </w:t>
            </w:r>
            <w:proofErr w:type="spellStart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etc</w:t>
            </w:r>
            <w:proofErr w:type="spellEnd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for its staff and members available on request.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C</w:t>
            </w:r>
            <w:r w:rsidRPr="00CA0FD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rtl/>
              </w:rPr>
              <w:t>.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 xml:space="preserve"> مدیریت منابع مالی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C. Financial Resource Management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C</w:t>
            </w:r>
            <w:proofErr w:type="gramStart"/>
            <w:r w:rsidRPr="00CA0FD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1 </w:t>
            </w:r>
            <w:r w:rsidRPr="00CA0FD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rtl/>
              </w:rPr>
              <w:t>.</w:t>
            </w:r>
            <w:proofErr w:type="gramEnd"/>
            <w:r w:rsidRPr="00CA0FD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>حسابداری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C1. Accounting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420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41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دارای سیستم حسابداری است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41. The association has an accounting system.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420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42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دارای ممیزی های منظم سالانه است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42. The association has regular audits conducted yearly.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420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12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43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سیستم حسابداری انجمن، آن را قادر می سازد تا گزارش مالی در زمان لازم تهیه کند.</w:t>
            </w:r>
          </w:p>
        </w:tc>
        <w:tc>
          <w:tcPr>
            <w:tcW w:w="1814" w:type="pct"/>
            <w:tcBorders>
              <w:bottom w:val="single" w:sz="4" w:space="0" w:color="auto"/>
            </w:tcBorders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43. The association's accounting system enables it to produce a financial report when required.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 xml:space="preserve">.C2 </w:t>
            </w:r>
            <w:r w:rsidRPr="00CA0FD1">
              <w:rPr>
                <w:rFonts w:ascii="Times New Roman" w:eastAsia="Calibri" w:hAnsi="Times New Roman"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>بودجه بندی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C2. Budgeting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420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44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دارای بودجه سالانه است که به تصویب هیئت مدیره/ کمیته اجرایی انجمن می رسد.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44. The association has an annual budget which is approved by the Board/Executive Committee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420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</w:t>
            </w:r>
          </w:p>
        </w:tc>
        <w:tc>
          <w:tcPr>
            <w:tcW w:w="12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45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دارای یک شخص خاص برا.ی مدیریت بودجه است.</w:t>
            </w:r>
          </w:p>
        </w:tc>
        <w:tc>
          <w:tcPr>
            <w:tcW w:w="1814" w:type="pct"/>
            <w:tcBorders>
              <w:bottom w:val="single" w:sz="4" w:space="0" w:color="auto"/>
            </w:tcBorders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45. The association has a person specifically responsible for budget management.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 xml:space="preserve">.C3 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>اطلاعات مالی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C3. Financial Information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0.66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46. حامیا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  <w:t>ن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 xml:space="preserve"> مالی، اعضا یا دیگران می توانند در صورت درخواست به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lastRenderedPageBreak/>
              <w:t>اطلاعات مالی دسترسی داشته باشند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lastRenderedPageBreak/>
              <w:t>46. Donors, members, or others can access financial information on request.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lastRenderedPageBreak/>
              <w:t>0.66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0.93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0.93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47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گزارش های مالی سالانه تهیه می کند که توسط هیئت مدیره / کمیته اجرایی بررسی می شود.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47. The association produces annual financial reports which are reviewed and approved by the Board/ Executive Committee.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48. انجمن گزارش کامل مالی را در گزارش سالانه خود ارائه می دهد.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48. The association presents a full financial statement in its annual report.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 xml:space="preserve">.D </w:t>
            </w:r>
            <w:r w:rsidRPr="00CA0FD1">
              <w:rPr>
                <w:rFonts w:ascii="Times New Roman" w:eastAsia="Calibri" w:hAnsi="Times New Roman"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>عملکرد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D. Functions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 xml:space="preserve"> .D1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>خدمات عضویت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D1. Membership Services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0.66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49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مکانیسم هایی برای شناسایی نیازهای اعضای خود دارد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49. The association has mechanisms to identify the needs of its members.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0.66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50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سالانه جلسات عمومی را با اعضای خود تشکیل می دهد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50. The association </w:t>
            </w:r>
            <w:proofErr w:type="spellStart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organises</w:t>
            </w:r>
            <w:proofErr w:type="spellEnd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general meetings with its members annually.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0.68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51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مکانیزمی برای جذب اعضای جدید دارد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51. The association has a mechanism for recruiting new members.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0.69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52.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سازوکارهایی برای حفظ عضویت دارد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52. The association has mechanisms for membership retention.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0.69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53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دارای ساختار عضویت است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53. The association has a membership structure.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0.66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54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دارای ساختار حق عضویت است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54. The association has a membership fee structure.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55.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مکانیسم هایی برای به روز رسانی لیست اعضای خود دارد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55. The association has mechanisms for updating its membership list.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0.65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56.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 xml:space="preserve">اعضای جدید به اطلاعات موجود و نحوه درخواست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  <w:t>آگاهی دارند.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56. New members are oriented to the information available and how to request it.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0.69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57.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مکانیسم هایی برای ارائه توصیه ها، حقوق و شرایط کاری اعضا دارد.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57. The association has mechanisms in place to make recommendations on salaries, and working conditions of its members.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0.69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58.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مکانیسم هایی برای ارائه آموزش مستمر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  <w:t xml:space="preserve"> حرفه ای برای اعضا است.</w:t>
            </w:r>
          </w:p>
        </w:tc>
        <w:tc>
          <w:tcPr>
            <w:tcW w:w="1814" w:type="pct"/>
            <w:tcBorders>
              <w:bottom w:val="single" w:sz="4" w:space="0" w:color="auto"/>
            </w:tcBorders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58. The association has mechanisms to provide continuing professional education for its members.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 xml:space="preserve"> .D2 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 xml:space="preserve">پیشبرد 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عملکرد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 xml:space="preserve"> حرفه ای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D2. Advancing Professional Practice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0.93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0.93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59.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در توسعه ی استانداردهای آموزش و مقررات حرفه ای مشارکت می نماید.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59. The association develops or contributes to the development of professional standards for education and regulation.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0.69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  <w:lang w:bidi="fa-IR"/>
              </w:rPr>
              <w:t xml:space="preserve">60 .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توان حمایت و ارتقای کیفیت عملکرد اعضا را دارد (مانند آموزش، تحیق، سیاستگزاری، رهبری و غیره).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60. The association has capacity to support and publicly </w:t>
            </w:r>
            <w:proofErr w:type="spellStart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recognise</w:t>
            </w:r>
            <w:proofErr w:type="spellEnd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positive quality practice by members (e.g. practice, education, research, policy, leadership </w:t>
            </w:r>
            <w:proofErr w:type="spellStart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etc</w:t>
            </w:r>
            <w:proofErr w:type="spellEnd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).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lastRenderedPageBreak/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61 .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دارای مکانیسم هایی برای به اشتراک گذاری بهترین شیوه ها و استفاده از فرصت های یادگیری متقابل با سازمان های دیگر است.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61. The association has mechanisms in place to share best practices and engage in mutual learning opportunities with other </w:t>
            </w:r>
            <w:proofErr w:type="spellStart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organisations</w:t>
            </w:r>
            <w:proofErr w:type="spellEnd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D9D9D9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clear" w:color="auto" w:fill="D9D9D9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clear" w:color="auto" w:fill="D9D9D9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clear" w:color="auto" w:fill="D9D9D9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shd w:val="clear" w:color="auto" w:fill="D9D9D9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D3</w:t>
            </w:r>
            <w:r w:rsidRPr="00CA0FD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rtl/>
              </w:rPr>
              <w:t>.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 xml:space="preserve">کنترل کیفیت برای مراقبت </w:t>
            </w:r>
          </w:p>
        </w:tc>
        <w:tc>
          <w:tcPr>
            <w:tcW w:w="1814" w:type="pct"/>
            <w:shd w:val="clear" w:color="auto" w:fill="D9D9D9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D3. Quality control for care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62 .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دارای سازوکارهایی برای ارائه راهنمایی، مشاوره و اطلاعات به اعضای خود در مورد کیفیت مراقبت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  <w:t xml:space="preserve"> است.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62. The association has mechanisms for providing guidance, advice and information to its members on quality of care.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0.78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63 .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در ایجاد و توسعه و اجرای  مقررات مامایی مشارکت و یا حمایت می کند.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63. The association contributes to /advocates for the development and implementation of midwifery regulation.</w:t>
            </w:r>
          </w:p>
        </w:tc>
      </w:tr>
      <w:tr w:rsidR="00CA0FD1" w:rsidRPr="00CA0FD1" w:rsidTr="00687459">
        <w:trPr>
          <w:trHeight w:val="1043"/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64 .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مکانیسم هایی برای کمک به اعضای خود در کسب امتیازهای مورد نیاز  برای  صلاحیت در اخذ مجوز یا تمدید مجوز  دارد.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64. The association has mechanisms to assist its members in meeting any continuing competency requirements needed for licensure or renewal of license.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0.69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0.93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0.93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65 .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 xml:space="preserve">انجمن دارای یک منشور اخلاقی برای اعضایی است که  با کد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ICM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 xml:space="preserve"> کار می کنند است و به طور منظم مرور می شود.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65. The association has a regularly reviewed Code of Ethics for members or works within the ICM code.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66 .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همه اعضای جدید به منشور اخلاقی دسترسی دارند یا همراه با اسناد دیگر به آنها داده می شود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66. All new members have access to or are given the Code of Ethics in conjunction with other documents.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0.78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0.93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0.93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67 .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در مواقعی که عمل حرفه ای ماماهای عضو زیر سوال رفته است حضور دارد.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67. The association is in attendance in situations where member midwives’ professional practice is being questioned.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68 .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در برنامه ریزی منابع انسانی و پزشکان و ماماها و کیفیت ارائه مراقبت های بهداشتی درگیر است.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68. The association is involved in human resources planning as it relates to MNCH practitioners and quality of health care provision.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 xml:space="preserve"> .D4 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>ارتباط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D4. Communication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69 .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یک استراتژی ارتباطی مشخص برای روابط داخلی و خارجی دارد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</w:p>
        </w:tc>
        <w:tc>
          <w:tcPr>
            <w:tcW w:w="1814" w:type="pct"/>
            <w:tcBorders>
              <w:bottom w:val="single" w:sz="4" w:space="0" w:color="auto"/>
            </w:tcBorders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69. The association has a clearly defined communication strategy for internal and external relationships.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>- با اعضا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- with members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0.86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70. انجمن دارای سازوکارهای منظم (حداقل سه ماهه) دو طرفه با اعضای خود است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</w:p>
        </w:tc>
        <w:tc>
          <w:tcPr>
            <w:tcW w:w="1814" w:type="pct"/>
            <w:tcBorders>
              <w:bottom w:val="single" w:sz="4" w:space="0" w:color="auto"/>
            </w:tcBorders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70. The association has mechanisms for regular (at least quarterly) two way communication with its members.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>- با وزارت بهداشت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- with MOH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lastRenderedPageBreak/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0.92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71. انجمن مکانیسمی برای اطلاع رسانی منظم به وزارت بهداشت و نهادهای مرتبطی است که دارای تاثیر بر فعالیت ها و مسائل اعضا  و حرفه مامایی است.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71. The association has a mechanism to regularly inform MOH and other relevant bodies of activities and issues impacting on its members and the midwifery profession.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0.87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72. وزارت بهداشت به طور منظم انجمن را در جریان مسائلی می گذارد که که بر ماماها، سلامت زنان، نوزادان و کودکان مادر.تأثیر می گذارد.</w:t>
            </w:r>
          </w:p>
        </w:tc>
        <w:tc>
          <w:tcPr>
            <w:tcW w:w="1814" w:type="pct"/>
            <w:tcBorders>
              <w:bottom w:val="single" w:sz="4" w:space="0" w:color="auto"/>
            </w:tcBorders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72. MOH regularly inform the association of issues impacting on midwives, women, maternal newborn and child health.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>- با زنان، اهداکنندگان، جامعه مدنی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- with Women, Donors, Civic Society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0.69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73. انجمن دارای سیستم های ارتباطی مانند خبرنامه و/یا یک وب سایت برای ارتباط با همه ذینفعان (اعضا، زنان، اهداکنندگان، جامعه مدنی و سازمان‌های غیردولتی مردمی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  <w:lang w:bidi="fa-IR"/>
              </w:rPr>
              <w:t>)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 xml:space="preserve"> است.</w:t>
            </w:r>
          </w:p>
        </w:tc>
        <w:tc>
          <w:tcPr>
            <w:tcW w:w="1814" w:type="pct"/>
            <w:tcBorders>
              <w:bottom w:val="single" w:sz="4" w:space="0" w:color="auto"/>
            </w:tcBorders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73. The association has communication systems in place such as newsletter and/or a website to communicate with all stakeholders (members, women, donors, civic society and </w:t>
            </w:r>
            <w:proofErr w:type="spellStart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grassroot</w:t>
            </w:r>
            <w:proofErr w:type="spellEnd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NGOs such as WRA).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D</w:t>
            </w:r>
            <w:proofErr w:type="gramStart"/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 xml:space="preserve">5 </w:t>
            </w:r>
            <w:r w:rsidRPr="00CA0FD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rtl/>
              </w:rPr>
              <w:t>.</w:t>
            </w:r>
            <w:proofErr w:type="gramEnd"/>
            <w:r w:rsidRPr="00CA0FD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 xml:space="preserve"> حمایت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D5. Advocacy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0.67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0.93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0.93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74. انجمن دارای سیستم هایی برای تسهیل حمایت از زنان، ماماها و نوزادان است.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74. The association has systems in place to facilitate advocacy for women, midwives and newborns.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75. مکانیسمی برای ارائه آموزش های حمایتی به رهبری انجمن و اعضا (مذاکره، سخنرانی عمومی، کیت اطلاعات و غیره)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 xml:space="preserve"> وجود دارد.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75. There is a mechanism to provide advocacy training to association leadership and members (negotiation, public speaking, information kit, etc.).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0.84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0.93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76. انجمن دارای نمایندگانی در کمیته های کلیدی دولتی و نهادهای سیاست گذاری در زمینه سلامت مادر، نوزاد و کودک و مامایی می باشد.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76. The association has representatives in key government committees and policy making bodies on maternal, newborn and child health and midwifery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0.69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0.93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0.93</w:t>
            </w:r>
          </w:p>
        </w:tc>
        <w:tc>
          <w:tcPr>
            <w:tcW w:w="12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77. انجمن دارای دستورالعمل هایی  برای نحوه مشارکت شرکای غیردولتی برای حمایت از  شبکه های در خدمت منافع گروه های ذینفع می باشد.</w:t>
            </w:r>
          </w:p>
        </w:tc>
        <w:tc>
          <w:tcPr>
            <w:tcW w:w="1814" w:type="pct"/>
            <w:tcBorders>
              <w:bottom w:val="single" w:sz="4" w:space="0" w:color="auto"/>
            </w:tcBorders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77. The association has guidelines for how to involve NGO partners in advocacy networks serving the interests of its beneficiary groups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D</w:t>
            </w:r>
            <w:proofErr w:type="gramStart"/>
            <w:r w:rsidRPr="00CA0FD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6 </w:t>
            </w:r>
            <w:r w:rsidRPr="00CA0FD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  <w:rtl/>
              </w:rPr>
              <w:t>.</w:t>
            </w:r>
            <w:proofErr w:type="gramEnd"/>
            <w:r w:rsidRPr="00CA0FD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 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>تارائه خدمات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D6. Service Delivery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0.66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0.93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0.93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78. انجمن دارای منابع مربوطه (انسانی، ظرفیت، مالی مواد) برای رسیدن به ماموریت خود است.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78. The association has the relevant resources (human, capacity, financial material) to achieve its mission.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0.75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79. انجمن ابزار نظارت و ارزیابی کیفیت و تأثیر کار خود را دارد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79. The association has the tools to monitor and evaluate the quality and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lastRenderedPageBreak/>
              <w:t>impact of its work.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lastRenderedPageBreak/>
              <w:t>0.66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0.92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80. انجمن از نتایج ارزیابی برای تأثیرگذاری بر برنامه ریزی ارائه خدمات استفاده می کند.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80. The association uses evaluation results to influence service delivery planning.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 xml:space="preserve"> .E 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>همکاری، مشارکت و شبکه</w:t>
            </w:r>
          </w:p>
        </w:tc>
        <w:tc>
          <w:tcPr>
            <w:tcW w:w="1814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E. Collaboration, Partnerships and Networks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 xml:space="preserve">.E1 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 xml:space="preserve"> با زنان، دولت و سایر سازمان های غیردولتی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E1. With women, government and other NGOs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0.66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81. انجمن زنان و خانواده ها را به عنوان شرکای واقعی در ارائه خدمت شامل برنامه ریزی، تصمیم گیری و فعالیت های مدنی درگیر می کند.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81. The association involves women and families as true partners in service provision including planning, decision making, and civic activities.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82. انجمن رابطه همکاری با دولت برقرار کرده است.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82. The association has established a collaborative relationship with the government.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83. انجمن دارای رابطه و همکاری با سازمان های غیردولتی، بین المللی، از جمله سازمان های زنان است.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83. The association has collaborative relationships with national and international NGOs, including women’s </w:t>
            </w:r>
            <w:proofErr w:type="spellStart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organisations</w:t>
            </w:r>
            <w:proofErr w:type="spellEnd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84. انجمن د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  <w:lang w:bidi="fa-IR"/>
              </w:rPr>
              <w:t>ا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رای همکاری و ارتباط با سایر مراقبین بهداشتی و انجمن های حرفه ای است.</w:t>
            </w:r>
          </w:p>
        </w:tc>
        <w:tc>
          <w:tcPr>
            <w:tcW w:w="1814" w:type="pct"/>
            <w:tcBorders>
              <w:bottom w:val="single" w:sz="4" w:space="0" w:color="auto"/>
            </w:tcBorders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84. The association collaborates and networks with other health care professions associations in the country.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 xml:space="preserve"> .E2 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 xml:space="preserve">ارتباط با اهداکنندگان و بخش خصوصی 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E2. Relationship with donors and the private sector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0.66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85. انجمن دارای مکانیسم هایی برای برقراری و حفظ روابط با حامیان بالقوه است.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85. The association has mechanisms for maintaining relationships with current donors and establishing contact with potential ones.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0.69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86. انجمن اهداکنندگان را در یک گفتگوی آزاد و باز مشارکت می دهد.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86. The association engages donors in a free and open dialogue.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0.92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87. انجمن بخش خصوصی را در گفتگوی باز در رابطه با مسائل مربوط به سلامت در گیر می کند.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87. The association engages the private sector in open dialogue relating to health issues.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jc w:val="both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.F</w:t>
            </w:r>
            <w:r w:rsidRPr="00CA0FD1">
              <w:rPr>
                <w:rFonts w:ascii="Times New Roman" w:eastAsia="Calibri" w:hAnsi="Times New Roman"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  <w:t>دیده شدن از جمله روابط رسانه ای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F. Visibility including Media Relations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0.92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88. زنان و خانواده های آنها برای کسب اطلاعات و مشاوره در مورد مسائل بهداشتی زنان به انجمن مراجعه می کنند.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88. The association is approached by women and their families for information and advice on women’s health issues.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0.69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0.91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0.93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89. هیئت مدیره / کمیته اجرایی و کارکنان توسط ذینفعان به عنوان افراد بسیار ماهر و معتبر شناخته می شوند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89. The Board/ Executive Committee and staff are </w:t>
            </w:r>
            <w:proofErr w:type="spellStart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recognised</w:t>
            </w:r>
            <w:proofErr w:type="spellEnd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by their stakeholders as being highly skilled and credible in their field.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lastRenderedPageBreak/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0.95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90. انجمن از طرف دولت برای ارائه کمک به سیاست گذاری و تصمیم گیری در مسائل مامایی دعوت شده است.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90. The association is invited by government to provide midwifery expertise and contribute to policy and decision making in midwifery issues.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0.68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0.85</w:t>
            </w:r>
          </w:p>
        </w:tc>
        <w:tc>
          <w:tcPr>
            <w:tcW w:w="597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0.82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lang w:bidi="fa-IR"/>
              </w:rPr>
              <w:t>0.8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91. انجمن وجهه عمومی خود را با آموزش از طریق  رسانه ها ارتقا می دهد.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91. The association promotes its image and uses the media for public education.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0.8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97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92.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روابط مثبتی با رسانه ها ایجاد می کند.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92. The association develops positive relationships with the media.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0.8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97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right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93.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از انجمن دعوت می شود در امور مدنی که توسط سازمان های دیگر و توسط دولت سازماندهی می شود شرکت کند.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93. The association is invited to take part in civic matters </w:t>
            </w:r>
            <w:proofErr w:type="spellStart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organised</w:t>
            </w:r>
            <w:proofErr w:type="spellEnd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by other </w:t>
            </w:r>
            <w:proofErr w:type="spellStart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organisations</w:t>
            </w:r>
            <w:proofErr w:type="spellEnd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and by government.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420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97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541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pct"/>
            <w:shd w:val="pct10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jc w:val="both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 xml:space="preserve">.G </w:t>
            </w: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 پایداری</w:t>
            </w:r>
          </w:p>
        </w:tc>
        <w:tc>
          <w:tcPr>
            <w:tcW w:w="1814" w:type="pct"/>
            <w:shd w:val="pct10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</w:pPr>
            <w:r w:rsidRPr="00CA0FD1">
              <w:rPr>
                <w:rFonts w:ascii="Times New Roman" w:eastAsia="Calibri" w:hAnsi="Times New Roman" w:cs="B Nazanin"/>
                <w:b/>
                <w:bCs/>
                <w:color w:val="000000" w:themeColor="text1"/>
                <w:sz w:val="20"/>
                <w:szCs w:val="20"/>
              </w:rPr>
              <w:t>G. Sustainability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97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94.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دارای پایگاه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  <w:lang w:bidi="fa-IR"/>
              </w:rPr>
              <w:t xml:space="preserve"> های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 xml:space="preserve"> مالی متنوعی است که قادر به حفظ برنامه های بلند مدت آن است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94. The association has a diversified funding base capable of sustaining its programs over the long-term.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0.8</w:t>
            </w:r>
          </w:p>
        </w:tc>
        <w:tc>
          <w:tcPr>
            <w:tcW w:w="597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 xml:space="preserve">95.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در جمع آوری سرمایه و بسیج منابع، به عنوان ابزاری برای محدود کردن وابستگی به اهداکنندگان فعالیت می کند.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95. The association actively engages in fund raising and other resource </w:t>
            </w:r>
            <w:proofErr w:type="spellStart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mobilisation</w:t>
            </w:r>
            <w:proofErr w:type="spellEnd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activities as a means of limiting its dependence on donors.</w:t>
            </w:r>
          </w:p>
        </w:tc>
      </w:tr>
      <w:tr w:rsidR="00CA0FD1" w:rsidRPr="00CA0FD1" w:rsidTr="00687459">
        <w:trPr>
          <w:jc w:val="center"/>
        </w:trPr>
        <w:tc>
          <w:tcPr>
            <w:tcW w:w="394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0.73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0.8</w:t>
            </w:r>
          </w:p>
        </w:tc>
        <w:tc>
          <w:tcPr>
            <w:tcW w:w="597" w:type="pct"/>
            <w:shd w:val="clear" w:color="auto" w:fill="auto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41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jc w:val="center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33" w:type="pct"/>
            <w:shd w:val="clear" w:color="auto" w:fill="auto"/>
            <w:vAlign w:val="center"/>
          </w:tcPr>
          <w:p w:rsidR="00497209" w:rsidRPr="00CA0FD1" w:rsidRDefault="00497209" w:rsidP="00497209">
            <w:pPr>
              <w:bidi/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96</w:t>
            </w:r>
            <w:r w:rsidRPr="00CA0FD1">
              <w:rPr>
                <w:rFonts w:ascii="Times New Roman" w:eastAsia="Calibri" w:hAnsi="Times New Roman" w:cs="B Nazanin" w:hint="cs"/>
                <w:color w:val="000000" w:themeColor="text1"/>
                <w:sz w:val="20"/>
                <w:szCs w:val="20"/>
                <w:rtl/>
              </w:rPr>
              <w:t>.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انجمن به طور منظم به دنبال تخصص (در صورت امکان در میان رهبران و اعضای آن است) تا پیشنهادهای خود را برای جمع آوری کمک مالی و کمک به ایجاد ایده برای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 </w:t>
            </w: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  <w:t>بسیج منابع ارائه دهند.</w:t>
            </w:r>
          </w:p>
        </w:tc>
        <w:tc>
          <w:tcPr>
            <w:tcW w:w="1814" w:type="pct"/>
            <w:vAlign w:val="center"/>
          </w:tcPr>
          <w:p w:rsidR="00497209" w:rsidRPr="00CA0FD1" w:rsidRDefault="00497209" w:rsidP="00497209">
            <w:pPr>
              <w:spacing w:after="0" w:line="240" w:lineRule="auto"/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  <w:rtl/>
              </w:rPr>
            </w:pPr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 xml:space="preserve">96. The association regularly seeks expertise (among its leaders and members when possible) to write fundraising proposals and to help generate ideas for resource </w:t>
            </w:r>
            <w:proofErr w:type="spellStart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mobilisation</w:t>
            </w:r>
            <w:proofErr w:type="spellEnd"/>
            <w:r w:rsidRPr="00CA0FD1">
              <w:rPr>
                <w:rFonts w:ascii="Times New Roman" w:eastAsia="Calibri" w:hAnsi="Times New Roman" w:cs="B Nazanin"/>
                <w:color w:val="000000" w:themeColor="text1"/>
                <w:sz w:val="20"/>
                <w:szCs w:val="20"/>
              </w:rPr>
              <w:t>.</w:t>
            </w:r>
          </w:p>
        </w:tc>
      </w:tr>
      <w:bookmarkEnd w:id="1"/>
    </w:tbl>
    <w:p w:rsidR="007B0FEF" w:rsidRDefault="007B0FEF" w:rsidP="007B0FEF"/>
    <w:sectPr w:rsidR="007B0F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92627"/>
    <w:multiLevelType w:val="hybridMultilevel"/>
    <w:tmpl w:val="BDD045C8"/>
    <w:lvl w:ilvl="0" w:tplc="D2D6F140">
      <w:start w:val="1"/>
      <w:numFmt w:val="decimal"/>
      <w:lvlText w:val="%1."/>
      <w:lvlJc w:val="left"/>
      <w:pPr>
        <w:ind w:left="720" w:hanging="360"/>
      </w:pPr>
      <w:rPr>
        <w:rFonts w:ascii="Calibri" w:hAnsi="Calibri" w:cs="Arial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AA1156"/>
    <w:multiLevelType w:val="hybridMultilevel"/>
    <w:tmpl w:val="C59C6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A7B6D"/>
    <w:multiLevelType w:val="hybridMultilevel"/>
    <w:tmpl w:val="469EA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BB4B9B"/>
    <w:multiLevelType w:val="hybridMultilevel"/>
    <w:tmpl w:val="A4FAAB36"/>
    <w:lvl w:ilvl="0" w:tplc="14CE64B4">
      <w:start w:val="1"/>
      <w:numFmt w:val="upperLetter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A11359"/>
    <w:multiLevelType w:val="hybridMultilevel"/>
    <w:tmpl w:val="028C13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6374D7"/>
    <w:multiLevelType w:val="hybridMultilevel"/>
    <w:tmpl w:val="4B3CB9C2"/>
    <w:lvl w:ilvl="0" w:tplc="1FB02D90">
      <w:start w:val="1"/>
      <w:numFmt w:val="upperLetter"/>
      <w:lvlText w:val="%1."/>
      <w:lvlJc w:val="left"/>
      <w:pPr>
        <w:ind w:left="1470" w:hanging="11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40110B"/>
    <w:multiLevelType w:val="hybridMultilevel"/>
    <w:tmpl w:val="4B822F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6852B8"/>
    <w:multiLevelType w:val="multilevel"/>
    <w:tmpl w:val="503A17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5E55ECE"/>
    <w:multiLevelType w:val="hybridMultilevel"/>
    <w:tmpl w:val="5A2E0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753059"/>
    <w:multiLevelType w:val="hybridMultilevel"/>
    <w:tmpl w:val="F0302A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A9488B"/>
    <w:multiLevelType w:val="hybridMultilevel"/>
    <w:tmpl w:val="7A36D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F04EFE"/>
    <w:multiLevelType w:val="hybridMultilevel"/>
    <w:tmpl w:val="584A9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A393A"/>
    <w:multiLevelType w:val="hybridMultilevel"/>
    <w:tmpl w:val="57EEB9B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4E492C"/>
    <w:multiLevelType w:val="hybridMultilevel"/>
    <w:tmpl w:val="D820C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C95E45"/>
    <w:multiLevelType w:val="hybridMultilevel"/>
    <w:tmpl w:val="5E58D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156548"/>
    <w:multiLevelType w:val="hybridMultilevel"/>
    <w:tmpl w:val="8EF6DA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FA23E7"/>
    <w:multiLevelType w:val="hybridMultilevel"/>
    <w:tmpl w:val="3208D87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4272EE"/>
    <w:multiLevelType w:val="hybridMultilevel"/>
    <w:tmpl w:val="4BE04F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8E79EA"/>
    <w:multiLevelType w:val="hybridMultilevel"/>
    <w:tmpl w:val="8F9279DA"/>
    <w:lvl w:ilvl="0" w:tplc="295883A8">
      <w:start w:val="2"/>
      <w:numFmt w:val="lowerLetter"/>
      <w:lvlText w:val="%1."/>
      <w:lvlJc w:val="left"/>
      <w:pPr>
        <w:ind w:left="10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AD2342A">
      <w:start w:val="1"/>
      <w:numFmt w:val="lowerLetter"/>
      <w:lvlText w:val="%2"/>
      <w:lvlJc w:val="left"/>
      <w:pPr>
        <w:ind w:left="17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6B4AF30">
      <w:start w:val="1"/>
      <w:numFmt w:val="lowerRoman"/>
      <w:lvlText w:val="%3"/>
      <w:lvlJc w:val="left"/>
      <w:pPr>
        <w:ind w:left="24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BD65FD2">
      <w:start w:val="1"/>
      <w:numFmt w:val="decimal"/>
      <w:lvlText w:val="%4"/>
      <w:lvlJc w:val="left"/>
      <w:pPr>
        <w:ind w:left="31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0746F64">
      <w:start w:val="1"/>
      <w:numFmt w:val="lowerLetter"/>
      <w:lvlText w:val="%5"/>
      <w:lvlJc w:val="left"/>
      <w:pPr>
        <w:ind w:left="39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B921656">
      <w:start w:val="1"/>
      <w:numFmt w:val="lowerRoman"/>
      <w:lvlText w:val="%6"/>
      <w:lvlJc w:val="left"/>
      <w:pPr>
        <w:ind w:left="46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8683FE2">
      <w:start w:val="1"/>
      <w:numFmt w:val="decimal"/>
      <w:lvlText w:val="%7"/>
      <w:lvlJc w:val="left"/>
      <w:pPr>
        <w:ind w:left="53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9447C12">
      <w:start w:val="1"/>
      <w:numFmt w:val="lowerLetter"/>
      <w:lvlText w:val="%8"/>
      <w:lvlJc w:val="left"/>
      <w:pPr>
        <w:ind w:left="60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8F4332E">
      <w:start w:val="1"/>
      <w:numFmt w:val="lowerRoman"/>
      <w:lvlText w:val="%9"/>
      <w:lvlJc w:val="left"/>
      <w:pPr>
        <w:ind w:left="67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7387506E"/>
    <w:multiLevelType w:val="hybridMultilevel"/>
    <w:tmpl w:val="BF6C0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6"/>
  </w:num>
  <w:num w:numId="4">
    <w:abstractNumId w:val="11"/>
  </w:num>
  <w:num w:numId="5">
    <w:abstractNumId w:val="2"/>
  </w:num>
  <w:num w:numId="6">
    <w:abstractNumId w:val="10"/>
  </w:num>
  <w:num w:numId="7">
    <w:abstractNumId w:val="12"/>
  </w:num>
  <w:num w:numId="8">
    <w:abstractNumId w:val="5"/>
  </w:num>
  <w:num w:numId="9">
    <w:abstractNumId w:val="16"/>
  </w:num>
  <w:num w:numId="10">
    <w:abstractNumId w:val="7"/>
  </w:num>
  <w:num w:numId="11">
    <w:abstractNumId w:val="18"/>
  </w:num>
  <w:num w:numId="12">
    <w:abstractNumId w:val="3"/>
  </w:num>
  <w:num w:numId="13">
    <w:abstractNumId w:val="17"/>
  </w:num>
  <w:num w:numId="14">
    <w:abstractNumId w:val="14"/>
  </w:num>
  <w:num w:numId="15">
    <w:abstractNumId w:val="9"/>
  </w:num>
  <w:num w:numId="16">
    <w:abstractNumId w:val="13"/>
  </w:num>
  <w:num w:numId="17">
    <w:abstractNumId w:val="19"/>
  </w:num>
  <w:num w:numId="18">
    <w:abstractNumId w:val="8"/>
  </w:num>
  <w:num w:numId="19">
    <w:abstractNumId w:val="1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FEF"/>
    <w:rsid w:val="00497209"/>
    <w:rsid w:val="007B0FEF"/>
    <w:rsid w:val="00CA0FD1"/>
    <w:rsid w:val="00EF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2217CE0-FFB9-49EF-AF54-B094AB6F5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7209"/>
    <w:pPr>
      <w:keepNext/>
      <w:spacing w:before="240" w:after="60" w:line="259" w:lineRule="auto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97209"/>
    <w:pPr>
      <w:keepNext/>
      <w:spacing w:before="240" w:after="60" w:line="259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97209"/>
    <w:pPr>
      <w:keepNext/>
      <w:spacing w:before="240" w:after="60" w:line="259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7209"/>
    <w:pPr>
      <w:keepNext/>
      <w:spacing w:before="240" w:after="60" w:line="259" w:lineRule="auto"/>
      <w:outlineLvl w:val="3"/>
    </w:pPr>
    <w:rPr>
      <w:rFonts w:ascii="Calibri" w:eastAsia="Times New Roman" w:hAnsi="Calibri" w:cs="Arial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97209"/>
    <w:pPr>
      <w:spacing w:before="240" w:after="60" w:line="259" w:lineRule="auto"/>
      <w:outlineLvl w:val="4"/>
    </w:pPr>
    <w:rPr>
      <w:rFonts w:ascii="Calibri" w:eastAsia="Times New Roman" w:hAnsi="Calibri" w:cs="Arial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7209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97209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497209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497209"/>
    <w:rPr>
      <w:rFonts w:ascii="Calibri" w:eastAsia="Times New Roman" w:hAnsi="Calibri" w:cs="Arial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497209"/>
    <w:rPr>
      <w:rFonts w:ascii="Calibri" w:eastAsia="Times New Roman" w:hAnsi="Calibri" w:cs="Arial"/>
      <w:b/>
      <w:bCs/>
      <w:i/>
      <w:iCs/>
      <w:sz w:val="26"/>
      <w:szCs w:val="26"/>
    </w:rPr>
  </w:style>
  <w:style w:type="numbering" w:customStyle="1" w:styleId="NoList1">
    <w:name w:val="No List1"/>
    <w:next w:val="NoList"/>
    <w:uiPriority w:val="99"/>
    <w:semiHidden/>
    <w:unhideWhenUsed/>
    <w:rsid w:val="00497209"/>
  </w:style>
  <w:style w:type="character" w:customStyle="1" w:styleId="q4iawc">
    <w:name w:val="q4iawc"/>
    <w:rsid w:val="00497209"/>
  </w:style>
  <w:style w:type="paragraph" w:styleId="Header">
    <w:name w:val="header"/>
    <w:basedOn w:val="Normal"/>
    <w:link w:val="HeaderChar"/>
    <w:uiPriority w:val="99"/>
    <w:unhideWhenUsed/>
    <w:rsid w:val="00497209"/>
    <w:pPr>
      <w:tabs>
        <w:tab w:val="center" w:pos="4680"/>
        <w:tab w:val="right" w:pos="9360"/>
      </w:tabs>
      <w:spacing w:after="160" w:line="259" w:lineRule="auto"/>
    </w:pPr>
    <w:rPr>
      <w:rFonts w:ascii="Calibri" w:eastAsia="Calibri" w:hAnsi="Calibri" w:cs="Arial"/>
    </w:rPr>
  </w:style>
  <w:style w:type="character" w:customStyle="1" w:styleId="HeaderChar">
    <w:name w:val="Header Char"/>
    <w:basedOn w:val="DefaultParagraphFont"/>
    <w:link w:val="Header"/>
    <w:uiPriority w:val="99"/>
    <w:rsid w:val="00497209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497209"/>
    <w:pPr>
      <w:tabs>
        <w:tab w:val="center" w:pos="4680"/>
        <w:tab w:val="right" w:pos="9360"/>
      </w:tabs>
      <w:spacing w:after="160" w:line="259" w:lineRule="auto"/>
    </w:pPr>
    <w:rPr>
      <w:rFonts w:ascii="Calibri" w:eastAsia="Calibri" w:hAnsi="Calibri" w:cs="Arial"/>
    </w:rPr>
  </w:style>
  <w:style w:type="character" w:customStyle="1" w:styleId="FooterChar">
    <w:name w:val="Footer Char"/>
    <w:basedOn w:val="DefaultParagraphFont"/>
    <w:link w:val="Footer"/>
    <w:uiPriority w:val="99"/>
    <w:rsid w:val="00497209"/>
    <w:rPr>
      <w:rFonts w:ascii="Calibri" w:eastAsia="Calibri" w:hAnsi="Calibri" w:cs="Arial"/>
    </w:rPr>
  </w:style>
  <w:style w:type="character" w:styleId="CommentReference">
    <w:name w:val="annotation reference"/>
    <w:uiPriority w:val="99"/>
    <w:semiHidden/>
    <w:unhideWhenUsed/>
    <w:rsid w:val="004972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7209"/>
    <w:pPr>
      <w:spacing w:after="160" w:line="259" w:lineRule="auto"/>
    </w:pPr>
    <w:rPr>
      <w:rFonts w:ascii="Calibri" w:eastAsia="Calibri" w:hAnsi="Calibri" w:cs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7209"/>
    <w:rPr>
      <w:rFonts w:ascii="Calibri" w:eastAsia="Calibri" w:hAnsi="Calibri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72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7209"/>
    <w:rPr>
      <w:rFonts w:ascii="Calibri" w:eastAsia="Calibri" w:hAnsi="Calibri" w:cs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7209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209"/>
    <w:rPr>
      <w:rFonts w:ascii="Segoe UI" w:eastAsia="Calibr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497209"/>
    <w:pPr>
      <w:spacing w:after="0" w:line="259" w:lineRule="auto"/>
      <w:jc w:val="center"/>
    </w:pPr>
    <w:rPr>
      <w:rFonts w:ascii="Calibri" w:eastAsia="Calibri" w:hAnsi="Calibri" w:cs="Calibri"/>
      <w:noProof/>
    </w:rPr>
  </w:style>
  <w:style w:type="character" w:customStyle="1" w:styleId="EndNoteBibliographyTitleChar">
    <w:name w:val="EndNote Bibliography Title Char"/>
    <w:link w:val="EndNoteBibliographyTitle"/>
    <w:rsid w:val="00497209"/>
    <w:rPr>
      <w:rFonts w:ascii="Calibri" w:eastAsia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97209"/>
    <w:pPr>
      <w:spacing w:after="160" w:line="240" w:lineRule="auto"/>
      <w:jc w:val="both"/>
    </w:pPr>
    <w:rPr>
      <w:rFonts w:ascii="Calibri" w:eastAsia="Calibri" w:hAnsi="Calibri" w:cs="Calibri"/>
      <w:noProof/>
    </w:rPr>
  </w:style>
  <w:style w:type="character" w:customStyle="1" w:styleId="EndNoteBibliographyChar">
    <w:name w:val="EndNote Bibliography Char"/>
    <w:link w:val="EndNoteBibliography"/>
    <w:rsid w:val="00497209"/>
    <w:rPr>
      <w:rFonts w:ascii="Calibri" w:eastAsia="Calibri" w:hAnsi="Calibri" w:cs="Calibri"/>
      <w:noProof/>
    </w:rPr>
  </w:style>
  <w:style w:type="character" w:styleId="Hyperlink">
    <w:name w:val="Hyperlink"/>
    <w:uiPriority w:val="99"/>
    <w:unhideWhenUsed/>
    <w:rsid w:val="00497209"/>
    <w:rPr>
      <w:color w:val="0563C1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497209"/>
    <w:pPr>
      <w:spacing w:after="160" w:line="259" w:lineRule="auto"/>
    </w:pPr>
    <w:rPr>
      <w:rFonts w:ascii="Calibri" w:eastAsia="Calibri" w:hAnsi="Calibri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97209"/>
    <w:rPr>
      <w:rFonts w:ascii="Calibri" w:eastAsia="Calibri" w:hAnsi="Calibri" w:cs="Arial"/>
      <w:sz w:val="20"/>
      <w:szCs w:val="20"/>
    </w:rPr>
  </w:style>
  <w:style w:type="character" w:customStyle="1" w:styleId="viiyi">
    <w:name w:val="viiyi"/>
    <w:rsid w:val="00497209"/>
  </w:style>
  <w:style w:type="character" w:styleId="FootnoteReference">
    <w:name w:val="footnote reference"/>
    <w:aliases w:val="پاورقی,شماره زيرنويس"/>
    <w:uiPriority w:val="99"/>
    <w:unhideWhenUsed/>
    <w:qFormat/>
    <w:rsid w:val="00497209"/>
    <w:rPr>
      <w:vertAlign w:val="superscript"/>
    </w:rPr>
  </w:style>
  <w:style w:type="numbering" w:customStyle="1" w:styleId="NoList11">
    <w:name w:val="No List11"/>
    <w:next w:val="NoList"/>
    <w:uiPriority w:val="99"/>
    <w:semiHidden/>
    <w:unhideWhenUsed/>
    <w:rsid w:val="00497209"/>
  </w:style>
  <w:style w:type="table" w:styleId="TableGrid">
    <w:name w:val="Table Grid"/>
    <w:basedOn w:val="TableNormal"/>
    <w:uiPriority w:val="39"/>
    <w:rsid w:val="00497209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497209"/>
  </w:style>
  <w:style w:type="table" w:customStyle="1" w:styleId="TableGrid0">
    <w:name w:val="TableGrid"/>
    <w:rsid w:val="00497209"/>
    <w:pPr>
      <w:spacing w:after="0" w:line="240" w:lineRule="auto"/>
    </w:pPr>
    <w:rPr>
      <w:rFonts w:ascii="Calibri" w:eastAsia="Times New Roman" w:hAnsi="Calibri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List3">
    <w:name w:val="No List3"/>
    <w:next w:val="NoList"/>
    <w:uiPriority w:val="99"/>
    <w:semiHidden/>
    <w:unhideWhenUsed/>
    <w:rsid w:val="00497209"/>
  </w:style>
  <w:style w:type="table" w:customStyle="1" w:styleId="TableGrid1">
    <w:name w:val="Table Grid1"/>
    <w:basedOn w:val="TableNormal"/>
    <w:next w:val="TableGrid"/>
    <w:uiPriority w:val="39"/>
    <w:rsid w:val="00497209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rsid w:val="00497209"/>
  </w:style>
  <w:style w:type="table" w:customStyle="1" w:styleId="GridTable4-Accent61">
    <w:name w:val="Grid Table 4 - Accent 61"/>
    <w:basedOn w:val="TableNormal"/>
    <w:uiPriority w:val="49"/>
    <w:rsid w:val="00497209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numbering" w:customStyle="1" w:styleId="NoList111">
    <w:name w:val="No List111"/>
    <w:next w:val="NoList"/>
    <w:uiPriority w:val="99"/>
    <w:semiHidden/>
    <w:unhideWhenUsed/>
    <w:rsid w:val="00497209"/>
  </w:style>
  <w:style w:type="numbering" w:customStyle="1" w:styleId="NoList4">
    <w:name w:val="No List4"/>
    <w:next w:val="NoList"/>
    <w:uiPriority w:val="99"/>
    <w:semiHidden/>
    <w:unhideWhenUsed/>
    <w:rsid w:val="00497209"/>
  </w:style>
  <w:style w:type="numbering" w:customStyle="1" w:styleId="NoList12">
    <w:name w:val="No List12"/>
    <w:next w:val="NoList"/>
    <w:uiPriority w:val="99"/>
    <w:semiHidden/>
    <w:unhideWhenUsed/>
    <w:rsid w:val="00497209"/>
  </w:style>
  <w:style w:type="numbering" w:customStyle="1" w:styleId="NoList1111">
    <w:name w:val="No List1111"/>
    <w:next w:val="NoList"/>
    <w:uiPriority w:val="99"/>
    <w:semiHidden/>
    <w:unhideWhenUsed/>
    <w:rsid w:val="00497209"/>
  </w:style>
  <w:style w:type="numbering" w:customStyle="1" w:styleId="NoList21">
    <w:name w:val="No List21"/>
    <w:next w:val="NoList"/>
    <w:uiPriority w:val="99"/>
    <w:semiHidden/>
    <w:unhideWhenUsed/>
    <w:rsid w:val="00497209"/>
  </w:style>
  <w:style w:type="numbering" w:customStyle="1" w:styleId="NoList31">
    <w:name w:val="No List31"/>
    <w:next w:val="NoList"/>
    <w:uiPriority w:val="99"/>
    <w:semiHidden/>
    <w:unhideWhenUsed/>
    <w:rsid w:val="00497209"/>
  </w:style>
  <w:style w:type="table" w:customStyle="1" w:styleId="ListTable3-Accent61">
    <w:name w:val="List Table 3 - Accent 61"/>
    <w:basedOn w:val="TableNormal"/>
    <w:uiPriority w:val="48"/>
    <w:rsid w:val="00497209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StyleRowBandSize w:val="1"/>
      <w:tblStyleColBandSize w:val="1"/>
      <w:tblBorders>
        <w:top w:val="single" w:sz="4" w:space="0" w:color="70AD47"/>
        <w:left w:val="single" w:sz="4" w:space="0" w:color="70AD47"/>
        <w:bottom w:val="single" w:sz="4" w:space="0" w:color="70AD47"/>
        <w:right w:val="single" w:sz="4" w:space="0" w:color="70AD47"/>
      </w:tblBorders>
    </w:tblPr>
    <w:tblStylePr w:type="firstRow">
      <w:rPr>
        <w:b/>
        <w:bCs/>
        <w:color w:val="FFFFFF"/>
      </w:rPr>
      <w:tblPr/>
      <w:tcPr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70AD47"/>
          <w:right w:val="single" w:sz="4" w:space="0" w:color="70AD47"/>
        </w:tcBorders>
      </w:tcPr>
    </w:tblStylePr>
    <w:tblStylePr w:type="band1Horz">
      <w:tblPr/>
      <w:tcPr>
        <w:tcBorders>
          <w:top w:val="single" w:sz="4" w:space="0" w:color="70AD47"/>
          <w:bottom w:val="single" w:sz="4" w:space="0" w:color="70AD47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/>
          <w:left w:val="nil"/>
        </w:tcBorders>
      </w:tcPr>
    </w:tblStylePr>
    <w:tblStylePr w:type="swCell">
      <w:tblPr/>
      <w:tcPr>
        <w:tcBorders>
          <w:top w:val="double" w:sz="4" w:space="0" w:color="70AD47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rsid w:val="00497209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StyleRowBandSize w:val="1"/>
      <w:tblStyleColBandSize w:val="1"/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</w:tblBorders>
    </w:tblPr>
    <w:tblStylePr w:type="firstRow">
      <w:rPr>
        <w:b/>
        <w:bCs/>
        <w:color w:val="FFFFFF"/>
      </w:rPr>
      <w:tblPr/>
      <w:tcPr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5B9BD5"/>
          <w:right w:val="single" w:sz="4" w:space="0" w:color="5B9BD5"/>
        </w:tcBorders>
      </w:tcPr>
    </w:tblStylePr>
    <w:tblStylePr w:type="band1Horz">
      <w:tblPr/>
      <w:tcPr>
        <w:tcBorders>
          <w:top w:val="single" w:sz="4" w:space="0" w:color="5B9BD5"/>
          <w:bottom w:val="single" w:sz="4" w:space="0" w:color="5B9BD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/>
          <w:left w:val="nil"/>
        </w:tcBorders>
      </w:tcPr>
    </w:tblStylePr>
    <w:tblStylePr w:type="swCell">
      <w:tblPr/>
      <w:tcPr>
        <w:tcBorders>
          <w:top w:val="double" w:sz="4" w:space="0" w:color="5B9BD5"/>
          <w:right w:val="nil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497209"/>
    <w:pPr>
      <w:keepLines/>
      <w:spacing w:before="480" w:after="0" w:line="276" w:lineRule="auto"/>
      <w:outlineLvl w:val="9"/>
    </w:pPr>
    <w:rPr>
      <w:rFonts w:ascii="Cambria" w:eastAsia="MS Gothic" w:hAnsi="Cambria"/>
      <w:color w:val="365F91"/>
      <w:kern w:val="0"/>
      <w:sz w:val="28"/>
      <w:szCs w:val="28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497209"/>
    <w:pPr>
      <w:spacing w:after="160" w:line="259" w:lineRule="auto"/>
    </w:pPr>
    <w:rPr>
      <w:rFonts w:ascii="Calibri" w:eastAsia="Calibri" w:hAnsi="Calibri" w:cs="Arial"/>
    </w:rPr>
  </w:style>
  <w:style w:type="paragraph" w:styleId="TOC2">
    <w:name w:val="toc 2"/>
    <w:basedOn w:val="Normal"/>
    <w:next w:val="Normal"/>
    <w:autoRedefine/>
    <w:uiPriority w:val="39"/>
    <w:unhideWhenUsed/>
    <w:rsid w:val="00497209"/>
    <w:pPr>
      <w:spacing w:after="160" w:line="259" w:lineRule="auto"/>
      <w:ind w:left="220"/>
    </w:pPr>
    <w:rPr>
      <w:rFonts w:ascii="Calibri" w:eastAsia="Calibri" w:hAnsi="Calibri" w:cs="Arial"/>
    </w:rPr>
  </w:style>
  <w:style w:type="paragraph" w:styleId="TOC3">
    <w:name w:val="toc 3"/>
    <w:basedOn w:val="Normal"/>
    <w:next w:val="Normal"/>
    <w:autoRedefine/>
    <w:uiPriority w:val="39"/>
    <w:unhideWhenUsed/>
    <w:rsid w:val="00497209"/>
    <w:pPr>
      <w:spacing w:after="160" w:line="259" w:lineRule="auto"/>
      <w:ind w:left="440"/>
    </w:pPr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3179</Words>
  <Characters>18125</Characters>
  <Application>Microsoft Office Word</Application>
  <DocSecurity>0</DocSecurity>
  <Lines>151</Lines>
  <Paragraphs>42</Paragraphs>
  <ScaleCrop>false</ScaleCrop>
  <Company/>
  <LinksUpToDate>false</LinksUpToDate>
  <CharactersWithSpaces>21262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zahra kiani</dc:creator>
  <cp:lastModifiedBy>dell</cp:lastModifiedBy>
  <cp:revision>3</cp:revision>
  <dcterms:created xsi:type="dcterms:W3CDTF">2022-12-10T06:49:00Z</dcterms:created>
  <dcterms:modified xsi:type="dcterms:W3CDTF">2023-07-14T07:28:00Z</dcterms:modified>
</cp:coreProperties>
</file>