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0" w:beforeAutospacing="0" w:after="0" w:afterAutospacing="0" w:line="360" w:lineRule="auto"/>
        <w:jc w:val="left"/>
        <w:rPr>
          <w:rFonts w:hint="eastAsia" w:ascii="Times New Roman" w:hAnsi="Times New Roman" w:eastAsia="宋体" w:cs="Times New Roman"/>
          <w:b/>
          <w:color w:val="auto"/>
          <w:sz w:val="20"/>
          <w:szCs w:val="20"/>
          <w:lang w:eastAsia="zh-CN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b/>
          <w:color w:val="auto"/>
          <w:sz w:val="20"/>
          <w:szCs w:val="20"/>
          <w:lang w:eastAsia="zh-CN"/>
        </w:rPr>
        <w:drawing>
          <wp:inline distT="0" distB="0" distL="114300" distR="114300">
            <wp:extent cx="5268595" cy="1834515"/>
            <wp:effectExtent l="0" t="0" r="1905" b="6985"/>
            <wp:docPr id="9" name="图片 9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auto"/>
        <w:jc w:val="left"/>
        <w:rPr>
          <w:rFonts w:hint="default" w:ascii="Times New Roman" w:hAnsi="Times New Roman" w:cs="Times New Roman"/>
          <w:color w:val="auto"/>
          <w:sz w:val="20"/>
          <w:szCs w:val="20"/>
        </w:rPr>
      </w:pPr>
      <w:r>
        <w:rPr>
          <w:rFonts w:hint="eastAsia" w:ascii="Times New Roman" w:hAnsi="Times New Roman" w:cs="Times New Roman"/>
          <w:b/>
          <w:bCs/>
          <w:color w:val="auto"/>
          <w:sz w:val="20"/>
          <w:szCs w:val="20"/>
          <w:lang w:eastAsia="zh-CN"/>
        </w:rPr>
        <w:t>Fig.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</w:rPr>
        <w:t>1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 xml:space="preserve"> Detection of miR-128-3p overexpression interference efficiency Q-PCR primer sequences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 xml:space="preserve"> </w:t>
      </w:r>
    </w:p>
    <w:p>
      <w:pPr>
        <w:pStyle w:val="3"/>
        <w:numPr>
          <w:ilvl w:val="0"/>
          <w:numId w:val="1"/>
        </w:numPr>
        <w:spacing w:before="0" w:beforeAutospacing="0" w:after="0" w:afterAutospacing="0" w:line="360" w:lineRule="auto"/>
        <w:jc w:val="left"/>
        <w:rPr>
          <w:rFonts w:hint="eastAsia" w:ascii="Times New Roman" w:hAnsi="Times New Roman" w:cs="Times New Roman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0"/>
          <w:szCs w:val="20"/>
          <w:lang w:val="en-US" w:eastAsia="zh-CN"/>
        </w:rPr>
        <w:t>Detection of overexpression efficiency of miR-128-3p</w:t>
      </w:r>
      <w:r>
        <w:rPr>
          <w:rFonts w:hint="eastAsia" w:ascii="Times New Roman" w:hAnsi="Times New Roman" w:cs="Times New Roman"/>
          <w:b/>
          <w:bCs/>
          <w:color w:val="auto"/>
          <w:sz w:val="20"/>
          <w:szCs w:val="20"/>
          <w:lang w:val="en-US" w:eastAsia="zh-CN"/>
        </w:rPr>
        <w:t xml:space="preserve"> B.</w:t>
      </w:r>
      <w:r>
        <w:rPr>
          <w:rFonts w:hint="eastAsia" w:ascii="Times New Roman" w:hAnsi="Times New Roman" w:cs="Times New Roman"/>
          <w:b w:val="0"/>
          <w:bCs w:val="0"/>
          <w:color w:val="auto"/>
          <w:sz w:val="20"/>
          <w:szCs w:val="20"/>
          <w:lang w:val="en-US" w:eastAsia="zh-CN"/>
        </w:rPr>
        <w:t>Detection of overexpression efficiency of miR-128-3p</w:t>
      </w:r>
    </w:p>
    <w:p>
      <w:pPr>
        <w:pStyle w:val="3"/>
        <w:spacing w:before="0" w:beforeAutospacing="0" w:after="0" w:afterAutospacing="0" w:line="360" w:lineRule="auto"/>
        <w:jc w:val="left"/>
        <w:rPr>
          <w:rFonts w:hint="default" w:ascii="Times New Roman" w:hAnsi="Times New Roman" w:eastAsia="宋体" w:cs="Times New Roman"/>
          <w:color w:val="auto"/>
          <w:sz w:val="20"/>
          <w:szCs w:val="20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0"/>
          <w:szCs w:val="20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auto"/>
        <w:jc w:val="left"/>
        <w:rPr>
          <w:rFonts w:hint="default" w:ascii="Times New Roman" w:hAnsi="Times New Roman" w:eastAsia="宋体" w:cs="Times New Roman"/>
          <w:color w:val="auto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0"/>
          <w:szCs w:val="20"/>
          <w:lang w:eastAsia="zh-CN"/>
        </w:rPr>
        <w:t>Fig.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</w:rPr>
        <w:t>2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 xml:space="preserve"> Flow cytometry detection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Cell cycle analysis via flow cytometry after overexpression or interference of miR-128-3p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>. The figure shows NC group, M group (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mimics-treated group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>), and SI group (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inhibitor-treated group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>) from top to bottom (n = 5).</w:t>
      </w:r>
    </w:p>
    <w:p>
      <w:pPr>
        <w:pStyle w:val="3"/>
        <w:spacing w:before="0" w:beforeAutospacing="0" w:after="0" w:afterAutospacing="0" w:line="360" w:lineRule="auto"/>
        <w:jc w:val="left"/>
        <w:rPr>
          <w:rFonts w:hint="default" w:ascii="Times New Roman" w:hAnsi="Times New Roman" w:cs="Times New Roman"/>
          <w:color w:val="auto"/>
          <w:sz w:val="20"/>
          <w:szCs w:val="20"/>
        </w:rPr>
      </w:pPr>
    </w:p>
    <w:p>
      <w:pPr>
        <w:pStyle w:val="3"/>
        <w:spacing w:before="0" w:beforeAutospacing="0" w:after="0" w:afterAutospacing="0" w:line="360" w:lineRule="auto"/>
        <w:jc w:val="left"/>
        <w:rPr>
          <w:rFonts w:hint="default" w:ascii="Times New Roman" w:hAnsi="Times New Roman" w:cs="Times New Roman"/>
          <w:b/>
          <w:bCs/>
          <w:color w:val="auto"/>
          <w:sz w:val="20"/>
          <w:szCs w:val="20"/>
        </w:rPr>
      </w:pPr>
      <w:r>
        <w:rPr>
          <w:rFonts w:hint="default" w:ascii="Times New Roman" w:hAnsi="Times New Roman" w:cs="Times New Roman"/>
          <w:color w:val="auto"/>
          <w:sz w:val="20"/>
          <w:szCs w:val="20"/>
          <w:lang w:eastAsia="zh-CN"/>
        </w:rPr>
        <w:drawing>
          <wp:inline distT="0" distB="0" distL="114300" distR="114300">
            <wp:extent cx="5269230" cy="8285480"/>
            <wp:effectExtent l="0" t="0" r="1270" b="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auto"/>
        <w:jc w:val="left"/>
        <w:rPr>
          <w:rFonts w:hint="default" w:ascii="Times New Roman" w:hAnsi="Times New Roman" w:eastAsia="宋体" w:cs="Times New Roman"/>
          <w:color w:val="auto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0"/>
          <w:szCs w:val="20"/>
          <w:lang w:eastAsia="zh-CN"/>
        </w:rPr>
        <w:t>Fig.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  <w:lang w:val="en-US" w:eastAsia="zh-CN"/>
        </w:rPr>
        <w:t xml:space="preserve">S3 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Apoptosis detection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Cell apoptosis assay via flow cytometry after overexpression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interference of miR-128-3p.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color w:val="auto"/>
          <w:sz w:val="20"/>
          <w:szCs w:val="20"/>
          <w:lang w:val="en-US" w:eastAsia="zh-CN"/>
        </w:rPr>
        <w:t>Fig.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 xml:space="preserve"> shows NC group, M group (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mimics-treated group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>), and SI group (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inhibitor-treated group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>) from left to right (n = 5).</w:t>
      </w:r>
    </w:p>
    <w:p>
      <w:pPr>
        <w:pStyle w:val="3"/>
        <w:numPr>
          <w:ilvl w:val="0"/>
          <w:numId w:val="0"/>
        </w:numPr>
        <w:spacing w:before="0" w:beforeAutospacing="0" w:after="0" w:afterAutospacing="0" w:line="360" w:lineRule="auto"/>
        <w:jc w:val="left"/>
        <w:rPr>
          <w:rFonts w:hint="default" w:ascii="Times New Roman" w:hAnsi="Times New Roman" w:cs="Times New Roman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5269230" cy="6698615"/>
            <wp:effectExtent l="0" t="0" r="1270" b="6985"/>
            <wp:docPr id="1" name="图片 1" descr="Supplementary Figure 2 GO-KEGGenrichment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2 GO-KEGGenrichment analysi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auto"/>
        <w:jc w:val="left"/>
        <w:rPr>
          <w:rFonts w:hint="default" w:ascii="Times New Roman" w:hAnsi="Times New Roman" w:cs="Times New Roman"/>
          <w:color w:val="auto"/>
          <w:sz w:val="20"/>
          <w:szCs w:val="20"/>
        </w:rPr>
      </w:pPr>
      <w:r>
        <w:rPr>
          <w:rFonts w:hint="eastAsia" w:ascii="Times New Roman" w:hAnsi="Times New Roman" w:cs="Times New Roman"/>
          <w:b/>
          <w:bCs/>
          <w:color w:val="auto"/>
          <w:sz w:val="20"/>
          <w:szCs w:val="20"/>
          <w:lang w:eastAsia="zh-CN"/>
        </w:rPr>
        <w:t>Fig.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color w:val="auto"/>
          <w:sz w:val="20"/>
          <w:szCs w:val="20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GO-KEGG enrichment analysis</w:t>
      </w:r>
      <w:r>
        <w:rPr>
          <w:rFonts w:hint="default" w:ascii="Times New Roman" w:hAnsi="Times New Roman" w:cs="Times New Roman"/>
          <w:color w:val="auto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eastAsia="黑体" w:cs="Times New Roman"/>
          <w:b/>
          <w:bCs/>
          <w:color w:val="auto"/>
          <w:sz w:val="20"/>
          <w:szCs w:val="20"/>
          <w:lang w:val="en-US" w:eastAsia="zh-CN"/>
        </w:rPr>
        <w:t>(</w:t>
      </w:r>
      <w:r>
        <w:rPr>
          <w:rFonts w:hint="default" w:ascii="Times New Roman" w:hAnsi="Times New Roman" w:eastAsia="黑体" w:cs="Times New Roman"/>
          <w:b/>
          <w:bCs/>
          <w:color w:val="auto"/>
          <w:sz w:val="20"/>
          <w:szCs w:val="20"/>
        </w:rPr>
        <w:t>A</w:t>
      </w:r>
      <w:r>
        <w:rPr>
          <w:rFonts w:hint="default" w:ascii="Times New Roman" w:hAnsi="Times New Roman" w:eastAsia="黑体" w:cs="Times New Roman"/>
          <w:b/>
          <w:bCs/>
          <w:color w:val="auto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eastAsia="黑体" w:cs="Times New Roman"/>
          <w:b/>
          <w:bCs/>
          <w:color w:val="auto"/>
          <w:sz w:val="20"/>
          <w:szCs w:val="20"/>
        </w:rPr>
        <w:t>C</w:t>
      </w:r>
      <w:r>
        <w:rPr>
          <w:rFonts w:hint="default" w:ascii="Times New Roman" w:hAnsi="Times New Roman" w:eastAsia="黑体" w:cs="Times New Roman"/>
          <w:b/>
          <w:bCs/>
          <w:color w:val="auto"/>
          <w:sz w:val="20"/>
          <w:szCs w:val="20"/>
          <w:lang w:val="en-US" w:eastAsia="zh-CN"/>
        </w:rPr>
        <w:t>).</w:t>
      </w:r>
      <w:r>
        <w:rPr>
          <w:rFonts w:hint="default" w:ascii="Times New Roman" w:hAnsi="Times New Roman" w:eastAsia="黑体" w:cs="Times New Roman"/>
          <w:color w:val="auto"/>
          <w:sz w:val="20"/>
          <w:szCs w:val="20"/>
        </w:rPr>
        <w:t xml:space="preserve"> GO enrichment for DEGs from three groups of pairwise comparisons (A: NC vs. M, B: NC vs. Si, and C: M vs. Si). The x-axis presents rich factor of DEGs in a category. The y-axis shows the specific GO term. The top 20 enriched terms are showed according to P-values. </w:t>
      </w:r>
      <w:r>
        <w:rPr>
          <w:rFonts w:hint="default" w:ascii="Times New Roman" w:hAnsi="Times New Roman" w:eastAsia="黑体" w:cs="Times New Roman"/>
          <w:color w:val="auto"/>
          <w:sz w:val="20"/>
          <w:szCs w:val="20"/>
          <w:lang w:val="en-US" w:eastAsia="zh-CN"/>
        </w:rPr>
        <w:t>(</w:t>
      </w:r>
      <w:r>
        <w:rPr>
          <w:rFonts w:hint="default" w:ascii="Times New Roman" w:hAnsi="Times New Roman" w:eastAsia="黑体" w:cs="Times New Roman"/>
          <w:b/>
          <w:bCs/>
          <w:color w:val="auto"/>
          <w:sz w:val="20"/>
          <w:szCs w:val="20"/>
        </w:rPr>
        <w:t>D</w:t>
      </w:r>
      <w:r>
        <w:rPr>
          <w:rFonts w:hint="default" w:ascii="Times New Roman" w:hAnsi="Times New Roman" w:eastAsia="黑体" w:cs="Times New Roman"/>
          <w:b/>
          <w:bCs/>
          <w:color w:val="auto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eastAsia="黑体" w:cs="Times New Roman"/>
          <w:b/>
          <w:bCs/>
          <w:color w:val="auto"/>
          <w:sz w:val="20"/>
          <w:szCs w:val="20"/>
        </w:rPr>
        <w:t>F</w:t>
      </w:r>
      <w:r>
        <w:rPr>
          <w:rFonts w:hint="default" w:ascii="Times New Roman" w:hAnsi="Times New Roman" w:eastAsia="黑体" w:cs="Times New Roman"/>
          <w:b/>
          <w:bCs/>
          <w:color w:val="auto"/>
          <w:sz w:val="20"/>
          <w:szCs w:val="20"/>
          <w:lang w:val="en-US" w:eastAsia="zh-CN"/>
        </w:rPr>
        <w:t>).</w:t>
      </w:r>
      <w:r>
        <w:rPr>
          <w:rFonts w:hint="default" w:ascii="Times New Roman" w:hAnsi="Times New Roman" w:eastAsia="黑体" w:cs="Times New Roman"/>
          <w:color w:val="auto"/>
          <w:sz w:val="20"/>
          <w:szCs w:val="20"/>
        </w:rPr>
        <w:t xml:space="preserve"> KEGG pathways enrichment for DEGs from three groups of pairwise comparisons (D: NC vs. M, E: NC vs. Si, and F: M vs. Si). The x-axis presents rich factor of DEGs in a category. The y-axis shows the specific pathway. The top 20 enriched pathways are showed according to P-values.</w:t>
      </w:r>
    </w:p>
    <w:p>
      <w:pPr>
        <w:rPr>
          <w:rFonts w:hint="default" w:ascii="Times New Roman" w:hAnsi="Times New Roman" w:cs="Times New Roman"/>
          <w:color w:val="auto"/>
          <w:sz w:val="20"/>
          <w:szCs w:val="20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2C90F2"/>
    <w:multiLevelType w:val="singleLevel"/>
    <w:tmpl w:val="F62C90F2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yNjcxMGMwNTRhMzE0NjM5ZWZjZjM0ZmYxODE4NWIifQ=="/>
  </w:docVars>
  <w:rsids>
    <w:rsidRoot w:val="378751B6"/>
    <w:rsid w:val="093633D2"/>
    <w:rsid w:val="1A6069DB"/>
    <w:rsid w:val="378751B6"/>
    <w:rsid w:val="3A4F678F"/>
    <w:rsid w:val="3C700BFA"/>
    <w:rsid w:val="49E31A23"/>
    <w:rsid w:val="4AF34F14"/>
    <w:rsid w:val="51F14F3E"/>
    <w:rsid w:val="55CD2892"/>
    <w:rsid w:val="64457CDE"/>
    <w:rsid w:val="6EF8049C"/>
    <w:rsid w:val="798B4E50"/>
    <w:rsid w:val="7A97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styleId="7">
    <w:name w:val="annotation reference"/>
    <w:basedOn w:val="5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865</Words>
  <Characters>5997</Characters>
  <Lines>0</Lines>
  <Paragraphs>0</Paragraphs>
  <TotalTime>25</TotalTime>
  <ScaleCrop>false</ScaleCrop>
  <LinksUpToDate>false</LinksUpToDate>
  <CharactersWithSpaces>6643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2023-06-08T01:20:00Z</dcterms:created>
  <dc:creator>物语</dc:creator>
  <cp:lastModifiedBy>物语</cp:lastModifiedBy>
  <dcterms:modified xsi:type="dcterms:W3CDTF">2023-07-01T15:11:24Z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EF116A2130254926B2E6BB3AFE622CEF_13</vt:lpwstr>
  </property>
</Properties>
</file>