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241"/>
      </w:tblGrid>
      <w:tr w:rsidR="003E086E" w:rsidRPr="00711951" w14:paraId="2D920C10" w14:textId="77777777" w:rsidTr="003204AD">
        <w:tc>
          <w:tcPr>
            <w:tcW w:w="9182" w:type="dxa"/>
            <w:gridSpan w:val="2"/>
          </w:tcPr>
          <w:p w14:paraId="7138DD63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Supplementary table 1. Drug costs</w:t>
            </w:r>
          </w:p>
        </w:tc>
      </w:tr>
      <w:tr w:rsidR="003E086E" w:rsidRPr="00711951" w14:paraId="3E834A84" w14:textId="77777777" w:rsidTr="003204AD">
        <w:tc>
          <w:tcPr>
            <w:tcW w:w="9182" w:type="dxa"/>
            <w:gridSpan w:val="2"/>
          </w:tcPr>
          <w:p w14:paraId="56E58745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Recombinant FSH</w:t>
            </w:r>
          </w:p>
        </w:tc>
      </w:tr>
      <w:tr w:rsidR="003E086E" w:rsidRPr="00711951" w14:paraId="58E3BEAB" w14:textId="77777777" w:rsidTr="003204AD">
        <w:tc>
          <w:tcPr>
            <w:tcW w:w="6941" w:type="dxa"/>
          </w:tcPr>
          <w:p w14:paraId="4DCE8BBC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Follitropin beta, Puregon® Organon, Netherlands:</w:t>
            </w:r>
          </w:p>
        </w:tc>
        <w:tc>
          <w:tcPr>
            <w:tcW w:w="2241" w:type="dxa"/>
          </w:tcPr>
          <w:p w14:paraId="07D386B7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0,382 €/UI</w:t>
            </w:r>
          </w:p>
        </w:tc>
      </w:tr>
      <w:tr w:rsidR="003E086E" w:rsidRPr="00711951" w14:paraId="27A6C006" w14:textId="77777777" w:rsidTr="003204AD">
        <w:tc>
          <w:tcPr>
            <w:tcW w:w="6941" w:type="dxa"/>
          </w:tcPr>
          <w:p w14:paraId="34169C0F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Follitropin alfa Gonal® Merck, Italy : </w:t>
            </w:r>
          </w:p>
        </w:tc>
        <w:tc>
          <w:tcPr>
            <w:tcW w:w="2241" w:type="dxa"/>
          </w:tcPr>
          <w:p w14:paraId="626DC18A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0,33 €/UI</w:t>
            </w:r>
          </w:p>
        </w:tc>
      </w:tr>
      <w:tr w:rsidR="003E086E" w:rsidRPr="00711951" w14:paraId="738A3BE8" w14:textId="77777777" w:rsidTr="003204AD">
        <w:tc>
          <w:tcPr>
            <w:tcW w:w="9182" w:type="dxa"/>
            <w:gridSpan w:val="2"/>
          </w:tcPr>
          <w:p w14:paraId="43216771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Biosimilar recombinant FSH </w:t>
            </w:r>
          </w:p>
        </w:tc>
      </w:tr>
      <w:tr w:rsidR="003E086E" w:rsidRPr="00711951" w14:paraId="663EC49E" w14:textId="77777777" w:rsidTr="003204AD">
        <w:tc>
          <w:tcPr>
            <w:tcW w:w="6941" w:type="dxa"/>
          </w:tcPr>
          <w:p w14:paraId="192915AA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Follitropin alfa, Ovaleap® Theramex, Ireland</w:t>
            </w:r>
          </w:p>
        </w:tc>
        <w:tc>
          <w:tcPr>
            <w:tcW w:w="2241" w:type="dxa"/>
          </w:tcPr>
          <w:p w14:paraId="5830E144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0,33 €/UI</w:t>
            </w:r>
          </w:p>
        </w:tc>
      </w:tr>
      <w:tr w:rsidR="003E086E" w:rsidRPr="00711951" w14:paraId="5C3C8168" w14:textId="77777777" w:rsidTr="003204AD">
        <w:tc>
          <w:tcPr>
            <w:tcW w:w="6941" w:type="dxa"/>
          </w:tcPr>
          <w:p w14:paraId="1109D637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Follitropin alfa, Bemfola® Gedeon Richter, Hungary</w:t>
            </w:r>
          </w:p>
        </w:tc>
        <w:tc>
          <w:tcPr>
            <w:tcW w:w="2241" w:type="dxa"/>
          </w:tcPr>
          <w:p w14:paraId="416BB646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0,299 €/UI</w:t>
            </w:r>
          </w:p>
        </w:tc>
      </w:tr>
      <w:tr w:rsidR="003E086E" w:rsidRPr="00711951" w14:paraId="03EA9357" w14:textId="77777777" w:rsidTr="003204AD">
        <w:tc>
          <w:tcPr>
            <w:tcW w:w="9182" w:type="dxa"/>
            <w:gridSpan w:val="2"/>
          </w:tcPr>
          <w:p w14:paraId="183D54CA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Progestine </w:t>
            </w:r>
          </w:p>
        </w:tc>
      </w:tr>
      <w:tr w:rsidR="003E086E" w:rsidRPr="00711951" w14:paraId="320F88BA" w14:textId="77777777" w:rsidTr="003204AD">
        <w:tc>
          <w:tcPr>
            <w:tcW w:w="6941" w:type="dxa"/>
          </w:tcPr>
          <w:p w14:paraId="59232ECB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Desogestrel, Cerazet®, Organon Spain</w:t>
            </w:r>
          </w:p>
        </w:tc>
        <w:tc>
          <w:tcPr>
            <w:tcW w:w="2241" w:type="dxa"/>
          </w:tcPr>
          <w:p w14:paraId="35C718CF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0,142 € per unit</w:t>
            </w:r>
          </w:p>
        </w:tc>
      </w:tr>
      <w:tr w:rsidR="003E086E" w:rsidRPr="00711951" w14:paraId="4281849C" w14:textId="77777777" w:rsidTr="003204AD">
        <w:tc>
          <w:tcPr>
            <w:tcW w:w="9182" w:type="dxa"/>
            <w:gridSpan w:val="2"/>
          </w:tcPr>
          <w:p w14:paraId="18FD2502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GnRH Antagonist</w:t>
            </w:r>
          </w:p>
        </w:tc>
      </w:tr>
      <w:tr w:rsidR="003E086E" w:rsidRPr="00711951" w14:paraId="57363622" w14:textId="77777777" w:rsidTr="003204AD">
        <w:tc>
          <w:tcPr>
            <w:tcW w:w="6941" w:type="dxa"/>
          </w:tcPr>
          <w:p w14:paraId="7DC92810" w14:textId="77777777" w:rsidR="003E086E" w:rsidRPr="00711951" w:rsidRDefault="003E086E" w:rsidP="003204AD">
            <w:pPr>
              <w:spacing w:before="240" w:after="240"/>
              <w:ind w:firstLine="601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Ganirelix, Orgalutran® Organon, Netherlands: </w:t>
            </w:r>
          </w:p>
        </w:tc>
        <w:tc>
          <w:tcPr>
            <w:tcW w:w="2241" w:type="dxa"/>
          </w:tcPr>
          <w:p w14:paraId="2912F463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119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25,85 per syringe</w:t>
            </w:r>
          </w:p>
        </w:tc>
      </w:tr>
      <w:tr w:rsidR="003E086E" w:rsidRPr="00711951" w14:paraId="6321A2E9" w14:textId="77777777" w:rsidTr="003204AD">
        <w:tc>
          <w:tcPr>
            <w:tcW w:w="9182" w:type="dxa"/>
            <w:gridSpan w:val="2"/>
          </w:tcPr>
          <w:p w14:paraId="55C78AB8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E086E" w:rsidRPr="001F79DB" w14:paraId="1F5975C2" w14:textId="77777777" w:rsidTr="003204AD">
        <w:tc>
          <w:tcPr>
            <w:tcW w:w="9182" w:type="dxa"/>
            <w:gridSpan w:val="2"/>
          </w:tcPr>
          <w:p w14:paraId="1C73BE55" w14:textId="77777777" w:rsidR="003E086E" w:rsidRPr="00711951" w:rsidRDefault="003E086E" w:rsidP="003204AD">
            <w:pPr>
              <w:spacing w:before="240" w:after="240"/>
              <w:jc w:val="both"/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  <w:lang w:val="en-US"/>
              </w:rPr>
            </w:pPr>
            <w:r w:rsidRPr="00711951">
              <w:rPr>
                <w:rFonts w:ascii="Times New Roman" w:hAnsi="Times New Roman" w:cs="Times New Roman"/>
                <w:b/>
                <w:bCs/>
                <w:color w:val="333333"/>
                <w:sz w:val="16"/>
                <w:szCs w:val="16"/>
                <w:shd w:val="clear" w:color="auto" w:fill="FFFFFF"/>
                <w:lang w:val="en-US"/>
              </w:rPr>
              <w:t>Triptoreline</w:t>
            </w:r>
            <w:r w:rsidRPr="00711951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  <w:lang w:val="en-US"/>
              </w:rPr>
              <w:t xml:space="preserve"> cost was not calculated because was the same for all groups.   </w:t>
            </w:r>
          </w:p>
        </w:tc>
      </w:tr>
    </w:tbl>
    <w:p w14:paraId="53EA1523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86E"/>
    <w:rsid w:val="003E086E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2E184"/>
  <w15:chartTrackingRefBased/>
  <w15:docId w15:val="{2A3DAD97-EE27-43B5-B877-7850D9177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86E"/>
    <w:pPr>
      <w:spacing w:after="0" w:line="240" w:lineRule="auto"/>
    </w:pPr>
    <w:rPr>
      <w:rFonts w:eastAsiaTheme="minorEastAsia"/>
      <w:sz w:val="24"/>
      <w:szCs w:val="24"/>
      <w:lang w:val="es-ES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086E"/>
    <w:pPr>
      <w:spacing w:after="0" w:line="240" w:lineRule="auto"/>
    </w:pPr>
    <w:rPr>
      <w:rFonts w:eastAsiaTheme="minorEastAsia"/>
      <w:sz w:val="24"/>
      <w:szCs w:val="24"/>
      <w:lang w:val="es-ES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>Springer Nature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2023-08-01T17:34:00Z</dcterms:created>
  <dcterms:modified xsi:type="dcterms:W3CDTF">2023-08-01T17:34:00Z</dcterms:modified>
</cp:coreProperties>
</file>