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E51A4" w14:textId="1F9EFD77" w:rsidR="00D0747A" w:rsidRDefault="008C7265">
      <w:r>
        <w:t>Supplementary material for “</w:t>
      </w:r>
      <w:r w:rsidR="008A2B85" w:rsidRPr="008A2B85">
        <w:t>Cryptic carbon: The hidden carbon in forested wetland soils</w:t>
      </w:r>
      <w:r>
        <w:t>”</w:t>
      </w:r>
    </w:p>
    <w:p w14:paraId="416C4AA9" w14:textId="77777777" w:rsidR="008C7265" w:rsidRDefault="008C7265"/>
    <w:p w14:paraId="7B8ABEB3" w14:textId="77777777" w:rsidR="008C7265" w:rsidRDefault="008C7265" w:rsidP="008C7265">
      <w:pPr>
        <w:spacing w:line="480" w:lineRule="auto"/>
      </w:pPr>
      <w:r>
        <w:t xml:space="preserve">Anthony J Stewart*, Meghan </w:t>
      </w:r>
      <w:proofErr w:type="spellStart"/>
      <w:r>
        <w:t>Halabisky</w:t>
      </w:r>
      <w:proofErr w:type="spellEnd"/>
      <w:r>
        <w:t xml:space="preserve">, Chad Babcock, David E. </w:t>
      </w:r>
      <w:proofErr w:type="spellStart"/>
      <w:r>
        <w:t>Butman</w:t>
      </w:r>
      <w:proofErr w:type="spellEnd"/>
      <w:r>
        <w:t xml:space="preserve">, David V. </w:t>
      </w:r>
      <w:proofErr w:type="spellStart"/>
      <w:r>
        <w:t>D’Amore</w:t>
      </w:r>
      <w:proofErr w:type="spellEnd"/>
      <w:r>
        <w:t xml:space="preserve">, L. Monika </w:t>
      </w:r>
      <w:proofErr w:type="spellStart"/>
      <w:r>
        <w:t>Moskal</w:t>
      </w:r>
      <w:proofErr w:type="spellEnd"/>
    </w:p>
    <w:p w14:paraId="7045DE1F" w14:textId="5B3E8888" w:rsidR="0057352F" w:rsidRDefault="002E0F8C" w:rsidP="008C7265">
      <w:pPr>
        <w:spacing w:line="480" w:lineRule="auto"/>
      </w:pPr>
      <w:r>
        <w:rPr>
          <w:noProof/>
        </w:rPr>
        <w:drawing>
          <wp:inline distT="0" distB="0" distL="0" distR="0" wp14:anchorId="0908B72E" wp14:editId="5B740EAD">
            <wp:extent cx="5908714" cy="4061012"/>
            <wp:effectExtent l="0" t="0" r="0" b="3175"/>
            <wp:docPr id="12719796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979658" name="Picture 1271979658"/>
                    <pic:cNvPicPr/>
                  </pic:nvPicPr>
                  <pic:blipFill rotWithShape="1">
                    <a:blip r:embed="rId5" cstate="print">
                      <a:extLst>
                        <a:ext uri="{28A0092B-C50C-407E-A947-70E740481C1C}">
                          <a14:useLocalDpi xmlns:a14="http://schemas.microsoft.com/office/drawing/2010/main" val="0"/>
                        </a:ext>
                      </a:extLst>
                    </a:blip>
                    <a:srcRect l="4374" r="3010"/>
                    <a:stretch/>
                  </pic:blipFill>
                  <pic:spPr bwMode="auto">
                    <a:xfrm>
                      <a:off x="0" y="0"/>
                      <a:ext cx="5949714" cy="4089191"/>
                    </a:xfrm>
                    <a:prstGeom prst="rect">
                      <a:avLst/>
                    </a:prstGeom>
                    <a:ln>
                      <a:noFill/>
                    </a:ln>
                    <a:extLst>
                      <a:ext uri="{53640926-AAD7-44D8-BBD7-CCE9431645EC}">
                        <a14:shadowObscured xmlns:a14="http://schemas.microsoft.com/office/drawing/2010/main"/>
                      </a:ext>
                    </a:extLst>
                  </pic:spPr>
                </pic:pic>
              </a:graphicData>
            </a:graphic>
          </wp:inline>
        </w:drawing>
      </w:r>
    </w:p>
    <w:p w14:paraId="4BB21777" w14:textId="6BA33147" w:rsidR="00AE6B48" w:rsidRDefault="00F93E29" w:rsidP="00AE6B48">
      <w:pPr>
        <w:jc w:val="center"/>
      </w:pPr>
      <w:r>
        <w:t xml:space="preserve">Supplemental </w:t>
      </w:r>
      <w:r w:rsidR="00AE6B48">
        <w:t xml:space="preserve">Figure </w:t>
      </w:r>
      <w:r w:rsidR="00BA3B79">
        <w:t>1</w:t>
      </w:r>
      <w:r w:rsidR="00AE6B48">
        <w:t xml:space="preserve">. Standard deviation of </w:t>
      </w:r>
      <w:r w:rsidR="00463C46">
        <w:t xml:space="preserve">1 m </w:t>
      </w:r>
      <w:r w:rsidR="00AE6B48">
        <w:t xml:space="preserve">SOC </w:t>
      </w:r>
      <w:r w:rsidR="00463C46">
        <w:t xml:space="preserve">stock </w:t>
      </w:r>
      <w:r w:rsidR="00AE6B48">
        <w:t xml:space="preserve">modeling predictions from bootstrapping. Insets show both NWI and NWCA wetlands with NWCA SOC </w:t>
      </w:r>
      <w:r w:rsidR="0001621F">
        <w:t xml:space="preserve">values reflecting the Min-Max difference from </w:t>
      </w:r>
      <w:proofErr w:type="spellStart"/>
      <w:r w:rsidR="0001621F">
        <w:t>Uhran</w:t>
      </w:r>
      <w:proofErr w:type="spellEnd"/>
      <w:r w:rsidR="0001621F">
        <w:t xml:space="preserve"> et al.</w:t>
      </w:r>
    </w:p>
    <w:p w14:paraId="7F561365" w14:textId="03F96639" w:rsidR="00DD5ECD" w:rsidRDefault="004B7F2F" w:rsidP="00BE2573">
      <w:pPr>
        <w:spacing w:line="480" w:lineRule="auto"/>
        <w:jc w:val="center"/>
      </w:pPr>
      <w:r>
        <w:br w:type="page"/>
      </w:r>
    </w:p>
    <w:p w14:paraId="0EAF0D2E" w14:textId="3589B79F" w:rsidR="004B7F2F" w:rsidRDefault="009E730C" w:rsidP="009E730C">
      <w:pPr>
        <w:jc w:val="center"/>
      </w:pPr>
      <w:r w:rsidRPr="009E730C">
        <w:lastRenderedPageBreak/>
        <w:drawing>
          <wp:inline distT="0" distB="0" distL="0" distR="0" wp14:anchorId="41DA18A1" wp14:editId="524053D3">
            <wp:extent cx="4925171" cy="4334256"/>
            <wp:effectExtent l="0" t="0" r="2540" b="0"/>
            <wp:docPr id="669332457" name="Picture 1" descr="A picture containing text, screenshot, plo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332457" name="Picture 1" descr="A picture containing text, screenshot, plot, line&#10;&#10;Description automatically generated"/>
                    <pic:cNvPicPr/>
                  </pic:nvPicPr>
                  <pic:blipFill>
                    <a:blip r:embed="rId6"/>
                    <a:stretch>
                      <a:fillRect/>
                    </a:stretch>
                  </pic:blipFill>
                  <pic:spPr>
                    <a:xfrm>
                      <a:off x="0" y="0"/>
                      <a:ext cx="4925171" cy="4334256"/>
                    </a:xfrm>
                    <a:prstGeom prst="rect">
                      <a:avLst/>
                    </a:prstGeom>
                  </pic:spPr>
                </pic:pic>
              </a:graphicData>
            </a:graphic>
          </wp:inline>
        </w:drawing>
      </w:r>
    </w:p>
    <w:p w14:paraId="044A1432" w14:textId="627C0E96" w:rsidR="00DD5ECD" w:rsidRDefault="00DD5ECD" w:rsidP="009E730C">
      <w:pPr>
        <w:jc w:val="center"/>
      </w:pPr>
      <w:r>
        <w:t xml:space="preserve">Supplementary Figure 2. </w:t>
      </w:r>
      <w:r w:rsidR="008371A5">
        <w:t xml:space="preserve">Model predicted SOC stock compared to field sampled </w:t>
      </w:r>
      <w:proofErr w:type="spellStart"/>
      <w:r w:rsidR="008371A5">
        <w:t>pedon</w:t>
      </w:r>
      <w:proofErr w:type="spellEnd"/>
      <w:r w:rsidR="008371A5">
        <w:t xml:space="preserve"> SOC stock</w:t>
      </w:r>
      <w:r w:rsidR="00AE2EB4">
        <w:t xml:space="preserve"> for the 30 cm depth</w:t>
      </w:r>
      <w:r w:rsidR="008371A5">
        <w:t>. Modeled SOC stocks were back transformed from square root values in the original linear mixed effects model with the fixed effect of WIP probability and random effect of surficial geology. Prediction intervals are based on bootstrapped 95% confidence intervals.</w:t>
      </w:r>
    </w:p>
    <w:p w14:paraId="6C80BCCF" w14:textId="77777777" w:rsidR="00DD5ECD" w:rsidRDefault="00DD5ECD" w:rsidP="009E730C">
      <w:pPr>
        <w:jc w:val="center"/>
      </w:pPr>
    </w:p>
    <w:p w14:paraId="29FB28F8" w14:textId="77777777" w:rsidR="00BE2573" w:rsidRDefault="00BE2573" w:rsidP="00BE2573">
      <w:pPr>
        <w:jc w:val="center"/>
      </w:pPr>
      <w:r>
        <w:t>Supplementary Table 1</w:t>
      </w:r>
      <w:commentRangeStart w:id="0"/>
      <w:commentRangeStart w:id="1"/>
      <w:r>
        <w:t>.</w:t>
      </w:r>
      <w:commentRangeEnd w:id="0"/>
      <w:r>
        <w:rPr>
          <w:rStyle w:val="CommentReference"/>
        </w:rPr>
        <w:commentReference w:id="0"/>
      </w:r>
      <w:commentRangeEnd w:id="1"/>
      <w:r>
        <w:rPr>
          <w:rStyle w:val="CommentReference"/>
        </w:rPr>
        <w:commentReference w:id="1"/>
      </w:r>
      <w:r>
        <w:t xml:space="preserve"> Comparison of 30 cm SOC stocks for the entire HRW between the WIP model, </w:t>
      </w:r>
      <w:proofErr w:type="spellStart"/>
      <w:r>
        <w:t>SoilGrids</w:t>
      </w:r>
      <w:proofErr w:type="spellEnd"/>
      <w:r>
        <w:t xml:space="preserve"> 2.0</w:t>
      </w:r>
      <w:r>
        <w:fldChar w:fldCharType="begin"/>
      </w:r>
      <w:r>
        <w:instrText xml:space="preserve"> ADDIN ZOTERO_ITEM CSL_CITATION {"citationID":"RQjOU9Kt","properties":{"formattedCitation":"\\super 6\\nosupersub{}","plainCitation":"6","noteIndex":0},"citationItems":[{"id":9351,"uris":["http://zotero.org/users/7443230/items/P63VJFME"],"itemData":{"id":9351,"type":"article-journal","abstract":"SoilGrids produces maps of soil properties for the entire globe at medium spatial resolution (250 m cell size) using state-of-the-art machine learning methods to generate the necessary models. It takes as inputs soil observations from about 240 000 locations worldwide and over 400 global environmental covariates describing vegetation, terrain morphology, climate, geology and hydrology. The aim of this work was the production of global maps of soil properties, with cross-validation, hyper-parameter selection and quantification of spatially explicit uncertainty, as implemented in the SoilGrids version 2.0 product incorporating state-of-the-art practices and adapting them for global digital soil mapping with legacy data. The paper presents the evaluation of the global predictions produced for soil organic carbon content, total nitrogen, coarse fragments, pH (water), cation exchange capacity, bulk density and texture fractions at six standard depths (up to 200 cm). The quantitative evaluation showed metrics in line with previous global, continental and large-region studies. The qualitative evaluation showed that coarse-scale patterns are well reproduced. The spatial uncertainty at global scale highlighted the need for more soil observations, especially in high-latitude regions.","container-title":"SOIL","DOI":"10.5194/soil-7-217-2021","ISSN":"2199-3971","issue":"1","language":"English","note":"publisher: Copernicus GmbH","page":"217-240","source":"Copernicus Online Journals","title":"SoilGrids 2.0: producing soil information for the globe with quantified spatial uncertainty","title-short":"SoilGrids 2.0","volume":"7","author":[{"family":"Poggio","given":"Laura"},{"family":"Sousa","given":"Luis M.","non-dropping-particle":"de"},{"family":"Batjes","given":"Niels H."},{"family":"Heuvelink","given":"Gerard B. M."},{"family":"Kempen","given":"Bas"},{"family":"Ribeiro","given":"Eloi"},{"family":"Rossiter","given":"David"}],"issued":{"date-parts":[["2021",6,14]]},"citation-key":"poggioSoilGridsProducingSoil2021"}}],"schema":"https://github.com/citation-style-language/schema/raw/master/csl-citation.json"} </w:instrText>
      </w:r>
      <w:r>
        <w:fldChar w:fldCharType="separate"/>
      </w:r>
      <w:r w:rsidRPr="003E6953">
        <w:rPr>
          <w:vertAlign w:val="superscript"/>
        </w:rPr>
        <w:t>6</w:t>
      </w:r>
      <w:r>
        <w:fldChar w:fldCharType="end"/>
      </w:r>
      <w:r>
        <w:t xml:space="preserve"> and the UN FAO GSOC map </w:t>
      </w:r>
      <w:r>
        <w:fldChar w:fldCharType="begin"/>
      </w:r>
      <w:r>
        <w:instrText xml:space="preserve"> ADDIN ZOTERO_ITEM CSL_CITATION {"citationID":"qtoQ9Bka","properties":{"formattedCitation":"\\super 46\\nosupersub{}","plainCitation":"46","noteIndex":0},"citationItems":[{"id":10266,"uris":["http://zotero.org/users/7443230/items/UDN4LPR3"],"itemData":{"id":10266,"type":"book","abstract":"GSOCmap is the first global soil organic carbon map ever produced through a consultative and participatory process involving member countries, which makes this map totally new and unique. In fact, the map was prepared by member countries, under the guidance of the Intergovernmental Technical Panel on Soils and the Global Soil Partnership Secretariat. Countries agreed on the methodology to produce the map and were trained on modern tools and methodologies to develop national maps. The Global Soil Partnership then gathered all national maps to produce the final product, ensuring a thorough harmonization process.\n\nThis technical report is a companion report to the GSOCmap V1.2.0. It presents methodologies and process of compiling the Global Soil organic Carbon Map.","event-place":"Rome, Italy","ISBN":"978-92-5-130439-6","language":"en","number-of-pages":"167","publisher":"FAO","publisher-place":"Rome, Italy","source":"FAO Publications","title":"Global Soil Organic Carbon Map (GSOCmap): Technical Report","title-short":"Global Soil Organic Carbon Map (GSOCmap)","URL":"https://www.fao.org/documents/card/en/c/I8891EN","author":[{"literal":"FAO"}],"accessed":{"date-parts":[["2023",6,15]]},"issued":{"date-parts":[["2018"]]},"citation-key":"faoGlobalSoilOrganic2018"}}],"schema":"https://github.com/citation-style-language/schema/raw/master/csl-citation.json"} </w:instrText>
      </w:r>
      <w:r>
        <w:fldChar w:fldCharType="separate"/>
      </w:r>
      <w:r w:rsidRPr="00497B34">
        <w:rPr>
          <w:rFonts w:ascii="Times New Roman" w:hAnsi="Times New Roman" w:cs="Times New Roman"/>
          <w:kern w:val="0"/>
          <w:vertAlign w:val="superscript"/>
        </w:rPr>
        <w:t>46</w:t>
      </w:r>
      <w:r>
        <w:fldChar w:fldCharType="end"/>
      </w:r>
      <w:r>
        <w:t xml:space="preserve">. ± indicates the standard deviation of the bootstrapped model predictions for the WIP derived estimates and published uncertainty ranges for </w:t>
      </w:r>
      <w:proofErr w:type="spellStart"/>
      <w:r>
        <w:t>SoilGrids</w:t>
      </w:r>
      <w:proofErr w:type="spellEnd"/>
      <w:r>
        <w:t xml:space="preserve"> and GSOC. The slight difference in surface area with GSOC is likely due to resampling from a coarse resolution (1 km).</w:t>
      </w:r>
    </w:p>
    <w:p w14:paraId="235F6978" w14:textId="77777777" w:rsidR="00BE2573" w:rsidRDefault="00BE2573" w:rsidP="00BE2573">
      <w:pPr>
        <w:jc w:val="center"/>
      </w:pPr>
    </w:p>
    <w:tbl>
      <w:tblPr>
        <w:tblW w:w="5040" w:type="dxa"/>
        <w:jc w:val="center"/>
        <w:tblLook w:val="04A0" w:firstRow="1" w:lastRow="0" w:firstColumn="1" w:lastColumn="0" w:noHBand="0" w:noVBand="1"/>
      </w:tblPr>
      <w:tblGrid>
        <w:gridCol w:w="1516"/>
        <w:gridCol w:w="1356"/>
        <w:gridCol w:w="998"/>
        <w:gridCol w:w="90"/>
        <w:gridCol w:w="1080"/>
      </w:tblGrid>
      <w:tr w:rsidR="00BE2573" w:rsidRPr="005A06C9" w14:paraId="66FFB814" w14:textId="77777777" w:rsidTr="001B2921">
        <w:trPr>
          <w:trHeight w:val="360"/>
          <w:jc w:val="center"/>
        </w:trPr>
        <w:tc>
          <w:tcPr>
            <w:tcW w:w="1516" w:type="dxa"/>
            <w:tcBorders>
              <w:top w:val="single" w:sz="12" w:space="0" w:color="auto"/>
              <w:left w:val="nil"/>
              <w:bottom w:val="nil"/>
              <w:right w:val="nil"/>
            </w:tcBorders>
            <w:shd w:val="clear" w:color="auto" w:fill="auto"/>
            <w:noWrap/>
            <w:vAlign w:val="center"/>
            <w:hideMark/>
          </w:tcPr>
          <w:p w14:paraId="1E5DDCFD" w14:textId="77777777" w:rsidR="00BE2573" w:rsidRPr="005A06C9" w:rsidRDefault="00BE2573" w:rsidP="001B2921">
            <w:pPr>
              <w:rPr>
                <w:rFonts w:cs="Calibri"/>
                <w:color w:val="000000"/>
                <w:sz w:val="18"/>
                <w:szCs w:val="18"/>
              </w:rPr>
            </w:pPr>
            <w:r w:rsidRPr="005A06C9">
              <w:rPr>
                <w:rFonts w:cs="Calibri"/>
                <w:color w:val="000000"/>
                <w:sz w:val="18"/>
                <w:szCs w:val="18"/>
              </w:rPr>
              <w:t> </w:t>
            </w:r>
          </w:p>
        </w:tc>
        <w:tc>
          <w:tcPr>
            <w:tcW w:w="1356" w:type="dxa"/>
            <w:tcBorders>
              <w:top w:val="single" w:sz="12" w:space="0" w:color="auto"/>
              <w:left w:val="nil"/>
              <w:bottom w:val="nil"/>
              <w:right w:val="nil"/>
            </w:tcBorders>
            <w:shd w:val="clear" w:color="auto" w:fill="auto"/>
            <w:noWrap/>
            <w:vAlign w:val="center"/>
            <w:hideMark/>
          </w:tcPr>
          <w:p w14:paraId="11F398D3" w14:textId="77777777" w:rsidR="00BE2573" w:rsidRPr="005A06C9" w:rsidRDefault="00BE2573" w:rsidP="001B2921">
            <w:pPr>
              <w:rPr>
                <w:rFonts w:cs="Calibri"/>
                <w:color w:val="000000"/>
                <w:sz w:val="18"/>
                <w:szCs w:val="18"/>
              </w:rPr>
            </w:pPr>
            <w:r w:rsidRPr="005A06C9">
              <w:rPr>
                <w:rFonts w:cs="Calibri"/>
                <w:color w:val="000000"/>
                <w:sz w:val="18"/>
                <w:szCs w:val="18"/>
              </w:rPr>
              <w:t> </w:t>
            </w:r>
          </w:p>
        </w:tc>
        <w:tc>
          <w:tcPr>
            <w:tcW w:w="2168" w:type="dxa"/>
            <w:gridSpan w:val="3"/>
            <w:tcBorders>
              <w:top w:val="single" w:sz="12" w:space="0" w:color="auto"/>
              <w:left w:val="nil"/>
              <w:bottom w:val="single" w:sz="8" w:space="0" w:color="auto"/>
              <w:right w:val="nil"/>
            </w:tcBorders>
            <w:shd w:val="clear" w:color="auto" w:fill="auto"/>
            <w:vAlign w:val="center"/>
            <w:hideMark/>
          </w:tcPr>
          <w:p w14:paraId="493A91FF" w14:textId="77777777" w:rsidR="00BE2573" w:rsidRPr="005A06C9" w:rsidRDefault="00BE2573" w:rsidP="001B2921">
            <w:pPr>
              <w:jc w:val="center"/>
              <w:rPr>
                <w:rFonts w:cs="Calibri"/>
                <w:b/>
                <w:bCs/>
                <w:color w:val="000000"/>
                <w:sz w:val="18"/>
                <w:szCs w:val="18"/>
              </w:rPr>
            </w:pPr>
            <w:r w:rsidRPr="005A06C9">
              <w:rPr>
                <w:rFonts w:cs="Calibri"/>
                <w:b/>
                <w:bCs/>
                <w:color w:val="000000"/>
                <w:sz w:val="18"/>
                <w:szCs w:val="18"/>
              </w:rPr>
              <w:t>30cm Depth</w:t>
            </w:r>
          </w:p>
        </w:tc>
      </w:tr>
      <w:tr w:rsidR="00BE2573" w:rsidRPr="005A06C9" w14:paraId="5BB38F93" w14:textId="77777777" w:rsidTr="001B2921">
        <w:trPr>
          <w:trHeight w:val="480"/>
          <w:jc w:val="center"/>
        </w:trPr>
        <w:tc>
          <w:tcPr>
            <w:tcW w:w="1516" w:type="dxa"/>
            <w:tcBorders>
              <w:top w:val="nil"/>
              <w:left w:val="nil"/>
              <w:bottom w:val="nil"/>
              <w:right w:val="nil"/>
            </w:tcBorders>
            <w:shd w:val="clear" w:color="auto" w:fill="auto"/>
            <w:vAlign w:val="center"/>
            <w:hideMark/>
          </w:tcPr>
          <w:p w14:paraId="7B45CC4D" w14:textId="77777777" w:rsidR="00BE2573" w:rsidRPr="005A06C9" w:rsidRDefault="00BE2573" w:rsidP="001B2921">
            <w:pPr>
              <w:jc w:val="center"/>
              <w:rPr>
                <w:rFonts w:cs="Calibri"/>
                <w:b/>
                <w:bCs/>
                <w:color w:val="000000"/>
                <w:sz w:val="18"/>
                <w:szCs w:val="18"/>
              </w:rPr>
            </w:pPr>
            <w:r w:rsidRPr="005A06C9">
              <w:rPr>
                <w:rFonts w:cs="Calibri"/>
                <w:b/>
                <w:bCs/>
                <w:color w:val="000000"/>
                <w:sz w:val="18"/>
                <w:szCs w:val="18"/>
              </w:rPr>
              <w:t xml:space="preserve">Source </w:t>
            </w:r>
          </w:p>
        </w:tc>
        <w:tc>
          <w:tcPr>
            <w:tcW w:w="1356" w:type="dxa"/>
            <w:tcBorders>
              <w:top w:val="nil"/>
              <w:left w:val="nil"/>
              <w:bottom w:val="nil"/>
              <w:right w:val="nil"/>
            </w:tcBorders>
            <w:shd w:val="clear" w:color="auto" w:fill="auto"/>
            <w:vAlign w:val="center"/>
            <w:hideMark/>
          </w:tcPr>
          <w:p w14:paraId="3FBB9B89" w14:textId="77777777" w:rsidR="00BE2573" w:rsidRPr="005A06C9" w:rsidRDefault="00BE2573" w:rsidP="001B2921">
            <w:pPr>
              <w:jc w:val="center"/>
              <w:rPr>
                <w:rFonts w:cs="Calibri"/>
                <w:b/>
                <w:bCs/>
                <w:color w:val="000000"/>
                <w:sz w:val="18"/>
                <w:szCs w:val="18"/>
              </w:rPr>
            </w:pPr>
            <w:r w:rsidRPr="005A06C9">
              <w:rPr>
                <w:rFonts w:cs="Calibri"/>
                <w:b/>
                <w:bCs/>
                <w:color w:val="000000"/>
                <w:sz w:val="18"/>
                <w:szCs w:val="18"/>
              </w:rPr>
              <w:t>Surface Area</w:t>
            </w:r>
          </w:p>
        </w:tc>
        <w:tc>
          <w:tcPr>
            <w:tcW w:w="998" w:type="dxa"/>
            <w:tcBorders>
              <w:top w:val="nil"/>
              <w:left w:val="nil"/>
              <w:bottom w:val="nil"/>
              <w:right w:val="nil"/>
            </w:tcBorders>
            <w:shd w:val="clear" w:color="auto" w:fill="auto"/>
            <w:vAlign w:val="center"/>
            <w:hideMark/>
          </w:tcPr>
          <w:p w14:paraId="1B4AB076" w14:textId="77777777" w:rsidR="00BE2573" w:rsidRPr="005A06C9" w:rsidRDefault="00BE2573" w:rsidP="001B2921">
            <w:pPr>
              <w:jc w:val="center"/>
              <w:rPr>
                <w:rFonts w:cs="Calibri"/>
                <w:b/>
                <w:bCs/>
                <w:color w:val="000000"/>
                <w:sz w:val="18"/>
                <w:szCs w:val="18"/>
              </w:rPr>
            </w:pPr>
            <w:r w:rsidRPr="005A06C9">
              <w:rPr>
                <w:rFonts w:cs="Calibri"/>
                <w:b/>
                <w:bCs/>
                <w:color w:val="000000"/>
                <w:sz w:val="18"/>
                <w:szCs w:val="18"/>
              </w:rPr>
              <w:t>Mean SOC Stock</w:t>
            </w:r>
          </w:p>
        </w:tc>
        <w:tc>
          <w:tcPr>
            <w:tcW w:w="1170" w:type="dxa"/>
            <w:gridSpan w:val="2"/>
            <w:tcBorders>
              <w:top w:val="nil"/>
              <w:left w:val="nil"/>
              <w:bottom w:val="nil"/>
              <w:right w:val="nil"/>
            </w:tcBorders>
            <w:shd w:val="clear" w:color="auto" w:fill="auto"/>
            <w:vAlign w:val="center"/>
            <w:hideMark/>
          </w:tcPr>
          <w:p w14:paraId="1B60629B" w14:textId="77777777" w:rsidR="00BE2573" w:rsidRPr="005A06C9" w:rsidRDefault="00BE2573" w:rsidP="001B2921">
            <w:pPr>
              <w:jc w:val="center"/>
              <w:rPr>
                <w:rFonts w:cs="Calibri"/>
                <w:b/>
                <w:bCs/>
                <w:color w:val="000000"/>
                <w:sz w:val="18"/>
                <w:szCs w:val="18"/>
              </w:rPr>
            </w:pPr>
            <w:r w:rsidRPr="005A06C9">
              <w:rPr>
                <w:rFonts w:cs="Calibri"/>
                <w:b/>
                <w:bCs/>
                <w:color w:val="000000"/>
                <w:sz w:val="18"/>
                <w:szCs w:val="18"/>
              </w:rPr>
              <w:t>Total SOC Stock</w:t>
            </w:r>
          </w:p>
        </w:tc>
      </w:tr>
      <w:tr w:rsidR="00BE2573" w:rsidRPr="005A06C9" w14:paraId="5771745B" w14:textId="77777777" w:rsidTr="001B2921">
        <w:trPr>
          <w:trHeight w:val="340"/>
          <w:jc w:val="center"/>
        </w:trPr>
        <w:tc>
          <w:tcPr>
            <w:tcW w:w="1516" w:type="dxa"/>
            <w:tcBorders>
              <w:top w:val="nil"/>
              <w:left w:val="nil"/>
              <w:bottom w:val="single" w:sz="8" w:space="0" w:color="auto"/>
              <w:right w:val="nil"/>
            </w:tcBorders>
            <w:shd w:val="clear" w:color="auto" w:fill="auto"/>
            <w:noWrap/>
            <w:vAlign w:val="bottom"/>
            <w:hideMark/>
          </w:tcPr>
          <w:p w14:paraId="1297EE3F" w14:textId="77777777" w:rsidR="00BE2573" w:rsidRPr="005A06C9" w:rsidRDefault="00BE2573" w:rsidP="001B2921">
            <w:pPr>
              <w:rPr>
                <w:rFonts w:cs="Calibri"/>
                <w:color w:val="000000"/>
                <w:sz w:val="18"/>
                <w:szCs w:val="18"/>
              </w:rPr>
            </w:pPr>
            <w:r w:rsidRPr="005A06C9">
              <w:rPr>
                <w:rFonts w:cs="Calibri"/>
                <w:color w:val="000000"/>
                <w:sz w:val="18"/>
                <w:szCs w:val="18"/>
              </w:rPr>
              <w:t> </w:t>
            </w:r>
          </w:p>
        </w:tc>
        <w:tc>
          <w:tcPr>
            <w:tcW w:w="1356" w:type="dxa"/>
            <w:tcBorders>
              <w:top w:val="nil"/>
              <w:left w:val="nil"/>
              <w:bottom w:val="single" w:sz="8" w:space="0" w:color="auto"/>
              <w:right w:val="nil"/>
            </w:tcBorders>
            <w:shd w:val="clear" w:color="auto" w:fill="auto"/>
            <w:noWrap/>
            <w:vAlign w:val="center"/>
            <w:hideMark/>
          </w:tcPr>
          <w:p w14:paraId="699B9351" w14:textId="77777777" w:rsidR="00BE2573" w:rsidRPr="005A06C9" w:rsidRDefault="00BE2573" w:rsidP="001B2921">
            <w:pPr>
              <w:jc w:val="center"/>
              <w:rPr>
                <w:rFonts w:cs="Calibri"/>
                <w:b/>
                <w:bCs/>
                <w:color w:val="000000"/>
                <w:sz w:val="18"/>
                <w:szCs w:val="18"/>
              </w:rPr>
            </w:pPr>
            <w:r w:rsidRPr="005A06C9">
              <w:rPr>
                <w:rFonts w:cs="Calibri"/>
                <w:b/>
                <w:bCs/>
                <w:color w:val="000000"/>
                <w:sz w:val="18"/>
                <w:szCs w:val="18"/>
              </w:rPr>
              <w:t>(ha)</w:t>
            </w:r>
          </w:p>
        </w:tc>
        <w:tc>
          <w:tcPr>
            <w:tcW w:w="1088" w:type="dxa"/>
            <w:gridSpan w:val="2"/>
            <w:tcBorders>
              <w:top w:val="nil"/>
              <w:left w:val="nil"/>
              <w:bottom w:val="single" w:sz="8" w:space="0" w:color="auto"/>
              <w:right w:val="nil"/>
            </w:tcBorders>
            <w:shd w:val="clear" w:color="auto" w:fill="auto"/>
            <w:noWrap/>
            <w:vAlign w:val="center"/>
            <w:hideMark/>
          </w:tcPr>
          <w:p w14:paraId="106F7F9E" w14:textId="77777777" w:rsidR="00BE2573" w:rsidRPr="005A06C9" w:rsidRDefault="00BE2573" w:rsidP="001B2921">
            <w:pPr>
              <w:jc w:val="center"/>
              <w:rPr>
                <w:rFonts w:cs="Calibri"/>
                <w:b/>
                <w:bCs/>
                <w:color w:val="000000"/>
                <w:sz w:val="18"/>
                <w:szCs w:val="18"/>
              </w:rPr>
            </w:pPr>
            <w:r w:rsidRPr="005A06C9">
              <w:rPr>
                <w:rFonts w:cs="Calibri"/>
                <w:b/>
                <w:bCs/>
                <w:color w:val="000000"/>
                <w:sz w:val="18"/>
                <w:szCs w:val="18"/>
              </w:rPr>
              <w:t>(</w:t>
            </w:r>
            <w:proofErr w:type="spellStart"/>
            <w:r w:rsidRPr="005A06C9">
              <w:rPr>
                <w:rFonts w:cs="Calibri"/>
                <w:b/>
                <w:bCs/>
                <w:color w:val="000000"/>
                <w:sz w:val="18"/>
                <w:szCs w:val="18"/>
              </w:rPr>
              <w:t>MgC</w:t>
            </w:r>
            <w:proofErr w:type="spellEnd"/>
            <w:r w:rsidRPr="005A06C9">
              <w:rPr>
                <w:rFonts w:cs="Calibri"/>
                <w:b/>
                <w:bCs/>
                <w:color w:val="000000"/>
                <w:sz w:val="18"/>
                <w:szCs w:val="18"/>
              </w:rPr>
              <w:t xml:space="preserve"> ha</w:t>
            </w:r>
            <w:r w:rsidRPr="005A06C9">
              <w:rPr>
                <w:rFonts w:cs="Calibri"/>
                <w:b/>
                <w:bCs/>
                <w:color w:val="000000"/>
                <w:sz w:val="18"/>
                <w:szCs w:val="18"/>
                <w:vertAlign w:val="superscript"/>
              </w:rPr>
              <w:t>-1</w:t>
            </w:r>
            <w:r w:rsidRPr="005A06C9">
              <w:rPr>
                <w:rFonts w:cs="Calibri"/>
                <w:b/>
                <w:bCs/>
                <w:color w:val="000000"/>
                <w:sz w:val="18"/>
                <w:szCs w:val="18"/>
              </w:rPr>
              <w:t>)</w:t>
            </w:r>
          </w:p>
        </w:tc>
        <w:tc>
          <w:tcPr>
            <w:tcW w:w="1080" w:type="dxa"/>
            <w:tcBorders>
              <w:top w:val="nil"/>
              <w:left w:val="nil"/>
              <w:bottom w:val="single" w:sz="8" w:space="0" w:color="auto"/>
              <w:right w:val="nil"/>
            </w:tcBorders>
            <w:shd w:val="clear" w:color="auto" w:fill="auto"/>
            <w:noWrap/>
            <w:vAlign w:val="center"/>
            <w:hideMark/>
          </w:tcPr>
          <w:p w14:paraId="207F872C" w14:textId="77777777" w:rsidR="00BE2573" w:rsidRPr="005A06C9" w:rsidRDefault="00BE2573" w:rsidP="001B2921">
            <w:pPr>
              <w:jc w:val="center"/>
              <w:rPr>
                <w:rFonts w:cs="Calibri"/>
                <w:b/>
                <w:bCs/>
                <w:color w:val="000000"/>
                <w:sz w:val="18"/>
                <w:szCs w:val="18"/>
              </w:rPr>
            </w:pPr>
            <w:r w:rsidRPr="005A06C9">
              <w:rPr>
                <w:rFonts w:cs="Calibri"/>
                <w:b/>
                <w:bCs/>
                <w:color w:val="000000"/>
                <w:sz w:val="18"/>
                <w:szCs w:val="18"/>
              </w:rPr>
              <w:t>(</w:t>
            </w:r>
            <w:proofErr w:type="spellStart"/>
            <w:r w:rsidRPr="005A06C9">
              <w:rPr>
                <w:rFonts w:cs="Calibri"/>
                <w:b/>
                <w:bCs/>
                <w:color w:val="000000"/>
                <w:sz w:val="18"/>
                <w:szCs w:val="18"/>
              </w:rPr>
              <w:t>TgC</w:t>
            </w:r>
            <w:proofErr w:type="spellEnd"/>
            <w:r w:rsidRPr="005A06C9">
              <w:rPr>
                <w:rFonts w:cs="Calibri"/>
                <w:b/>
                <w:bCs/>
                <w:color w:val="000000"/>
                <w:sz w:val="18"/>
                <w:szCs w:val="18"/>
              </w:rPr>
              <w:t>)</w:t>
            </w:r>
          </w:p>
        </w:tc>
      </w:tr>
      <w:tr w:rsidR="00BE2573" w:rsidRPr="005A06C9" w14:paraId="1E5DEFEB" w14:textId="77777777" w:rsidTr="001B2921">
        <w:trPr>
          <w:trHeight w:val="320"/>
          <w:jc w:val="center"/>
        </w:trPr>
        <w:tc>
          <w:tcPr>
            <w:tcW w:w="1516" w:type="dxa"/>
            <w:tcBorders>
              <w:top w:val="nil"/>
              <w:left w:val="nil"/>
              <w:bottom w:val="nil"/>
              <w:right w:val="nil"/>
            </w:tcBorders>
            <w:shd w:val="clear" w:color="auto" w:fill="auto"/>
            <w:noWrap/>
            <w:vAlign w:val="center"/>
            <w:hideMark/>
          </w:tcPr>
          <w:p w14:paraId="3689AAF0" w14:textId="77777777" w:rsidR="00BE2573" w:rsidRPr="005A06C9" w:rsidRDefault="00BE2573" w:rsidP="001B2921">
            <w:pPr>
              <w:jc w:val="center"/>
              <w:rPr>
                <w:rFonts w:cs="Calibri"/>
                <w:color w:val="000000"/>
                <w:sz w:val="18"/>
                <w:szCs w:val="18"/>
              </w:rPr>
            </w:pPr>
            <w:r w:rsidRPr="005A06C9">
              <w:rPr>
                <w:rFonts w:cs="Calibri"/>
                <w:color w:val="000000"/>
                <w:sz w:val="18"/>
                <w:szCs w:val="18"/>
              </w:rPr>
              <w:t>WIP</w:t>
            </w:r>
          </w:p>
        </w:tc>
        <w:tc>
          <w:tcPr>
            <w:tcW w:w="1356" w:type="dxa"/>
            <w:tcBorders>
              <w:top w:val="nil"/>
              <w:left w:val="nil"/>
              <w:bottom w:val="nil"/>
              <w:right w:val="nil"/>
            </w:tcBorders>
            <w:shd w:val="clear" w:color="auto" w:fill="auto"/>
            <w:noWrap/>
            <w:vAlign w:val="center"/>
            <w:hideMark/>
          </w:tcPr>
          <w:p w14:paraId="5A6F97E5" w14:textId="77777777" w:rsidR="00BE2573" w:rsidRPr="005A06C9" w:rsidRDefault="00BE2573" w:rsidP="001B2921">
            <w:pPr>
              <w:jc w:val="center"/>
              <w:rPr>
                <w:rFonts w:cs="Calibri"/>
                <w:color w:val="000000"/>
                <w:sz w:val="18"/>
                <w:szCs w:val="18"/>
              </w:rPr>
            </w:pPr>
            <w:r w:rsidRPr="005A06C9">
              <w:rPr>
                <w:rFonts w:cs="Calibri"/>
                <w:color w:val="000000"/>
                <w:sz w:val="18"/>
                <w:szCs w:val="18"/>
              </w:rPr>
              <w:t>68,145</w:t>
            </w:r>
          </w:p>
        </w:tc>
        <w:tc>
          <w:tcPr>
            <w:tcW w:w="1088" w:type="dxa"/>
            <w:gridSpan w:val="2"/>
            <w:tcBorders>
              <w:top w:val="nil"/>
              <w:left w:val="nil"/>
              <w:bottom w:val="nil"/>
              <w:right w:val="nil"/>
            </w:tcBorders>
            <w:shd w:val="clear" w:color="auto" w:fill="auto"/>
            <w:noWrap/>
            <w:vAlign w:val="center"/>
            <w:hideMark/>
          </w:tcPr>
          <w:p w14:paraId="06231CD0" w14:textId="77777777" w:rsidR="00BE2573" w:rsidRPr="005A06C9" w:rsidRDefault="00BE2573" w:rsidP="001B2921">
            <w:pPr>
              <w:jc w:val="center"/>
              <w:rPr>
                <w:rFonts w:cs="Calibri"/>
                <w:sz w:val="18"/>
                <w:szCs w:val="18"/>
              </w:rPr>
            </w:pPr>
            <w:r w:rsidRPr="005A06C9">
              <w:rPr>
                <w:rFonts w:cs="Calibri"/>
                <w:sz w:val="18"/>
                <w:szCs w:val="18"/>
              </w:rPr>
              <w:t>74 ± 16</w:t>
            </w:r>
          </w:p>
        </w:tc>
        <w:tc>
          <w:tcPr>
            <w:tcW w:w="1080" w:type="dxa"/>
            <w:tcBorders>
              <w:top w:val="nil"/>
              <w:left w:val="nil"/>
              <w:bottom w:val="nil"/>
              <w:right w:val="nil"/>
            </w:tcBorders>
            <w:shd w:val="clear" w:color="auto" w:fill="auto"/>
            <w:noWrap/>
            <w:vAlign w:val="center"/>
            <w:hideMark/>
          </w:tcPr>
          <w:p w14:paraId="0C150B44" w14:textId="77777777" w:rsidR="00BE2573" w:rsidRPr="005A06C9" w:rsidRDefault="00BE2573" w:rsidP="001B2921">
            <w:pPr>
              <w:jc w:val="center"/>
              <w:rPr>
                <w:rFonts w:cs="Calibri"/>
                <w:sz w:val="18"/>
                <w:szCs w:val="18"/>
              </w:rPr>
            </w:pPr>
            <w:r w:rsidRPr="005A06C9">
              <w:rPr>
                <w:rFonts w:cs="Calibri"/>
                <w:sz w:val="18"/>
                <w:szCs w:val="18"/>
              </w:rPr>
              <w:t>5.1 ± 1.1</w:t>
            </w:r>
          </w:p>
        </w:tc>
      </w:tr>
      <w:tr w:rsidR="00BE2573" w:rsidRPr="005A06C9" w14:paraId="18497CB0" w14:textId="77777777" w:rsidTr="001B2921">
        <w:trPr>
          <w:trHeight w:val="320"/>
          <w:jc w:val="center"/>
        </w:trPr>
        <w:tc>
          <w:tcPr>
            <w:tcW w:w="1516" w:type="dxa"/>
            <w:tcBorders>
              <w:top w:val="nil"/>
              <w:left w:val="nil"/>
              <w:bottom w:val="nil"/>
              <w:right w:val="nil"/>
            </w:tcBorders>
            <w:shd w:val="clear" w:color="auto" w:fill="auto"/>
            <w:noWrap/>
            <w:vAlign w:val="center"/>
            <w:hideMark/>
          </w:tcPr>
          <w:p w14:paraId="14C9D766" w14:textId="77777777" w:rsidR="00BE2573" w:rsidRPr="005A06C9" w:rsidRDefault="00BE2573" w:rsidP="001B2921">
            <w:pPr>
              <w:jc w:val="center"/>
              <w:rPr>
                <w:rFonts w:cs="Calibri"/>
                <w:color w:val="000000"/>
                <w:sz w:val="18"/>
                <w:szCs w:val="18"/>
              </w:rPr>
            </w:pPr>
            <w:proofErr w:type="spellStart"/>
            <w:r w:rsidRPr="005A06C9">
              <w:rPr>
                <w:rFonts w:cs="Calibri"/>
                <w:color w:val="000000"/>
                <w:sz w:val="18"/>
                <w:szCs w:val="18"/>
              </w:rPr>
              <w:t>SoilGrids</w:t>
            </w:r>
            <w:proofErr w:type="spellEnd"/>
            <w:r w:rsidRPr="005A06C9">
              <w:rPr>
                <w:rFonts w:cs="Calibri"/>
                <w:color w:val="000000"/>
                <w:sz w:val="18"/>
                <w:szCs w:val="18"/>
              </w:rPr>
              <w:t xml:space="preserve"> 2.0</w:t>
            </w:r>
          </w:p>
        </w:tc>
        <w:tc>
          <w:tcPr>
            <w:tcW w:w="1356" w:type="dxa"/>
            <w:tcBorders>
              <w:top w:val="nil"/>
              <w:left w:val="nil"/>
              <w:bottom w:val="nil"/>
              <w:right w:val="nil"/>
            </w:tcBorders>
            <w:shd w:val="clear" w:color="auto" w:fill="auto"/>
            <w:noWrap/>
            <w:vAlign w:val="center"/>
            <w:hideMark/>
          </w:tcPr>
          <w:p w14:paraId="1E593368" w14:textId="77777777" w:rsidR="00BE2573" w:rsidRPr="005A06C9" w:rsidRDefault="00BE2573" w:rsidP="001B2921">
            <w:pPr>
              <w:jc w:val="center"/>
              <w:rPr>
                <w:rFonts w:cs="Calibri"/>
                <w:color w:val="000000"/>
                <w:sz w:val="18"/>
                <w:szCs w:val="18"/>
              </w:rPr>
            </w:pPr>
            <w:r w:rsidRPr="005A06C9">
              <w:rPr>
                <w:rFonts w:cs="Calibri"/>
                <w:color w:val="000000"/>
                <w:sz w:val="18"/>
                <w:szCs w:val="18"/>
              </w:rPr>
              <w:t>68,145</w:t>
            </w:r>
          </w:p>
        </w:tc>
        <w:tc>
          <w:tcPr>
            <w:tcW w:w="1088" w:type="dxa"/>
            <w:gridSpan w:val="2"/>
            <w:tcBorders>
              <w:top w:val="nil"/>
              <w:left w:val="nil"/>
              <w:bottom w:val="nil"/>
              <w:right w:val="nil"/>
            </w:tcBorders>
            <w:shd w:val="clear" w:color="auto" w:fill="auto"/>
            <w:noWrap/>
            <w:vAlign w:val="center"/>
            <w:hideMark/>
          </w:tcPr>
          <w:p w14:paraId="5F15DDF8" w14:textId="77777777" w:rsidR="00BE2573" w:rsidRPr="005A06C9" w:rsidRDefault="00BE2573" w:rsidP="001B2921">
            <w:pPr>
              <w:jc w:val="center"/>
              <w:rPr>
                <w:rFonts w:cs="Calibri"/>
                <w:sz w:val="18"/>
                <w:szCs w:val="18"/>
              </w:rPr>
            </w:pPr>
            <w:r w:rsidRPr="005A06C9">
              <w:rPr>
                <w:rFonts w:cs="Calibri"/>
                <w:sz w:val="18"/>
                <w:szCs w:val="18"/>
              </w:rPr>
              <w:t>115 ± 16</w:t>
            </w:r>
          </w:p>
        </w:tc>
        <w:tc>
          <w:tcPr>
            <w:tcW w:w="1080" w:type="dxa"/>
            <w:tcBorders>
              <w:top w:val="nil"/>
              <w:left w:val="nil"/>
              <w:bottom w:val="nil"/>
              <w:right w:val="nil"/>
            </w:tcBorders>
            <w:shd w:val="clear" w:color="auto" w:fill="auto"/>
            <w:noWrap/>
            <w:vAlign w:val="center"/>
            <w:hideMark/>
          </w:tcPr>
          <w:p w14:paraId="64F14DFB" w14:textId="77777777" w:rsidR="00BE2573" w:rsidRPr="005A06C9" w:rsidRDefault="00BE2573" w:rsidP="001B2921">
            <w:pPr>
              <w:jc w:val="center"/>
              <w:rPr>
                <w:rFonts w:cs="Calibri"/>
                <w:sz w:val="18"/>
                <w:szCs w:val="18"/>
              </w:rPr>
            </w:pPr>
            <w:r w:rsidRPr="005A06C9">
              <w:rPr>
                <w:rFonts w:cs="Calibri"/>
                <w:sz w:val="18"/>
                <w:szCs w:val="18"/>
              </w:rPr>
              <w:t>7.8 ± 1.1</w:t>
            </w:r>
          </w:p>
        </w:tc>
      </w:tr>
      <w:tr w:rsidR="00BE2573" w:rsidRPr="005A06C9" w14:paraId="3D333DC0" w14:textId="77777777" w:rsidTr="001B2921">
        <w:trPr>
          <w:trHeight w:val="320"/>
          <w:jc w:val="center"/>
        </w:trPr>
        <w:tc>
          <w:tcPr>
            <w:tcW w:w="1516" w:type="dxa"/>
            <w:tcBorders>
              <w:top w:val="nil"/>
              <w:left w:val="nil"/>
              <w:bottom w:val="nil"/>
              <w:right w:val="nil"/>
            </w:tcBorders>
            <w:shd w:val="clear" w:color="auto" w:fill="auto"/>
            <w:noWrap/>
            <w:vAlign w:val="center"/>
            <w:hideMark/>
          </w:tcPr>
          <w:p w14:paraId="564131FF" w14:textId="77777777" w:rsidR="00BE2573" w:rsidRPr="005A06C9" w:rsidRDefault="00BE2573" w:rsidP="001B2921">
            <w:pPr>
              <w:jc w:val="center"/>
              <w:rPr>
                <w:rFonts w:cs="Calibri"/>
                <w:color w:val="000000"/>
                <w:sz w:val="18"/>
                <w:szCs w:val="18"/>
              </w:rPr>
            </w:pPr>
            <w:r w:rsidRPr="005A06C9">
              <w:rPr>
                <w:rFonts w:cs="Calibri"/>
                <w:color w:val="000000"/>
                <w:sz w:val="18"/>
                <w:szCs w:val="18"/>
              </w:rPr>
              <w:t>FAO GSOC 1.5</w:t>
            </w:r>
          </w:p>
        </w:tc>
        <w:tc>
          <w:tcPr>
            <w:tcW w:w="1356" w:type="dxa"/>
            <w:tcBorders>
              <w:top w:val="nil"/>
              <w:left w:val="nil"/>
              <w:bottom w:val="nil"/>
              <w:right w:val="nil"/>
            </w:tcBorders>
            <w:shd w:val="clear" w:color="auto" w:fill="auto"/>
            <w:noWrap/>
            <w:vAlign w:val="center"/>
            <w:hideMark/>
          </w:tcPr>
          <w:p w14:paraId="1E27D71C" w14:textId="77777777" w:rsidR="00BE2573" w:rsidRPr="005A06C9" w:rsidRDefault="00BE2573" w:rsidP="001B2921">
            <w:pPr>
              <w:jc w:val="center"/>
              <w:rPr>
                <w:rFonts w:cs="Calibri"/>
                <w:color w:val="000000"/>
                <w:sz w:val="18"/>
                <w:szCs w:val="18"/>
              </w:rPr>
            </w:pPr>
            <w:r w:rsidRPr="005A06C9">
              <w:rPr>
                <w:rFonts w:cs="Calibri"/>
                <w:color w:val="000000"/>
                <w:sz w:val="18"/>
                <w:szCs w:val="18"/>
              </w:rPr>
              <w:t>68,300</w:t>
            </w:r>
          </w:p>
        </w:tc>
        <w:tc>
          <w:tcPr>
            <w:tcW w:w="1088" w:type="dxa"/>
            <w:gridSpan w:val="2"/>
            <w:tcBorders>
              <w:top w:val="nil"/>
              <w:left w:val="nil"/>
              <w:bottom w:val="nil"/>
              <w:right w:val="nil"/>
            </w:tcBorders>
            <w:shd w:val="clear" w:color="auto" w:fill="auto"/>
            <w:noWrap/>
            <w:vAlign w:val="center"/>
            <w:hideMark/>
          </w:tcPr>
          <w:p w14:paraId="79740DFB" w14:textId="77777777" w:rsidR="00BE2573" w:rsidRPr="005A06C9" w:rsidRDefault="00BE2573" w:rsidP="001B2921">
            <w:pPr>
              <w:jc w:val="center"/>
              <w:rPr>
                <w:rFonts w:cs="Calibri"/>
                <w:sz w:val="18"/>
                <w:szCs w:val="18"/>
              </w:rPr>
            </w:pPr>
            <w:r w:rsidRPr="005A06C9">
              <w:rPr>
                <w:rFonts w:cs="Calibri"/>
                <w:sz w:val="18"/>
                <w:szCs w:val="18"/>
              </w:rPr>
              <w:t>57 ± 3</w:t>
            </w:r>
          </w:p>
        </w:tc>
        <w:tc>
          <w:tcPr>
            <w:tcW w:w="1080" w:type="dxa"/>
            <w:tcBorders>
              <w:top w:val="nil"/>
              <w:left w:val="nil"/>
              <w:bottom w:val="nil"/>
              <w:right w:val="nil"/>
            </w:tcBorders>
            <w:shd w:val="clear" w:color="auto" w:fill="auto"/>
            <w:noWrap/>
            <w:vAlign w:val="center"/>
            <w:hideMark/>
          </w:tcPr>
          <w:p w14:paraId="74495AF4" w14:textId="77777777" w:rsidR="00BE2573" w:rsidRPr="005A06C9" w:rsidRDefault="00BE2573" w:rsidP="001B2921">
            <w:pPr>
              <w:jc w:val="center"/>
              <w:rPr>
                <w:rFonts w:cs="Calibri"/>
                <w:sz w:val="18"/>
                <w:szCs w:val="18"/>
              </w:rPr>
            </w:pPr>
            <w:r w:rsidRPr="005A06C9">
              <w:rPr>
                <w:rFonts w:cs="Calibri"/>
                <w:sz w:val="18"/>
                <w:szCs w:val="18"/>
              </w:rPr>
              <w:t>3.9 ± 0.2</w:t>
            </w:r>
          </w:p>
        </w:tc>
      </w:tr>
    </w:tbl>
    <w:p w14:paraId="28E886DE" w14:textId="013D22C6" w:rsidR="008C7265" w:rsidRDefault="008C7265"/>
    <w:p w14:paraId="76DACAA1" w14:textId="0112BAFC" w:rsidR="008C7265" w:rsidRDefault="008C7265" w:rsidP="008C7265">
      <w:pPr>
        <w:jc w:val="center"/>
      </w:pPr>
      <w:r>
        <w:lastRenderedPageBreak/>
        <w:t xml:space="preserve">Supplementary Table </w:t>
      </w:r>
      <w:r w:rsidR="00CF5B35">
        <w:t>2</w:t>
      </w:r>
      <w:r>
        <w:t xml:space="preserve">. Wetland surface area size class distribution using individual wetland surface area quantiles. The Size Classes group shows metrics for each individual </w:t>
      </w:r>
      <w:r w:rsidR="004834E4">
        <w:t>percentile</w:t>
      </w:r>
      <w:commentRangeStart w:id="2"/>
      <w:r>
        <w:t xml:space="preserve"> size class</w:t>
      </w:r>
      <w:commentRangeEnd w:id="2"/>
      <w:r>
        <w:rPr>
          <w:rStyle w:val="CommentReference"/>
        </w:rPr>
        <w:commentReference w:id="2"/>
      </w:r>
      <w:r>
        <w:t xml:space="preserve">. The Cumulative Sum group shows the increasing sum over each quantile approaching 100% of all wetlands. SOC stock and Area under the Size Classes group were calculated as the sum within the wetland surface area size class for all wetlands above 0.0064 ha. </w:t>
      </w:r>
      <w:r w:rsidR="008B69ED">
        <w:t xml:space="preserve">Mean </w:t>
      </w:r>
      <w:r>
        <w:t xml:space="preserve">SOC </w:t>
      </w:r>
      <w:r w:rsidR="008B69ED">
        <w:t>stock</w:t>
      </w:r>
      <w:r>
        <w:t xml:space="preserve"> was calculated as the mean SOC stock within each wetland and across all wetlands within the quantile size class.</w:t>
      </w:r>
    </w:p>
    <w:tbl>
      <w:tblPr>
        <w:tblW w:w="7931" w:type="dxa"/>
        <w:jc w:val="center"/>
        <w:tblLayout w:type="fixed"/>
        <w:tblLook w:val="04A0" w:firstRow="1" w:lastRow="0" w:firstColumn="1" w:lastColumn="0" w:noHBand="0" w:noVBand="1"/>
      </w:tblPr>
      <w:tblGrid>
        <w:gridCol w:w="2340"/>
        <w:gridCol w:w="882"/>
        <w:gridCol w:w="953"/>
        <w:gridCol w:w="699"/>
        <w:gridCol w:w="720"/>
        <w:gridCol w:w="257"/>
        <w:gridCol w:w="826"/>
        <w:gridCol w:w="581"/>
        <w:gridCol w:w="673"/>
      </w:tblGrid>
      <w:tr w:rsidR="008C7265" w:rsidRPr="00660528" w14:paraId="7DD96166" w14:textId="77777777" w:rsidTr="008B43D9">
        <w:trPr>
          <w:trHeight w:val="340"/>
          <w:jc w:val="center"/>
        </w:trPr>
        <w:tc>
          <w:tcPr>
            <w:tcW w:w="2340" w:type="dxa"/>
            <w:tcBorders>
              <w:top w:val="single" w:sz="12" w:space="0" w:color="auto"/>
              <w:left w:val="nil"/>
              <w:bottom w:val="nil"/>
              <w:right w:val="nil"/>
            </w:tcBorders>
            <w:shd w:val="clear" w:color="auto" w:fill="auto"/>
            <w:noWrap/>
            <w:vAlign w:val="bottom"/>
            <w:hideMark/>
          </w:tcPr>
          <w:p w14:paraId="429C8C0F" w14:textId="77777777" w:rsidR="008C7265" w:rsidRPr="00660528" w:rsidRDefault="008C7265" w:rsidP="008B43D9">
            <w:pPr>
              <w:rPr>
                <w:rFonts w:eastAsia="Times New Roman" w:cs="Calibri"/>
                <w:color w:val="000000"/>
                <w:sz w:val="18"/>
                <w:szCs w:val="18"/>
              </w:rPr>
            </w:pPr>
            <w:r w:rsidRPr="00660528">
              <w:rPr>
                <w:rFonts w:eastAsia="Times New Roman" w:cs="Calibri"/>
                <w:color w:val="000000"/>
                <w:sz w:val="18"/>
                <w:szCs w:val="18"/>
              </w:rPr>
              <w:t> </w:t>
            </w:r>
          </w:p>
        </w:tc>
        <w:tc>
          <w:tcPr>
            <w:tcW w:w="3254" w:type="dxa"/>
            <w:gridSpan w:val="4"/>
            <w:tcBorders>
              <w:top w:val="single" w:sz="12" w:space="0" w:color="auto"/>
              <w:left w:val="nil"/>
              <w:bottom w:val="single" w:sz="4" w:space="0" w:color="auto"/>
              <w:right w:val="nil"/>
            </w:tcBorders>
            <w:shd w:val="clear" w:color="auto" w:fill="auto"/>
            <w:noWrap/>
            <w:vAlign w:val="bottom"/>
            <w:hideMark/>
          </w:tcPr>
          <w:p w14:paraId="0AB5E1CF" w14:textId="77777777" w:rsidR="008C7265" w:rsidRPr="00660528" w:rsidRDefault="008C7265" w:rsidP="008B43D9">
            <w:pPr>
              <w:jc w:val="center"/>
              <w:rPr>
                <w:rFonts w:eastAsia="Times New Roman" w:cs="Calibri"/>
                <w:b/>
                <w:bCs/>
                <w:color w:val="000000"/>
                <w:sz w:val="18"/>
                <w:szCs w:val="18"/>
              </w:rPr>
            </w:pPr>
            <w:r w:rsidRPr="00660528">
              <w:rPr>
                <w:rFonts w:eastAsia="Times New Roman" w:cs="Calibri"/>
                <w:b/>
                <w:bCs/>
                <w:color w:val="000000"/>
                <w:sz w:val="18"/>
                <w:szCs w:val="18"/>
              </w:rPr>
              <w:t>Size Classes</w:t>
            </w:r>
          </w:p>
        </w:tc>
        <w:tc>
          <w:tcPr>
            <w:tcW w:w="257" w:type="dxa"/>
            <w:tcBorders>
              <w:top w:val="single" w:sz="12" w:space="0" w:color="auto"/>
              <w:left w:val="nil"/>
              <w:bottom w:val="nil"/>
              <w:right w:val="nil"/>
            </w:tcBorders>
            <w:shd w:val="clear" w:color="auto" w:fill="auto"/>
            <w:noWrap/>
            <w:vAlign w:val="bottom"/>
            <w:hideMark/>
          </w:tcPr>
          <w:p w14:paraId="7EA48B2D"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 </w:t>
            </w:r>
          </w:p>
        </w:tc>
        <w:tc>
          <w:tcPr>
            <w:tcW w:w="2080" w:type="dxa"/>
            <w:gridSpan w:val="3"/>
            <w:tcBorders>
              <w:top w:val="single" w:sz="12" w:space="0" w:color="auto"/>
              <w:left w:val="nil"/>
              <w:bottom w:val="single" w:sz="4" w:space="0" w:color="auto"/>
              <w:right w:val="nil"/>
            </w:tcBorders>
            <w:shd w:val="clear" w:color="auto" w:fill="auto"/>
            <w:noWrap/>
            <w:vAlign w:val="bottom"/>
            <w:hideMark/>
          </w:tcPr>
          <w:p w14:paraId="097C3A68" w14:textId="77777777" w:rsidR="008C7265" w:rsidRPr="00660528" w:rsidRDefault="008C7265" w:rsidP="008B43D9">
            <w:pPr>
              <w:jc w:val="center"/>
              <w:rPr>
                <w:rFonts w:eastAsia="Times New Roman" w:cs="Calibri"/>
                <w:b/>
                <w:bCs/>
                <w:color w:val="000000"/>
                <w:sz w:val="18"/>
                <w:szCs w:val="18"/>
              </w:rPr>
            </w:pPr>
            <w:r w:rsidRPr="00660528">
              <w:rPr>
                <w:rFonts w:eastAsia="Times New Roman" w:cs="Calibri"/>
                <w:b/>
                <w:bCs/>
                <w:color w:val="000000"/>
                <w:sz w:val="18"/>
                <w:szCs w:val="18"/>
              </w:rPr>
              <w:t>Cumulative Sum</w:t>
            </w:r>
          </w:p>
        </w:tc>
      </w:tr>
      <w:tr w:rsidR="008C7265" w:rsidRPr="00660528" w14:paraId="6EBB6E14" w14:textId="77777777" w:rsidTr="008B43D9">
        <w:trPr>
          <w:trHeight w:val="640"/>
          <w:jc w:val="center"/>
        </w:trPr>
        <w:tc>
          <w:tcPr>
            <w:tcW w:w="2340" w:type="dxa"/>
            <w:tcBorders>
              <w:top w:val="nil"/>
              <w:left w:val="nil"/>
              <w:bottom w:val="single" w:sz="4" w:space="0" w:color="auto"/>
              <w:right w:val="nil"/>
            </w:tcBorders>
            <w:shd w:val="clear" w:color="auto" w:fill="auto"/>
            <w:vAlign w:val="center"/>
            <w:hideMark/>
          </w:tcPr>
          <w:p w14:paraId="177A7A0C"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Quantiles Wetland Area (ha)</w:t>
            </w:r>
          </w:p>
        </w:tc>
        <w:tc>
          <w:tcPr>
            <w:tcW w:w="882" w:type="dxa"/>
            <w:tcBorders>
              <w:top w:val="nil"/>
              <w:left w:val="nil"/>
              <w:bottom w:val="single" w:sz="4" w:space="0" w:color="auto"/>
              <w:right w:val="nil"/>
            </w:tcBorders>
            <w:shd w:val="clear" w:color="auto" w:fill="auto"/>
            <w:vAlign w:val="center"/>
            <w:hideMark/>
          </w:tcPr>
          <w:p w14:paraId="50A8D8BA"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SOC Stock (</w:t>
            </w:r>
            <w:proofErr w:type="spellStart"/>
            <w:r w:rsidRPr="00660528">
              <w:rPr>
                <w:rFonts w:eastAsia="Times New Roman" w:cs="Calibri"/>
                <w:color w:val="000000"/>
                <w:sz w:val="18"/>
                <w:szCs w:val="18"/>
              </w:rPr>
              <w:t>Tg</w:t>
            </w:r>
            <w:proofErr w:type="spellEnd"/>
            <w:r w:rsidRPr="00660528">
              <w:rPr>
                <w:rFonts w:eastAsia="Times New Roman" w:cs="Calibri"/>
                <w:color w:val="000000"/>
                <w:sz w:val="18"/>
                <w:szCs w:val="18"/>
              </w:rPr>
              <w:t>)</w:t>
            </w:r>
          </w:p>
        </w:tc>
        <w:tc>
          <w:tcPr>
            <w:tcW w:w="953" w:type="dxa"/>
            <w:tcBorders>
              <w:top w:val="nil"/>
              <w:left w:val="nil"/>
              <w:bottom w:val="single" w:sz="4" w:space="0" w:color="auto"/>
              <w:right w:val="nil"/>
            </w:tcBorders>
            <w:shd w:val="clear" w:color="auto" w:fill="auto"/>
            <w:vAlign w:val="center"/>
            <w:hideMark/>
          </w:tcPr>
          <w:p w14:paraId="788F4483" w14:textId="48BE6138" w:rsidR="008C7265" w:rsidRPr="00660528" w:rsidRDefault="00837B3B" w:rsidP="008B43D9">
            <w:pPr>
              <w:jc w:val="center"/>
              <w:rPr>
                <w:rFonts w:eastAsia="Times New Roman" w:cs="Calibri"/>
                <w:color w:val="000000"/>
                <w:sz w:val="18"/>
                <w:szCs w:val="18"/>
              </w:rPr>
            </w:pPr>
            <w:r>
              <w:rPr>
                <w:rFonts w:eastAsia="Times New Roman" w:cs="Calibri"/>
                <w:color w:val="000000"/>
                <w:sz w:val="18"/>
                <w:szCs w:val="18"/>
              </w:rPr>
              <w:t xml:space="preserve">Mean </w:t>
            </w:r>
            <w:commentRangeStart w:id="3"/>
            <w:commentRangeStart w:id="4"/>
            <w:r w:rsidR="008C7265" w:rsidRPr="00660528">
              <w:rPr>
                <w:rFonts w:eastAsia="Times New Roman" w:cs="Calibri"/>
                <w:color w:val="000000"/>
                <w:sz w:val="18"/>
                <w:szCs w:val="18"/>
              </w:rPr>
              <w:t xml:space="preserve">SOC </w:t>
            </w:r>
            <w:r w:rsidR="0080358B">
              <w:rPr>
                <w:rFonts w:eastAsia="Times New Roman" w:cs="Calibri"/>
                <w:color w:val="000000"/>
                <w:sz w:val="18"/>
                <w:szCs w:val="18"/>
              </w:rPr>
              <w:t>Stock</w:t>
            </w:r>
            <w:r w:rsidR="008C7265" w:rsidRPr="00660528">
              <w:rPr>
                <w:rFonts w:eastAsia="Times New Roman" w:cs="Calibri"/>
                <w:color w:val="000000"/>
                <w:sz w:val="18"/>
                <w:szCs w:val="18"/>
              </w:rPr>
              <w:t xml:space="preserve"> (Mg ha</w:t>
            </w:r>
            <w:r w:rsidR="008C7265" w:rsidRPr="00660528">
              <w:rPr>
                <w:rFonts w:eastAsia="Times New Roman" w:cs="Calibri"/>
                <w:color w:val="000000"/>
                <w:sz w:val="18"/>
                <w:szCs w:val="18"/>
                <w:vertAlign w:val="superscript"/>
              </w:rPr>
              <w:t>-1</w:t>
            </w:r>
            <w:r w:rsidR="008C7265" w:rsidRPr="00660528">
              <w:rPr>
                <w:rFonts w:eastAsia="Times New Roman" w:cs="Calibri"/>
                <w:color w:val="000000"/>
                <w:sz w:val="18"/>
                <w:szCs w:val="18"/>
              </w:rPr>
              <w:t>)</w:t>
            </w:r>
            <w:commentRangeEnd w:id="3"/>
            <w:r w:rsidR="008C7265">
              <w:rPr>
                <w:rStyle w:val="CommentReference"/>
              </w:rPr>
              <w:commentReference w:id="3"/>
            </w:r>
            <w:commentRangeEnd w:id="4"/>
            <w:r w:rsidR="008C228B">
              <w:rPr>
                <w:rStyle w:val="CommentReference"/>
                <w:rFonts w:asciiTheme="minorHAnsi" w:eastAsiaTheme="minorEastAsia" w:hAnsiTheme="minorHAnsi" w:cstheme="minorBidi"/>
                <w:kern w:val="0"/>
                <w14:ligatures w14:val="none"/>
              </w:rPr>
              <w:commentReference w:id="4"/>
            </w:r>
          </w:p>
        </w:tc>
        <w:tc>
          <w:tcPr>
            <w:tcW w:w="699" w:type="dxa"/>
            <w:tcBorders>
              <w:top w:val="nil"/>
              <w:left w:val="nil"/>
              <w:bottom w:val="single" w:sz="4" w:space="0" w:color="auto"/>
              <w:right w:val="nil"/>
            </w:tcBorders>
            <w:shd w:val="clear" w:color="auto" w:fill="auto"/>
            <w:hideMark/>
          </w:tcPr>
          <w:p w14:paraId="2B4459D7"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Count</w:t>
            </w:r>
          </w:p>
        </w:tc>
        <w:tc>
          <w:tcPr>
            <w:tcW w:w="720" w:type="dxa"/>
            <w:tcBorders>
              <w:top w:val="nil"/>
              <w:left w:val="nil"/>
              <w:bottom w:val="single" w:sz="4" w:space="0" w:color="auto"/>
              <w:right w:val="nil"/>
            </w:tcBorders>
            <w:shd w:val="clear" w:color="auto" w:fill="auto"/>
            <w:vAlign w:val="center"/>
            <w:hideMark/>
          </w:tcPr>
          <w:p w14:paraId="78375782"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Area (ha)</w:t>
            </w:r>
          </w:p>
        </w:tc>
        <w:tc>
          <w:tcPr>
            <w:tcW w:w="257" w:type="dxa"/>
            <w:tcBorders>
              <w:top w:val="nil"/>
              <w:left w:val="nil"/>
              <w:bottom w:val="single" w:sz="4" w:space="0" w:color="auto"/>
              <w:right w:val="nil"/>
            </w:tcBorders>
            <w:shd w:val="clear" w:color="auto" w:fill="auto"/>
            <w:vAlign w:val="center"/>
            <w:hideMark/>
          </w:tcPr>
          <w:p w14:paraId="7E24FE39"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 </w:t>
            </w:r>
          </w:p>
        </w:tc>
        <w:tc>
          <w:tcPr>
            <w:tcW w:w="826" w:type="dxa"/>
            <w:tcBorders>
              <w:top w:val="nil"/>
              <w:left w:val="nil"/>
              <w:bottom w:val="single" w:sz="4" w:space="0" w:color="auto"/>
              <w:right w:val="nil"/>
            </w:tcBorders>
            <w:shd w:val="clear" w:color="auto" w:fill="auto"/>
            <w:vAlign w:val="center"/>
            <w:hideMark/>
          </w:tcPr>
          <w:p w14:paraId="6C39D567"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SOC Stock (</w:t>
            </w:r>
            <w:proofErr w:type="spellStart"/>
            <w:r w:rsidRPr="00660528">
              <w:rPr>
                <w:rFonts w:eastAsia="Times New Roman" w:cs="Calibri"/>
                <w:color w:val="000000"/>
                <w:sz w:val="18"/>
                <w:szCs w:val="18"/>
              </w:rPr>
              <w:t>Tg</w:t>
            </w:r>
            <w:proofErr w:type="spellEnd"/>
            <w:r w:rsidRPr="00660528">
              <w:rPr>
                <w:rFonts w:eastAsia="Times New Roman" w:cs="Calibri"/>
                <w:color w:val="000000"/>
                <w:sz w:val="18"/>
                <w:szCs w:val="18"/>
              </w:rPr>
              <w:t>)</w:t>
            </w:r>
          </w:p>
        </w:tc>
        <w:tc>
          <w:tcPr>
            <w:tcW w:w="581" w:type="dxa"/>
            <w:tcBorders>
              <w:top w:val="nil"/>
              <w:left w:val="nil"/>
              <w:bottom w:val="single" w:sz="4" w:space="0" w:color="auto"/>
              <w:right w:val="nil"/>
            </w:tcBorders>
            <w:shd w:val="clear" w:color="auto" w:fill="auto"/>
            <w:vAlign w:val="center"/>
            <w:hideMark/>
          </w:tcPr>
          <w:p w14:paraId="01BCC4A3"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Area (ha)</w:t>
            </w:r>
          </w:p>
        </w:tc>
        <w:tc>
          <w:tcPr>
            <w:tcW w:w="673" w:type="dxa"/>
            <w:tcBorders>
              <w:top w:val="nil"/>
              <w:left w:val="nil"/>
              <w:bottom w:val="single" w:sz="4" w:space="0" w:color="auto"/>
              <w:right w:val="nil"/>
            </w:tcBorders>
            <w:shd w:val="clear" w:color="auto" w:fill="auto"/>
            <w:vAlign w:val="center"/>
            <w:hideMark/>
          </w:tcPr>
          <w:p w14:paraId="41D04A33"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Count</w:t>
            </w:r>
          </w:p>
        </w:tc>
      </w:tr>
      <w:tr w:rsidR="008C7265" w:rsidRPr="00660528" w14:paraId="178459D7" w14:textId="77777777" w:rsidTr="008B43D9">
        <w:trPr>
          <w:trHeight w:val="320"/>
          <w:jc w:val="center"/>
        </w:trPr>
        <w:tc>
          <w:tcPr>
            <w:tcW w:w="2340" w:type="dxa"/>
            <w:tcBorders>
              <w:top w:val="nil"/>
              <w:left w:val="nil"/>
              <w:bottom w:val="nil"/>
              <w:right w:val="nil"/>
            </w:tcBorders>
            <w:shd w:val="clear" w:color="auto" w:fill="auto"/>
            <w:noWrap/>
            <w:vAlign w:val="bottom"/>
            <w:hideMark/>
          </w:tcPr>
          <w:p w14:paraId="277AE729" w14:textId="77777777" w:rsidR="008C7265" w:rsidRPr="00660528" w:rsidRDefault="008C7265" w:rsidP="008B43D9">
            <w:pPr>
              <w:jc w:val="right"/>
              <w:rPr>
                <w:rFonts w:eastAsia="Times New Roman" w:cs="Calibri"/>
                <w:color w:val="000000"/>
                <w:sz w:val="18"/>
                <w:szCs w:val="18"/>
              </w:rPr>
            </w:pPr>
            <w:r w:rsidRPr="00660528">
              <w:rPr>
                <w:rFonts w:eastAsia="Times New Roman" w:cs="Calibri"/>
                <w:color w:val="000000"/>
                <w:sz w:val="18"/>
                <w:szCs w:val="18"/>
              </w:rPr>
              <w:t>0-5% (0.006 ha)</w:t>
            </w:r>
          </w:p>
        </w:tc>
        <w:tc>
          <w:tcPr>
            <w:tcW w:w="882" w:type="dxa"/>
            <w:tcBorders>
              <w:top w:val="nil"/>
              <w:left w:val="nil"/>
              <w:bottom w:val="nil"/>
              <w:right w:val="nil"/>
            </w:tcBorders>
            <w:shd w:val="clear" w:color="auto" w:fill="auto"/>
            <w:noWrap/>
            <w:vAlign w:val="bottom"/>
            <w:hideMark/>
          </w:tcPr>
          <w:p w14:paraId="3102C6F8"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0.0101</w:t>
            </w:r>
          </w:p>
        </w:tc>
        <w:tc>
          <w:tcPr>
            <w:tcW w:w="953" w:type="dxa"/>
            <w:tcBorders>
              <w:top w:val="nil"/>
              <w:left w:val="nil"/>
              <w:bottom w:val="nil"/>
              <w:right w:val="nil"/>
            </w:tcBorders>
            <w:shd w:val="clear" w:color="auto" w:fill="auto"/>
            <w:noWrap/>
            <w:vAlign w:val="bottom"/>
            <w:hideMark/>
          </w:tcPr>
          <w:p w14:paraId="5297DEFA"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254</w:t>
            </w:r>
          </w:p>
        </w:tc>
        <w:tc>
          <w:tcPr>
            <w:tcW w:w="699" w:type="dxa"/>
            <w:tcBorders>
              <w:top w:val="nil"/>
              <w:left w:val="nil"/>
              <w:bottom w:val="nil"/>
              <w:right w:val="nil"/>
            </w:tcBorders>
            <w:shd w:val="clear" w:color="auto" w:fill="auto"/>
            <w:noWrap/>
            <w:vAlign w:val="bottom"/>
            <w:hideMark/>
          </w:tcPr>
          <w:p w14:paraId="2751F038"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6216</w:t>
            </w:r>
          </w:p>
        </w:tc>
        <w:tc>
          <w:tcPr>
            <w:tcW w:w="720" w:type="dxa"/>
            <w:tcBorders>
              <w:top w:val="nil"/>
              <w:left w:val="nil"/>
              <w:bottom w:val="nil"/>
              <w:right w:val="nil"/>
            </w:tcBorders>
            <w:shd w:val="clear" w:color="auto" w:fill="auto"/>
            <w:noWrap/>
            <w:vAlign w:val="bottom"/>
            <w:hideMark/>
          </w:tcPr>
          <w:p w14:paraId="0D794E31"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40</w:t>
            </w:r>
          </w:p>
        </w:tc>
        <w:tc>
          <w:tcPr>
            <w:tcW w:w="257" w:type="dxa"/>
            <w:tcBorders>
              <w:top w:val="nil"/>
              <w:left w:val="nil"/>
              <w:bottom w:val="nil"/>
              <w:right w:val="nil"/>
            </w:tcBorders>
            <w:shd w:val="clear" w:color="auto" w:fill="auto"/>
            <w:noWrap/>
            <w:vAlign w:val="bottom"/>
            <w:hideMark/>
          </w:tcPr>
          <w:p w14:paraId="01B969F9" w14:textId="77777777" w:rsidR="008C7265" w:rsidRPr="00660528" w:rsidRDefault="008C7265" w:rsidP="008B43D9">
            <w:pPr>
              <w:jc w:val="center"/>
              <w:rPr>
                <w:rFonts w:eastAsia="Times New Roman" w:cs="Calibri"/>
                <w:color w:val="000000"/>
                <w:sz w:val="18"/>
                <w:szCs w:val="18"/>
              </w:rPr>
            </w:pPr>
          </w:p>
        </w:tc>
        <w:tc>
          <w:tcPr>
            <w:tcW w:w="826" w:type="dxa"/>
            <w:tcBorders>
              <w:top w:val="nil"/>
              <w:left w:val="nil"/>
              <w:bottom w:val="nil"/>
              <w:right w:val="nil"/>
            </w:tcBorders>
            <w:shd w:val="clear" w:color="auto" w:fill="auto"/>
            <w:noWrap/>
            <w:vAlign w:val="bottom"/>
            <w:hideMark/>
          </w:tcPr>
          <w:p w14:paraId="41232377"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0.0101</w:t>
            </w:r>
          </w:p>
        </w:tc>
        <w:tc>
          <w:tcPr>
            <w:tcW w:w="581" w:type="dxa"/>
            <w:tcBorders>
              <w:top w:val="nil"/>
              <w:left w:val="nil"/>
              <w:bottom w:val="nil"/>
              <w:right w:val="nil"/>
            </w:tcBorders>
            <w:shd w:val="clear" w:color="auto" w:fill="auto"/>
            <w:noWrap/>
            <w:vAlign w:val="bottom"/>
            <w:hideMark/>
          </w:tcPr>
          <w:p w14:paraId="7C1453F0"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39.8</w:t>
            </w:r>
          </w:p>
        </w:tc>
        <w:tc>
          <w:tcPr>
            <w:tcW w:w="673" w:type="dxa"/>
            <w:tcBorders>
              <w:top w:val="nil"/>
              <w:left w:val="nil"/>
              <w:bottom w:val="nil"/>
              <w:right w:val="nil"/>
            </w:tcBorders>
            <w:shd w:val="clear" w:color="auto" w:fill="auto"/>
            <w:noWrap/>
            <w:vAlign w:val="bottom"/>
            <w:hideMark/>
          </w:tcPr>
          <w:p w14:paraId="32E50883"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6216</w:t>
            </w:r>
          </w:p>
        </w:tc>
      </w:tr>
      <w:tr w:rsidR="008C7265" w:rsidRPr="00660528" w14:paraId="3DF7DC0A" w14:textId="77777777" w:rsidTr="008B43D9">
        <w:trPr>
          <w:trHeight w:val="320"/>
          <w:jc w:val="center"/>
        </w:trPr>
        <w:tc>
          <w:tcPr>
            <w:tcW w:w="2340" w:type="dxa"/>
            <w:tcBorders>
              <w:top w:val="nil"/>
              <w:left w:val="nil"/>
              <w:bottom w:val="nil"/>
              <w:right w:val="nil"/>
            </w:tcBorders>
            <w:shd w:val="clear" w:color="auto" w:fill="auto"/>
            <w:noWrap/>
            <w:vAlign w:val="bottom"/>
            <w:hideMark/>
          </w:tcPr>
          <w:p w14:paraId="4B775530" w14:textId="77777777" w:rsidR="008C7265" w:rsidRPr="00660528" w:rsidRDefault="008C7265" w:rsidP="008B43D9">
            <w:pPr>
              <w:jc w:val="right"/>
              <w:rPr>
                <w:rFonts w:eastAsia="Times New Roman" w:cs="Calibri"/>
                <w:color w:val="000000"/>
                <w:sz w:val="18"/>
                <w:szCs w:val="18"/>
              </w:rPr>
            </w:pPr>
            <w:r w:rsidRPr="00660528">
              <w:rPr>
                <w:rFonts w:eastAsia="Times New Roman" w:cs="Calibri"/>
                <w:color w:val="000000"/>
                <w:sz w:val="18"/>
                <w:szCs w:val="18"/>
              </w:rPr>
              <w:t>5-25% (0.006-0.008)</w:t>
            </w:r>
          </w:p>
        </w:tc>
        <w:tc>
          <w:tcPr>
            <w:tcW w:w="882" w:type="dxa"/>
            <w:tcBorders>
              <w:top w:val="nil"/>
              <w:left w:val="nil"/>
              <w:bottom w:val="nil"/>
              <w:right w:val="nil"/>
            </w:tcBorders>
            <w:shd w:val="clear" w:color="auto" w:fill="auto"/>
            <w:noWrap/>
            <w:vAlign w:val="bottom"/>
            <w:hideMark/>
          </w:tcPr>
          <w:p w14:paraId="3C0BE23D"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0.00878</w:t>
            </w:r>
          </w:p>
        </w:tc>
        <w:tc>
          <w:tcPr>
            <w:tcW w:w="953" w:type="dxa"/>
            <w:tcBorders>
              <w:top w:val="nil"/>
              <w:left w:val="nil"/>
              <w:bottom w:val="nil"/>
              <w:right w:val="nil"/>
            </w:tcBorders>
            <w:shd w:val="clear" w:color="auto" w:fill="auto"/>
            <w:noWrap/>
            <w:vAlign w:val="bottom"/>
            <w:hideMark/>
          </w:tcPr>
          <w:p w14:paraId="2EF302CC"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252</w:t>
            </w:r>
          </w:p>
        </w:tc>
        <w:tc>
          <w:tcPr>
            <w:tcW w:w="699" w:type="dxa"/>
            <w:tcBorders>
              <w:top w:val="nil"/>
              <w:left w:val="nil"/>
              <w:bottom w:val="nil"/>
              <w:right w:val="nil"/>
            </w:tcBorders>
            <w:shd w:val="clear" w:color="auto" w:fill="auto"/>
            <w:noWrap/>
            <w:vAlign w:val="bottom"/>
            <w:hideMark/>
          </w:tcPr>
          <w:p w14:paraId="3BBF0E46"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4375</w:t>
            </w:r>
          </w:p>
        </w:tc>
        <w:tc>
          <w:tcPr>
            <w:tcW w:w="720" w:type="dxa"/>
            <w:tcBorders>
              <w:top w:val="nil"/>
              <w:left w:val="nil"/>
              <w:bottom w:val="nil"/>
              <w:right w:val="nil"/>
            </w:tcBorders>
            <w:shd w:val="clear" w:color="auto" w:fill="auto"/>
            <w:noWrap/>
            <w:vAlign w:val="bottom"/>
            <w:hideMark/>
          </w:tcPr>
          <w:p w14:paraId="2B9355D1"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35</w:t>
            </w:r>
          </w:p>
        </w:tc>
        <w:tc>
          <w:tcPr>
            <w:tcW w:w="257" w:type="dxa"/>
            <w:tcBorders>
              <w:top w:val="nil"/>
              <w:left w:val="nil"/>
              <w:bottom w:val="nil"/>
              <w:right w:val="nil"/>
            </w:tcBorders>
            <w:shd w:val="clear" w:color="auto" w:fill="auto"/>
            <w:noWrap/>
            <w:vAlign w:val="bottom"/>
            <w:hideMark/>
          </w:tcPr>
          <w:p w14:paraId="4E500A37" w14:textId="77777777" w:rsidR="008C7265" w:rsidRPr="00660528" w:rsidRDefault="008C7265" w:rsidP="008B43D9">
            <w:pPr>
              <w:jc w:val="center"/>
              <w:rPr>
                <w:rFonts w:eastAsia="Times New Roman" w:cs="Calibri"/>
                <w:color w:val="000000"/>
                <w:sz w:val="18"/>
                <w:szCs w:val="18"/>
              </w:rPr>
            </w:pPr>
          </w:p>
        </w:tc>
        <w:tc>
          <w:tcPr>
            <w:tcW w:w="826" w:type="dxa"/>
            <w:tcBorders>
              <w:top w:val="nil"/>
              <w:left w:val="nil"/>
              <w:bottom w:val="nil"/>
              <w:right w:val="nil"/>
            </w:tcBorders>
            <w:shd w:val="clear" w:color="auto" w:fill="auto"/>
            <w:noWrap/>
            <w:vAlign w:val="bottom"/>
            <w:hideMark/>
          </w:tcPr>
          <w:p w14:paraId="6FA4D145"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0.0189</w:t>
            </w:r>
          </w:p>
        </w:tc>
        <w:tc>
          <w:tcPr>
            <w:tcW w:w="581" w:type="dxa"/>
            <w:tcBorders>
              <w:top w:val="nil"/>
              <w:left w:val="nil"/>
              <w:bottom w:val="nil"/>
              <w:right w:val="nil"/>
            </w:tcBorders>
            <w:shd w:val="clear" w:color="auto" w:fill="auto"/>
            <w:noWrap/>
            <w:vAlign w:val="bottom"/>
            <w:hideMark/>
          </w:tcPr>
          <w:p w14:paraId="20FD367C"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74.5</w:t>
            </w:r>
          </w:p>
        </w:tc>
        <w:tc>
          <w:tcPr>
            <w:tcW w:w="673" w:type="dxa"/>
            <w:tcBorders>
              <w:top w:val="nil"/>
              <w:left w:val="nil"/>
              <w:bottom w:val="nil"/>
              <w:right w:val="nil"/>
            </w:tcBorders>
            <w:shd w:val="clear" w:color="auto" w:fill="auto"/>
            <w:noWrap/>
            <w:vAlign w:val="bottom"/>
            <w:hideMark/>
          </w:tcPr>
          <w:p w14:paraId="2D1FF49C"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10591</w:t>
            </w:r>
          </w:p>
        </w:tc>
      </w:tr>
      <w:tr w:rsidR="008C7265" w:rsidRPr="00660528" w14:paraId="4E9A95EF" w14:textId="77777777" w:rsidTr="008B43D9">
        <w:trPr>
          <w:trHeight w:val="320"/>
          <w:jc w:val="center"/>
        </w:trPr>
        <w:tc>
          <w:tcPr>
            <w:tcW w:w="2340" w:type="dxa"/>
            <w:tcBorders>
              <w:top w:val="nil"/>
              <w:left w:val="nil"/>
              <w:bottom w:val="nil"/>
              <w:right w:val="nil"/>
            </w:tcBorders>
            <w:shd w:val="clear" w:color="auto" w:fill="auto"/>
            <w:noWrap/>
            <w:vAlign w:val="bottom"/>
            <w:hideMark/>
          </w:tcPr>
          <w:p w14:paraId="68C13D87" w14:textId="77777777" w:rsidR="008C7265" w:rsidRPr="00660528" w:rsidRDefault="008C7265" w:rsidP="008B43D9">
            <w:pPr>
              <w:jc w:val="right"/>
              <w:rPr>
                <w:rFonts w:eastAsia="Times New Roman" w:cs="Calibri"/>
                <w:color w:val="000000"/>
                <w:sz w:val="18"/>
                <w:szCs w:val="18"/>
              </w:rPr>
            </w:pPr>
            <w:r w:rsidRPr="00660528">
              <w:rPr>
                <w:rFonts w:eastAsia="Times New Roman" w:cs="Calibri"/>
                <w:color w:val="000000"/>
                <w:sz w:val="18"/>
                <w:szCs w:val="18"/>
              </w:rPr>
              <w:t>25-50% (0.008-0.011)</w:t>
            </w:r>
          </w:p>
        </w:tc>
        <w:tc>
          <w:tcPr>
            <w:tcW w:w="882" w:type="dxa"/>
            <w:tcBorders>
              <w:top w:val="nil"/>
              <w:left w:val="nil"/>
              <w:bottom w:val="nil"/>
              <w:right w:val="nil"/>
            </w:tcBorders>
            <w:shd w:val="clear" w:color="auto" w:fill="auto"/>
            <w:noWrap/>
            <w:vAlign w:val="bottom"/>
            <w:hideMark/>
          </w:tcPr>
          <w:p w14:paraId="58625256"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0.0142</w:t>
            </w:r>
          </w:p>
        </w:tc>
        <w:tc>
          <w:tcPr>
            <w:tcW w:w="953" w:type="dxa"/>
            <w:tcBorders>
              <w:top w:val="nil"/>
              <w:left w:val="nil"/>
              <w:bottom w:val="nil"/>
              <w:right w:val="nil"/>
            </w:tcBorders>
            <w:shd w:val="clear" w:color="auto" w:fill="auto"/>
            <w:noWrap/>
            <w:vAlign w:val="bottom"/>
            <w:hideMark/>
          </w:tcPr>
          <w:p w14:paraId="4EFD9578"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254</w:t>
            </w:r>
          </w:p>
        </w:tc>
        <w:tc>
          <w:tcPr>
            <w:tcW w:w="699" w:type="dxa"/>
            <w:tcBorders>
              <w:top w:val="nil"/>
              <w:left w:val="nil"/>
              <w:bottom w:val="nil"/>
              <w:right w:val="nil"/>
            </w:tcBorders>
            <w:shd w:val="clear" w:color="auto" w:fill="auto"/>
            <w:noWrap/>
            <w:vAlign w:val="bottom"/>
            <w:hideMark/>
          </w:tcPr>
          <w:p w14:paraId="715BE978"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5467</w:t>
            </w:r>
          </w:p>
        </w:tc>
        <w:tc>
          <w:tcPr>
            <w:tcW w:w="720" w:type="dxa"/>
            <w:tcBorders>
              <w:top w:val="nil"/>
              <w:left w:val="nil"/>
              <w:bottom w:val="nil"/>
              <w:right w:val="nil"/>
            </w:tcBorders>
            <w:shd w:val="clear" w:color="auto" w:fill="auto"/>
            <w:noWrap/>
            <w:vAlign w:val="bottom"/>
            <w:hideMark/>
          </w:tcPr>
          <w:p w14:paraId="6E18885E"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56</w:t>
            </w:r>
          </w:p>
        </w:tc>
        <w:tc>
          <w:tcPr>
            <w:tcW w:w="257" w:type="dxa"/>
            <w:tcBorders>
              <w:top w:val="nil"/>
              <w:left w:val="nil"/>
              <w:bottom w:val="nil"/>
              <w:right w:val="nil"/>
            </w:tcBorders>
            <w:shd w:val="clear" w:color="auto" w:fill="auto"/>
            <w:noWrap/>
            <w:vAlign w:val="bottom"/>
            <w:hideMark/>
          </w:tcPr>
          <w:p w14:paraId="3E346E04" w14:textId="77777777" w:rsidR="008C7265" w:rsidRPr="00660528" w:rsidRDefault="008C7265" w:rsidP="008B43D9">
            <w:pPr>
              <w:jc w:val="center"/>
              <w:rPr>
                <w:rFonts w:eastAsia="Times New Roman" w:cs="Calibri"/>
                <w:color w:val="000000"/>
                <w:sz w:val="18"/>
                <w:szCs w:val="18"/>
              </w:rPr>
            </w:pPr>
          </w:p>
        </w:tc>
        <w:tc>
          <w:tcPr>
            <w:tcW w:w="826" w:type="dxa"/>
            <w:tcBorders>
              <w:top w:val="nil"/>
              <w:left w:val="nil"/>
              <w:bottom w:val="nil"/>
              <w:right w:val="nil"/>
            </w:tcBorders>
            <w:shd w:val="clear" w:color="auto" w:fill="auto"/>
            <w:noWrap/>
            <w:vAlign w:val="bottom"/>
            <w:hideMark/>
          </w:tcPr>
          <w:p w14:paraId="7C6D70A2"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0.0331</w:t>
            </w:r>
          </w:p>
        </w:tc>
        <w:tc>
          <w:tcPr>
            <w:tcW w:w="581" w:type="dxa"/>
            <w:tcBorders>
              <w:top w:val="nil"/>
              <w:left w:val="nil"/>
              <w:bottom w:val="nil"/>
              <w:right w:val="nil"/>
            </w:tcBorders>
            <w:shd w:val="clear" w:color="auto" w:fill="auto"/>
            <w:noWrap/>
            <w:vAlign w:val="bottom"/>
            <w:hideMark/>
          </w:tcPr>
          <w:p w14:paraId="0D86E73F"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130</w:t>
            </w:r>
          </w:p>
        </w:tc>
        <w:tc>
          <w:tcPr>
            <w:tcW w:w="673" w:type="dxa"/>
            <w:tcBorders>
              <w:top w:val="nil"/>
              <w:left w:val="nil"/>
              <w:bottom w:val="nil"/>
              <w:right w:val="nil"/>
            </w:tcBorders>
            <w:shd w:val="clear" w:color="auto" w:fill="auto"/>
            <w:noWrap/>
            <w:vAlign w:val="bottom"/>
            <w:hideMark/>
          </w:tcPr>
          <w:p w14:paraId="0B62210D"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16058</w:t>
            </w:r>
          </w:p>
        </w:tc>
      </w:tr>
      <w:tr w:rsidR="008C7265" w:rsidRPr="00660528" w14:paraId="62321619" w14:textId="77777777" w:rsidTr="008B43D9">
        <w:trPr>
          <w:trHeight w:val="320"/>
          <w:jc w:val="center"/>
        </w:trPr>
        <w:tc>
          <w:tcPr>
            <w:tcW w:w="2340" w:type="dxa"/>
            <w:tcBorders>
              <w:top w:val="nil"/>
              <w:left w:val="nil"/>
              <w:bottom w:val="nil"/>
              <w:right w:val="nil"/>
            </w:tcBorders>
            <w:shd w:val="clear" w:color="auto" w:fill="auto"/>
            <w:noWrap/>
            <w:vAlign w:val="bottom"/>
            <w:hideMark/>
          </w:tcPr>
          <w:p w14:paraId="1B76E418" w14:textId="77777777" w:rsidR="008C7265" w:rsidRPr="00660528" w:rsidRDefault="008C7265" w:rsidP="008B43D9">
            <w:pPr>
              <w:jc w:val="right"/>
              <w:rPr>
                <w:rFonts w:eastAsia="Times New Roman" w:cs="Calibri"/>
                <w:color w:val="000000"/>
                <w:sz w:val="18"/>
                <w:szCs w:val="18"/>
              </w:rPr>
            </w:pPr>
            <w:r w:rsidRPr="00660528">
              <w:rPr>
                <w:rFonts w:eastAsia="Times New Roman" w:cs="Calibri"/>
                <w:color w:val="000000"/>
                <w:sz w:val="18"/>
                <w:szCs w:val="18"/>
              </w:rPr>
              <w:t>50-75% (0.011-0.02</w:t>
            </w:r>
            <w:r>
              <w:rPr>
                <w:rFonts w:eastAsia="Times New Roman" w:cs="Calibri"/>
                <w:color w:val="000000"/>
                <w:sz w:val="18"/>
                <w:szCs w:val="18"/>
              </w:rPr>
              <w:t>6</w:t>
            </w:r>
            <w:r w:rsidRPr="00660528">
              <w:rPr>
                <w:rFonts w:eastAsia="Times New Roman" w:cs="Calibri"/>
                <w:color w:val="000000"/>
                <w:sz w:val="18"/>
                <w:szCs w:val="18"/>
              </w:rPr>
              <w:t>)</w:t>
            </w:r>
          </w:p>
        </w:tc>
        <w:tc>
          <w:tcPr>
            <w:tcW w:w="882" w:type="dxa"/>
            <w:tcBorders>
              <w:top w:val="nil"/>
              <w:left w:val="nil"/>
              <w:bottom w:val="nil"/>
              <w:right w:val="nil"/>
            </w:tcBorders>
            <w:shd w:val="clear" w:color="auto" w:fill="auto"/>
            <w:noWrap/>
            <w:vAlign w:val="bottom"/>
            <w:hideMark/>
          </w:tcPr>
          <w:p w14:paraId="3B192045"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0.0348</w:t>
            </w:r>
          </w:p>
        </w:tc>
        <w:tc>
          <w:tcPr>
            <w:tcW w:w="953" w:type="dxa"/>
            <w:tcBorders>
              <w:top w:val="nil"/>
              <w:left w:val="nil"/>
              <w:bottom w:val="nil"/>
              <w:right w:val="nil"/>
            </w:tcBorders>
            <w:shd w:val="clear" w:color="auto" w:fill="auto"/>
            <w:noWrap/>
            <w:vAlign w:val="bottom"/>
            <w:hideMark/>
          </w:tcPr>
          <w:p w14:paraId="4DF7CFB5"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254</w:t>
            </w:r>
          </w:p>
        </w:tc>
        <w:tc>
          <w:tcPr>
            <w:tcW w:w="699" w:type="dxa"/>
            <w:tcBorders>
              <w:top w:val="nil"/>
              <w:left w:val="nil"/>
              <w:bottom w:val="nil"/>
              <w:right w:val="nil"/>
            </w:tcBorders>
            <w:shd w:val="clear" w:color="auto" w:fill="auto"/>
            <w:noWrap/>
            <w:vAlign w:val="bottom"/>
            <w:hideMark/>
          </w:tcPr>
          <w:p w14:paraId="36E82806"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7973</w:t>
            </w:r>
          </w:p>
        </w:tc>
        <w:tc>
          <w:tcPr>
            <w:tcW w:w="720" w:type="dxa"/>
            <w:tcBorders>
              <w:top w:val="nil"/>
              <w:left w:val="nil"/>
              <w:bottom w:val="nil"/>
              <w:right w:val="nil"/>
            </w:tcBorders>
            <w:shd w:val="clear" w:color="auto" w:fill="auto"/>
            <w:noWrap/>
            <w:vAlign w:val="bottom"/>
            <w:hideMark/>
          </w:tcPr>
          <w:p w14:paraId="03543CC9"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137</w:t>
            </w:r>
          </w:p>
        </w:tc>
        <w:tc>
          <w:tcPr>
            <w:tcW w:w="257" w:type="dxa"/>
            <w:tcBorders>
              <w:top w:val="nil"/>
              <w:left w:val="nil"/>
              <w:bottom w:val="nil"/>
              <w:right w:val="nil"/>
            </w:tcBorders>
            <w:shd w:val="clear" w:color="auto" w:fill="auto"/>
            <w:noWrap/>
            <w:vAlign w:val="bottom"/>
            <w:hideMark/>
          </w:tcPr>
          <w:p w14:paraId="51AC8CE3" w14:textId="77777777" w:rsidR="008C7265" w:rsidRPr="00660528" w:rsidRDefault="008C7265" w:rsidP="008B43D9">
            <w:pPr>
              <w:jc w:val="center"/>
              <w:rPr>
                <w:rFonts w:eastAsia="Times New Roman" w:cs="Calibri"/>
                <w:color w:val="000000"/>
                <w:sz w:val="18"/>
                <w:szCs w:val="18"/>
              </w:rPr>
            </w:pPr>
          </w:p>
        </w:tc>
        <w:tc>
          <w:tcPr>
            <w:tcW w:w="826" w:type="dxa"/>
            <w:tcBorders>
              <w:top w:val="nil"/>
              <w:left w:val="nil"/>
              <w:bottom w:val="nil"/>
              <w:right w:val="nil"/>
            </w:tcBorders>
            <w:shd w:val="clear" w:color="auto" w:fill="auto"/>
            <w:noWrap/>
            <w:vAlign w:val="bottom"/>
            <w:hideMark/>
          </w:tcPr>
          <w:p w14:paraId="63A5BE33"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0.0678</w:t>
            </w:r>
          </w:p>
        </w:tc>
        <w:tc>
          <w:tcPr>
            <w:tcW w:w="581" w:type="dxa"/>
            <w:tcBorders>
              <w:top w:val="nil"/>
              <w:left w:val="nil"/>
              <w:bottom w:val="nil"/>
              <w:right w:val="nil"/>
            </w:tcBorders>
            <w:shd w:val="clear" w:color="auto" w:fill="auto"/>
            <w:noWrap/>
            <w:vAlign w:val="bottom"/>
            <w:hideMark/>
          </w:tcPr>
          <w:p w14:paraId="687EA449"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267</w:t>
            </w:r>
          </w:p>
        </w:tc>
        <w:tc>
          <w:tcPr>
            <w:tcW w:w="673" w:type="dxa"/>
            <w:tcBorders>
              <w:top w:val="nil"/>
              <w:left w:val="nil"/>
              <w:bottom w:val="nil"/>
              <w:right w:val="nil"/>
            </w:tcBorders>
            <w:shd w:val="clear" w:color="auto" w:fill="auto"/>
            <w:noWrap/>
            <w:vAlign w:val="bottom"/>
            <w:hideMark/>
          </w:tcPr>
          <w:p w14:paraId="5D7164BA"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24031</w:t>
            </w:r>
          </w:p>
        </w:tc>
      </w:tr>
      <w:tr w:rsidR="008C7265" w:rsidRPr="00660528" w14:paraId="6E81CA9D" w14:textId="77777777" w:rsidTr="008B43D9">
        <w:trPr>
          <w:trHeight w:val="320"/>
          <w:jc w:val="center"/>
        </w:trPr>
        <w:tc>
          <w:tcPr>
            <w:tcW w:w="2340" w:type="dxa"/>
            <w:tcBorders>
              <w:top w:val="nil"/>
              <w:left w:val="nil"/>
              <w:bottom w:val="nil"/>
              <w:right w:val="nil"/>
            </w:tcBorders>
            <w:shd w:val="clear" w:color="auto" w:fill="auto"/>
            <w:noWrap/>
            <w:vAlign w:val="bottom"/>
            <w:hideMark/>
          </w:tcPr>
          <w:p w14:paraId="3686B7D1" w14:textId="77777777" w:rsidR="008C7265" w:rsidRPr="00660528" w:rsidRDefault="008C7265" w:rsidP="008B43D9">
            <w:pPr>
              <w:jc w:val="right"/>
              <w:rPr>
                <w:rFonts w:eastAsia="Times New Roman" w:cs="Calibri"/>
                <w:color w:val="000000"/>
                <w:sz w:val="18"/>
                <w:szCs w:val="18"/>
              </w:rPr>
            </w:pPr>
            <w:r w:rsidRPr="00660528">
              <w:rPr>
                <w:rFonts w:eastAsia="Times New Roman" w:cs="Calibri"/>
                <w:color w:val="000000"/>
                <w:sz w:val="18"/>
                <w:szCs w:val="18"/>
              </w:rPr>
              <w:t>75-96.4% (0.02</w:t>
            </w:r>
            <w:r>
              <w:rPr>
                <w:rFonts w:eastAsia="Times New Roman" w:cs="Calibri"/>
                <w:color w:val="000000"/>
                <w:sz w:val="18"/>
                <w:szCs w:val="18"/>
              </w:rPr>
              <w:t>6</w:t>
            </w:r>
            <w:r w:rsidRPr="00660528">
              <w:rPr>
                <w:rFonts w:eastAsia="Times New Roman" w:cs="Calibri"/>
                <w:color w:val="000000"/>
                <w:sz w:val="18"/>
                <w:szCs w:val="18"/>
              </w:rPr>
              <w:t>-0.40)</w:t>
            </w:r>
          </w:p>
        </w:tc>
        <w:tc>
          <w:tcPr>
            <w:tcW w:w="882" w:type="dxa"/>
            <w:tcBorders>
              <w:top w:val="nil"/>
              <w:left w:val="nil"/>
              <w:bottom w:val="nil"/>
              <w:right w:val="nil"/>
            </w:tcBorders>
            <w:shd w:val="clear" w:color="auto" w:fill="auto"/>
            <w:noWrap/>
            <w:vAlign w:val="bottom"/>
            <w:hideMark/>
          </w:tcPr>
          <w:p w14:paraId="694694A1"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0.143</w:t>
            </w:r>
          </w:p>
        </w:tc>
        <w:tc>
          <w:tcPr>
            <w:tcW w:w="953" w:type="dxa"/>
            <w:tcBorders>
              <w:top w:val="nil"/>
              <w:left w:val="nil"/>
              <w:bottom w:val="nil"/>
              <w:right w:val="nil"/>
            </w:tcBorders>
            <w:shd w:val="clear" w:color="auto" w:fill="auto"/>
            <w:noWrap/>
            <w:vAlign w:val="bottom"/>
            <w:hideMark/>
          </w:tcPr>
          <w:p w14:paraId="53C0DE2C"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252</w:t>
            </w:r>
          </w:p>
        </w:tc>
        <w:tc>
          <w:tcPr>
            <w:tcW w:w="699" w:type="dxa"/>
            <w:tcBorders>
              <w:top w:val="nil"/>
              <w:left w:val="nil"/>
              <w:bottom w:val="nil"/>
              <w:right w:val="nil"/>
            </w:tcBorders>
            <w:shd w:val="clear" w:color="auto" w:fill="auto"/>
            <w:noWrap/>
            <w:vAlign w:val="bottom"/>
            <w:hideMark/>
          </w:tcPr>
          <w:p w14:paraId="2918173A"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6808</w:t>
            </w:r>
          </w:p>
        </w:tc>
        <w:tc>
          <w:tcPr>
            <w:tcW w:w="720" w:type="dxa"/>
            <w:tcBorders>
              <w:top w:val="nil"/>
              <w:left w:val="nil"/>
              <w:bottom w:val="nil"/>
              <w:right w:val="nil"/>
            </w:tcBorders>
            <w:shd w:val="clear" w:color="auto" w:fill="auto"/>
            <w:noWrap/>
            <w:vAlign w:val="bottom"/>
            <w:hideMark/>
          </w:tcPr>
          <w:p w14:paraId="1C3FCC5C"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560</w:t>
            </w:r>
          </w:p>
        </w:tc>
        <w:tc>
          <w:tcPr>
            <w:tcW w:w="257" w:type="dxa"/>
            <w:tcBorders>
              <w:top w:val="nil"/>
              <w:left w:val="nil"/>
              <w:bottom w:val="nil"/>
              <w:right w:val="nil"/>
            </w:tcBorders>
            <w:shd w:val="clear" w:color="auto" w:fill="auto"/>
            <w:noWrap/>
            <w:vAlign w:val="bottom"/>
            <w:hideMark/>
          </w:tcPr>
          <w:p w14:paraId="568FB96A" w14:textId="77777777" w:rsidR="008C7265" w:rsidRPr="00660528" w:rsidRDefault="008C7265" w:rsidP="008B43D9">
            <w:pPr>
              <w:jc w:val="center"/>
              <w:rPr>
                <w:rFonts w:eastAsia="Times New Roman" w:cs="Calibri"/>
                <w:color w:val="000000"/>
                <w:sz w:val="18"/>
                <w:szCs w:val="18"/>
              </w:rPr>
            </w:pPr>
          </w:p>
        </w:tc>
        <w:tc>
          <w:tcPr>
            <w:tcW w:w="826" w:type="dxa"/>
            <w:tcBorders>
              <w:top w:val="nil"/>
              <w:left w:val="nil"/>
              <w:bottom w:val="nil"/>
              <w:right w:val="nil"/>
            </w:tcBorders>
            <w:shd w:val="clear" w:color="auto" w:fill="auto"/>
            <w:noWrap/>
            <w:vAlign w:val="bottom"/>
            <w:hideMark/>
          </w:tcPr>
          <w:p w14:paraId="62C90919"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0.211</w:t>
            </w:r>
          </w:p>
        </w:tc>
        <w:tc>
          <w:tcPr>
            <w:tcW w:w="581" w:type="dxa"/>
            <w:tcBorders>
              <w:top w:val="nil"/>
              <w:left w:val="nil"/>
              <w:bottom w:val="nil"/>
              <w:right w:val="nil"/>
            </w:tcBorders>
            <w:shd w:val="clear" w:color="auto" w:fill="auto"/>
            <w:noWrap/>
            <w:vAlign w:val="bottom"/>
            <w:hideMark/>
          </w:tcPr>
          <w:p w14:paraId="556EEC02"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827</w:t>
            </w:r>
          </w:p>
        </w:tc>
        <w:tc>
          <w:tcPr>
            <w:tcW w:w="673" w:type="dxa"/>
            <w:tcBorders>
              <w:top w:val="nil"/>
              <w:left w:val="nil"/>
              <w:bottom w:val="nil"/>
              <w:right w:val="nil"/>
            </w:tcBorders>
            <w:shd w:val="clear" w:color="auto" w:fill="auto"/>
            <w:noWrap/>
            <w:vAlign w:val="bottom"/>
            <w:hideMark/>
          </w:tcPr>
          <w:p w14:paraId="1B60E018"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30839</w:t>
            </w:r>
          </w:p>
        </w:tc>
      </w:tr>
      <w:tr w:rsidR="008C7265" w:rsidRPr="00660528" w14:paraId="70B1DA0A" w14:textId="77777777" w:rsidTr="008B43D9">
        <w:trPr>
          <w:trHeight w:val="320"/>
          <w:jc w:val="center"/>
        </w:trPr>
        <w:tc>
          <w:tcPr>
            <w:tcW w:w="2340" w:type="dxa"/>
            <w:tcBorders>
              <w:top w:val="nil"/>
              <w:left w:val="nil"/>
              <w:bottom w:val="nil"/>
              <w:right w:val="nil"/>
            </w:tcBorders>
            <w:shd w:val="clear" w:color="auto" w:fill="auto"/>
            <w:noWrap/>
            <w:vAlign w:val="bottom"/>
            <w:hideMark/>
          </w:tcPr>
          <w:p w14:paraId="0446D755" w14:textId="77777777" w:rsidR="008C7265" w:rsidRPr="00660528" w:rsidRDefault="008C7265" w:rsidP="008B43D9">
            <w:pPr>
              <w:jc w:val="right"/>
              <w:rPr>
                <w:rFonts w:eastAsia="Times New Roman" w:cs="Calibri"/>
                <w:color w:val="000000"/>
                <w:sz w:val="18"/>
                <w:szCs w:val="18"/>
              </w:rPr>
            </w:pPr>
            <w:r w:rsidRPr="00660528">
              <w:rPr>
                <w:rFonts w:eastAsia="Times New Roman" w:cs="Calibri"/>
                <w:color w:val="000000"/>
                <w:sz w:val="18"/>
                <w:szCs w:val="18"/>
              </w:rPr>
              <w:t>96.4-100% (0.40-40</w:t>
            </w:r>
            <w:r>
              <w:rPr>
                <w:rFonts w:eastAsia="Times New Roman" w:cs="Calibri"/>
                <w:color w:val="000000"/>
                <w:sz w:val="18"/>
                <w:szCs w:val="18"/>
              </w:rPr>
              <w:t>1</w:t>
            </w:r>
            <w:r w:rsidRPr="00660528">
              <w:rPr>
                <w:rFonts w:eastAsia="Times New Roman" w:cs="Calibri"/>
                <w:color w:val="000000"/>
                <w:sz w:val="18"/>
                <w:szCs w:val="18"/>
              </w:rPr>
              <w:t>)</w:t>
            </w:r>
          </w:p>
        </w:tc>
        <w:tc>
          <w:tcPr>
            <w:tcW w:w="882" w:type="dxa"/>
            <w:tcBorders>
              <w:top w:val="nil"/>
              <w:left w:val="nil"/>
              <w:bottom w:val="nil"/>
              <w:right w:val="nil"/>
            </w:tcBorders>
            <w:shd w:val="clear" w:color="auto" w:fill="auto"/>
            <w:noWrap/>
            <w:vAlign w:val="bottom"/>
            <w:hideMark/>
          </w:tcPr>
          <w:p w14:paraId="2CBF99BE"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1.42</w:t>
            </w:r>
          </w:p>
        </w:tc>
        <w:tc>
          <w:tcPr>
            <w:tcW w:w="953" w:type="dxa"/>
            <w:tcBorders>
              <w:top w:val="nil"/>
              <w:left w:val="nil"/>
              <w:bottom w:val="nil"/>
              <w:right w:val="nil"/>
            </w:tcBorders>
            <w:shd w:val="clear" w:color="auto" w:fill="auto"/>
            <w:noWrap/>
            <w:vAlign w:val="bottom"/>
            <w:hideMark/>
          </w:tcPr>
          <w:p w14:paraId="4D79DAE6"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264</w:t>
            </w:r>
          </w:p>
        </w:tc>
        <w:tc>
          <w:tcPr>
            <w:tcW w:w="699" w:type="dxa"/>
            <w:tcBorders>
              <w:top w:val="nil"/>
              <w:left w:val="nil"/>
              <w:bottom w:val="nil"/>
              <w:right w:val="nil"/>
            </w:tcBorders>
            <w:shd w:val="clear" w:color="auto" w:fill="auto"/>
            <w:noWrap/>
            <w:vAlign w:val="bottom"/>
            <w:hideMark/>
          </w:tcPr>
          <w:p w14:paraId="56CF9154"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1142</w:t>
            </w:r>
          </w:p>
        </w:tc>
        <w:tc>
          <w:tcPr>
            <w:tcW w:w="720" w:type="dxa"/>
            <w:tcBorders>
              <w:top w:val="nil"/>
              <w:left w:val="nil"/>
              <w:bottom w:val="nil"/>
              <w:right w:val="nil"/>
            </w:tcBorders>
            <w:shd w:val="clear" w:color="auto" w:fill="auto"/>
            <w:noWrap/>
            <w:vAlign w:val="bottom"/>
            <w:hideMark/>
          </w:tcPr>
          <w:p w14:paraId="7407334E" w14:textId="77777777" w:rsidR="008C7265" w:rsidRPr="00660528" w:rsidRDefault="008C7265" w:rsidP="008B43D9">
            <w:pPr>
              <w:jc w:val="center"/>
              <w:rPr>
                <w:rFonts w:eastAsia="Times New Roman" w:cs="Calibri"/>
                <w:color w:val="000000"/>
                <w:sz w:val="18"/>
                <w:szCs w:val="18"/>
              </w:rPr>
            </w:pPr>
            <w:r>
              <w:rPr>
                <w:rFonts w:eastAsia="Times New Roman" w:cs="Calibri"/>
                <w:color w:val="000000"/>
                <w:sz w:val="18"/>
                <w:szCs w:val="18"/>
              </w:rPr>
              <w:t>5010</w:t>
            </w:r>
          </w:p>
        </w:tc>
        <w:tc>
          <w:tcPr>
            <w:tcW w:w="257" w:type="dxa"/>
            <w:tcBorders>
              <w:top w:val="nil"/>
              <w:left w:val="nil"/>
              <w:bottom w:val="nil"/>
              <w:right w:val="nil"/>
            </w:tcBorders>
            <w:shd w:val="clear" w:color="auto" w:fill="auto"/>
            <w:noWrap/>
            <w:vAlign w:val="bottom"/>
            <w:hideMark/>
          </w:tcPr>
          <w:p w14:paraId="534837D6" w14:textId="77777777" w:rsidR="008C7265" w:rsidRPr="00660528" w:rsidRDefault="008C7265" w:rsidP="008B43D9">
            <w:pPr>
              <w:jc w:val="center"/>
              <w:rPr>
                <w:rFonts w:eastAsia="Times New Roman" w:cs="Calibri"/>
                <w:color w:val="000000"/>
                <w:sz w:val="18"/>
                <w:szCs w:val="18"/>
              </w:rPr>
            </w:pPr>
          </w:p>
        </w:tc>
        <w:tc>
          <w:tcPr>
            <w:tcW w:w="826" w:type="dxa"/>
            <w:tcBorders>
              <w:top w:val="nil"/>
              <w:left w:val="nil"/>
              <w:bottom w:val="nil"/>
              <w:right w:val="nil"/>
            </w:tcBorders>
            <w:shd w:val="clear" w:color="auto" w:fill="auto"/>
            <w:noWrap/>
            <w:vAlign w:val="bottom"/>
            <w:hideMark/>
          </w:tcPr>
          <w:p w14:paraId="1492FA5E"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1.63</w:t>
            </w:r>
          </w:p>
        </w:tc>
        <w:tc>
          <w:tcPr>
            <w:tcW w:w="581" w:type="dxa"/>
            <w:tcBorders>
              <w:top w:val="nil"/>
              <w:left w:val="nil"/>
              <w:bottom w:val="nil"/>
              <w:right w:val="nil"/>
            </w:tcBorders>
            <w:shd w:val="clear" w:color="auto" w:fill="auto"/>
            <w:noWrap/>
            <w:vAlign w:val="bottom"/>
            <w:hideMark/>
          </w:tcPr>
          <w:p w14:paraId="659B91A8"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5838</w:t>
            </w:r>
          </w:p>
        </w:tc>
        <w:tc>
          <w:tcPr>
            <w:tcW w:w="673" w:type="dxa"/>
            <w:tcBorders>
              <w:top w:val="nil"/>
              <w:left w:val="nil"/>
              <w:bottom w:val="nil"/>
              <w:right w:val="nil"/>
            </w:tcBorders>
            <w:shd w:val="clear" w:color="auto" w:fill="auto"/>
            <w:noWrap/>
            <w:vAlign w:val="bottom"/>
            <w:hideMark/>
          </w:tcPr>
          <w:p w14:paraId="1C2FCC00" w14:textId="77777777" w:rsidR="008C7265" w:rsidRPr="00660528" w:rsidRDefault="008C7265" w:rsidP="008B43D9">
            <w:pPr>
              <w:jc w:val="center"/>
              <w:rPr>
                <w:rFonts w:eastAsia="Times New Roman" w:cs="Calibri"/>
                <w:color w:val="000000"/>
                <w:sz w:val="18"/>
                <w:szCs w:val="18"/>
              </w:rPr>
            </w:pPr>
            <w:r w:rsidRPr="00660528">
              <w:rPr>
                <w:rFonts w:eastAsia="Times New Roman" w:cs="Calibri"/>
                <w:color w:val="000000"/>
                <w:sz w:val="18"/>
                <w:szCs w:val="18"/>
              </w:rPr>
              <w:t>31981</w:t>
            </w:r>
          </w:p>
        </w:tc>
      </w:tr>
    </w:tbl>
    <w:p w14:paraId="3090E8AE" w14:textId="77777777" w:rsidR="00CF5B35" w:rsidRDefault="00CF5B35" w:rsidP="00BE2573">
      <w:pPr>
        <w:spacing w:line="480" w:lineRule="auto"/>
      </w:pPr>
    </w:p>
    <w:p w14:paraId="787AD7FD" w14:textId="4A5A37B7" w:rsidR="008C7265" w:rsidRDefault="008C7265" w:rsidP="008C7265">
      <w:pPr>
        <w:spacing w:line="480" w:lineRule="auto"/>
        <w:jc w:val="center"/>
      </w:pPr>
      <w:r>
        <w:rPr>
          <w:noProof/>
        </w:rPr>
        <w:drawing>
          <wp:inline distT="0" distB="0" distL="0" distR="0" wp14:anchorId="3DCA77A9" wp14:editId="1B5D6E75">
            <wp:extent cx="5020931" cy="3626227"/>
            <wp:effectExtent l="0" t="0" r="0" b="0"/>
            <wp:docPr id="1" name="Picture 1" descr="A picture containing text, screenshot, plo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screenshot, plot, diagram&#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020931" cy="3626227"/>
                    </a:xfrm>
                    <a:prstGeom prst="rect">
                      <a:avLst/>
                    </a:prstGeom>
                  </pic:spPr>
                </pic:pic>
              </a:graphicData>
            </a:graphic>
          </wp:inline>
        </w:drawing>
      </w:r>
    </w:p>
    <w:p w14:paraId="1D4850C2" w14:textId="1A34C77E" w:rsidR="008C7265" w:rsidRDefault="008C7265" w:rsidP="00BE2573">
      <w:pPr>
        <w:jc w:val="center"/>
      </w:pPr>
      <w:r>
        <w:t xml:space="preserve">Supplemental Figure </w:t>
      </w:r>
      <w:r w:rsidR="00463C46">
        <w:t>3</w:t>
      </w:r>
      <w:r>
        <w:t>. Log transformed extent for individual wetlands in relation to log transform SOC stock for individual wetlands. Points are colored by mean SOC stock density in each wetland.</w:t>
      </w:r>
    </w:p>
    <w:sectPr w:rsidR="008C7265" w:rsidSect="00E659E2">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D'Amore, David - FS, AK" w:date="2023-04-27T13:39:00Z" w:initials="DDFA">
    <w:p w14:paraId="07E43FC7" w14:textId="77777777" w:rsidR="00BE2573" w:rsidRDefault="00BE2573" w:rsidP="00BE2573">
      <w:pPr>
        <w:pStyle w:val="CommentText"/>
      </w:pPr>
      <w:r>
        <w:rPr>
          <w:rStyle w:val="CommentReference"/>
        </w:rPr>
        <w:annotationRef/>
      </w:r>
      <w:r>
        <w:t>The table is a bit confusing in the vertical dimension. There appear to be three groups, but it is a bit hard to understand the shorthand. Also, the surface area should have some relationship to the entire area, correct?</w:t>
      </w:r>
    </w:p>
  </w:comment>
  <w:comment w:id="1" w:author="D'Amore, David - FS, AK" w:date="2023-04-27T13:40:00Z" w:initials="DDFA">
    <w:p w14:paraId="5A6F6612" w14:textId="77777777" w:rsidR="00BE2573" w:rsidRDefault="00BE2573" w:rsidP="00BE2573">
      <w:pPr>
        <w:pStyle w:val="CommentText"/>
      </w:pPr>
      <w:r>
        <w:rPr>
          <w:rStyle w:val="CommentReference"/>
        </w:rPr>
        <w:annotationRef/>
      </w:r>
      <w:r>
        <w:t>There is a lot of information, but I think it should perhaps focus a bit more on a few of the categories?</w:t>
      </w:r>
    </w:p>
  </w:comment>
  <w:comment w:id="2" w:author="D'Amore, David - FS, AK" w:date="2023-04-27T13:46:00Z" w:initials="DDFA">
    <w:p w14:paraId="72069AC1" w14:textId="77777777" w:rsidR="008C7265" w:rsidRDefault="008C7265" w:rsidP="008C7265">
      <w:pPr>
        <w:pStyle w:val="CommentText"/>
      </w:pPr>
      <w:r>
        <w:rPr>
          <w:rStyle w:val="CommentReference"/>
        </w:rPr>
        <w:annotationRef/>
      </w:r>
      <w:r>
        <w:t>The quantile is the wetland area (ha), but it isn't consistent: 0.002; 0.003; 0.015, etc.</w:t>
      </w:r>
    </w:p>
  </w:comment>
  <w:comment w:id="3" w:author="D'Amore, David - FS, AK" w:date="2023-04-27T13:43:00Z" w:initials="DDFA">
    <w:p w14:paraId="026BD853" w14:textId="77777777" w:rsidR="008C7265" w:rsidRDefault="008C7265" w:rsidP="008C7265">
      <w:pPr>
        <w:pStyle w:val="CommentText"/>
      </w:pPr>
      <w:r>
        <w:rPr>
          <w:rStyle w:val="CommentReference"/>
        </w:rPr>
        <w:annotationRef/>
      </w:r>
      <w:r>
        <w:t>What is driving the consistency in these values?</w:t>
      </w:r>
    </w:p>
  </w:comment>
  <w:comment w:id="4" w:author="Anthony J Stewart" w:date="2023-05-24T15:47:00Z" w:initials="AJS">
    <w:p w14:paraId="55311DD3" w14:textId="77777777" w:rsidR="008C228B" w:rsidRDefault="008C228B" w:rsidP="006A57A0">
      <w:r>
        <w:rPr>
          <w:rStyle w:val="CommentReference"/>
        </w:rPr>
        <w:annotationRef/>
      </w:r>
      <w:r>
        <w:rPr>
          <w:rFonts w:asciiTheme="minorHAnsi" w:eastAsiaTheme="minorEastAsia" w:hAnsiTheme="minorHAnsi" w:cstheme="minorBidi"/>
          <w:kern w:val="0"/>
          <w:sz w:val="20"/>
          <w:szCs w:val="20"/>
          <w14:ligatures w14:val="none"/>
        </w:rPr>
        <w:t>Not sure but it’s what I get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7E43FC7" w15:done="1"/>
  <w15:commentEx w15:paraId="5A6F6612" w15:paraIdParent="07E43FC7" w15:done="1"/>
  <w15:commentEx w15:paraId="72069AC1" w15:done="1"/>
  <w15:commentEx w15:paraId="026BD853" w15:done="1"/>
  <w15:commentEx w15:paraId="55311DD3" w15:paraIdParent="026BD853"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3611F7" w16cex:dateUtc="2023-04-27T21:39:00Z"/>
  <w16cex:commentExtensible w16cex:durableId="283611F6" w16cex:dateUtc="2023-04-27T21:40:00Z"/>
  <w16cex:commentExtensible w16cex:durableId="27F4FB51" w16cex:dateUtc="2023-04-27T21:46:00Z"/>
  <w16cex:commentExtensible w16cex:durableId="27F4FA8F" w16cex:dateUtc="2023-04-27T21:43:00Z"/>
  <w16cex:commentExtensible w16cex:durableId="2818B02C" w16cex:dateUtc="2023-05-24T22:4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7E43FC7" w16cid:durableId="283611F7"/>
  <w16cid:commentId w16cid:paraId="5A6F6612" w16cid:durableId="283611F6"/>
  <w16cid:commentId w16cid:paraId="72069AC1" w16cid:durableId="27F4FB51"/>
  <w16cid:commentId w16cid:paraId="026BD853" w16cid:durableId="27F4FA8F"/>
  <w16cid:commentId w16cid:paraId="55311DD3" w16cid:durableId="2818B02C"/>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Times New Roman (Body CS)">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644F1F"/>
    <w:multiLevelType w:val="hybridMultilevel"/>
    <w:tmpl w:val="9A60E59A"/>
    <w:lvl w:ilvl="0" w:tplc="04090001">
      <w:start w:val="1"/>
      <w:numFmt w:val="bullet"/>
      <w:lvlText w:val=""/>
      <w:lvlJc w:val="left"/>
      <w:pPr>
        <w:ind w:left="720" w:hanging="360"/>
      </w:pPr>
      <w:rPr>
        <w:rFonts w:ascii="Symbol" w:hAnsi="Symbol" w:hint="default"/>
      </w:rPr>
    </w:lvl>
    <w:lvl w:ilvl="1" w:tplc="C632E582">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17199996">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Amore, David - FS, AK">
    <w15:presenceInfo w15:providerId="AD" w15:userId="S::david.v.damore@usda.gov::bf97f8e4-50bd-4bd1-8e7b-2fd5eb5f0814"/>
  </w15:person>
  <w15:person w15:author="Anthony J Stewart">
    <w15:presenceInfo w15:providerId="AD" w15:userId="S::ajs0428@uw.edu::0df9a435-b4e7-4457-8c48-fed512a664c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265"/>
    <w:rsid w:val="0001621F"/>
    <w:rsid w:val="00037807"/>
    <w:rsid w:val="00084782"/>
    <w:rsid w:val="000B1662"/>
    <w:rsid w:val="0011114A"/>
    <w:rsid w:val="0014429C"/>
    <w:rsid w:val="00205C3A"/>
    <w:rsid w:val="00263A70"/>
    <w:rsid w:val="00270E10"/>
    <w:rsid w:val="002E0F8C"/>
    <w:rsid w:val="00375924"/>
    <w:rsid w:val="00385425"/>
    <w:rsid w:val="004119C0"/>
    <w:rsid w:val="004305D9"/>
    <w:rsid w:val="00463C46"/>
    <w:rsid w:val="004834E4"/>
    <w:rsid w:val="004B7F2F"/>
    <w:rsid w:val="004C27B8"/>
    <w:rsid w:val="00510C4A"/>
    <w:rsid w:val="0057352F"/>
    <w:rsid w:val="005B5B0B"/>
    <w:rsid w:val="00745101"/>
    <w:rsid w:val="0077314F"/>
    <w:rsid w:val="007E6A25"/>
    <w:rsid w:val="0080358B"/>
    <w:rsid w:val="008371A5"/>
    <w:rsid w:val="0083775E"/>
    <w:rsid w:val="00837B3B"/>
    <w:rsid w:val="008A2B85"/>
    <w:rsid w:val="008B69ED"/>
    <w:rsid w:val="008C228B"/>
    <w:rsid w:val="008C4FBA"/>
    <w:rsid w:val="008C7265"/>
    <w:rsid w:val="009012EF"/>
    <w:rsid w:val="009151C2"/>
    <w:rsid w:val="00924C10"/>
    <w:rsid w:val="00953BAB"/>
    <w:rsid w:val="009D1BA2"/>
    <w:rsid w:val="009E730C"/>
    <w:rsid w:val="00A23F17"/>
    <w:rsid w:val="00A27644"/>
    <w:rsid w:val="00A7544F"/>
    <w:rsid w:val="00AB3253"/>
    <w:rsid w:val="00AD7263"/>
    <w:rsid w:val="00AE2EB4"/>
    <w:rsid w:val="00AE6B48"/>
    <w:rsid w:val="00B2085B"/>
    <w:rsid w:val="00B37E8D"/>
    <w:rsid w:val="00B9716C"/>
    <w:rsid w:val="00BA3B79"/>
    <w:rsid w:val="00BB2639"/>
    <w:rsid w:val="00BB26A3"/>
    <w:rsid w:val="00BE2573"/>
    <w:rsid w:val="00C1768B"/>
    <w:rsid w:val="00C20903"/>
    <w:rsid w:val="00C5031A"/>
    <w:rsid w:val="00CC33D4"/>
    <w:rsid w:val="00CC6C76"/>
    <w:rsid w:val="00CD1F02"/>
    <w:rsid w:val="00CF5B35"/>
    <w:rsid w:val="00D236AA"/>
    <w:rsid w:val="00D54AF3"/>
    <w:rsid w:val="00D90251"/>
    <w:rsid w:val="00DD5ECD"/>
    <w:rsid w:val="00E11175"/>
    <w:rsid w:val="00E312A5"/>
    <w:rsid w:val="00E621F0"/>
    <w:rsid w:val="00E659E2"/>
    <w:rsid w:val="00F541C0"/>
    <w:rsid w:val="00F93E29"/>
    <w:rsid w:val="00FB33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B743E42"/>
  <w15:chartTrackingRefBased/>
  <w15:docId w15:val="{4F9E7B5B-076C-C745-AAFB-F849B668E0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imes New Roman (Body CS)"/>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57352F"/>
    <w:pPr>
      <w:keepNext/>
      <w:keepLines/>
      <w:spacing w:before="40" w:line="259" w:lineRule="auto"/>
      <w:outlineLvl w:val="1"/>
    </w:pPr>
    <w:rPr>
      <w:rFonts w:asciiTheme="majorHAnsi" w:eastAsiaTheme="majorEastAsia" w:hAnsiTheme="majorHAnsi" w:cstheme="majorBidi"/>
      <w:color w:val="2F5496" w:themeColor="accent1" w:themeShade="BF"/>
      <w:kern w:val="0"/>
      <w:sz w:val="26"/>
      <w:szCs w:val="26"/>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2">
    <w:name w:val="toc 2"/>
    <w:basedOn w:val="Normal"/>
    <w:next w:val="Normal"/>
    <w:autoRedefine/>
    <w:uiPriority w:val="39"/>
    <w:unhideWhenUsed/>
    <w:rsid w:val="00745101"/>
    <w:pPr>
      <w:ind w:left="240"/>
    </w:pPr>
    <w:rPr>
      <w:rFonts w:asciiTheme="minorHAnsi" w:hAnsiTheme="minorHAnsi" w:cstheme="minorHAnsi"/>
      <w:i/>
      <w:iCs/>
      <w:sz w:val="20"/>
      <w:szCs w:val="20"/>
    </w:rPr>
  </w:style>
  <w:style w:type="paragraph" w:styleId="TOC1">
    <w:name w:val="toc 1"/>
    <w:basedOn w:val="Normal"/>
    <w:next w:val="Normal"/>
    <w:autoRedefine/>
    <w:uiPriority w:val="39"/>
    <w:unhideWhenUsed/>
    <w:rsid w:val="00745101"/>
    <w:rPr>
      <w:rFonts w:asciiTheme="minorHAnsi" w:hAnsiTheme="minorHAnsi" w:cstheme="minorHAnsi"/>
      <w:b/>
      <w:bCs/>
      <w:sz w:val="20"/>
      <w:szCs w:val="20"/>
    </w:rPr>
  </w:style>
  <w:style w:type="paragraph" w:styleId="CommentText">
    <w:name w:val="annotation text"/>
    <w:basedOn w:val="Normal"/>
    <w:link w:val="CommentTextChar"/>
    <w:uiPriority w:val="99"/>
    <w:unhideWhenUsed/>
    <w:rsid w:val="008C7265"/>
    <w:pPr>
      <w:spacing w:after="160"/>
    </w:pPr>
    <w:rPr>
      <w:rFonts w:asciiTheme="minorHAnsi" w:eastAsiaTheme="minorEastAsia" w:hAnsiTheme="minorHAnsi" w:cstheme="minorBidi"/>
      <w:kern w:val="0"/>
      <w:sz w:val="20"/>
      <w:szCs w:val="20"/>
      <w14:ligatures w14:val="none"/>
    </w:rPr>
  </w:style>
  <w:style w:type="character" w:customStyle="1" w:styleId="CommentTextChar">
    <w:name w:val="Comment Text Char"/>
    <w:basedOn w:val="DefaultParagraphFont"/>
    <w:link w:val="CommentText"/>
    <w:uiPriority w:val="99"/>
    <w:rsid w:val="008C7265"/>
    <w:rPr>
      <w:rFonts w:asciiTheme="minorHAnsi" w:eastAsiaTheme="minorEastAsia" w:hAnsiTheme="minorHAnsi" w:cstheme="minorBidi"/>
      <w:kern w:val="0"/>
      <w:sz w:val="20"/>
      <w:szCs w:val="20"/>
      <w14:ligatures w14:val="none"/>
    </w:rPr>
  </w:style>
  <w:style w:type="character" w:styleId="CommentReference">
    <w:name w:val="annotation reference"/>
    <w:basedOn w:val="DefaultParagraphFont"/>
    <w:uiPriority w:val="99"/>
    <w:semiHidden/>
    <w:unhideWhenUsed/>
    <w:rsid w:val="008C7265"/>
    <w:rPr>
      <w:sz w:val="16"/>
      <w:szCs w:val="16"/>
    </w:rPr>
  </w:style>
  <w:style w:type="paragraph" w:styleId="ListParagraph">
    <w:name w:val="List Paragraph"/>
    <w:basedOn w:val="Normal"/>
    <w:uiPriority w:val="34"/>
    <w:qFormat/>
    <w:rsid w:val="007E6A25"/>
    <w:pPr>
      <w:ind w:left="720"/>
      <w:contextualSpacing/>
    </w:pPr>
  </w:style>
  <w:style w:type="character" w:customStyle="1" w:styleId="Heading2Char">
    <w:name w:val="Heading 2 Char"/>
    <w:basedOn w:val="DefaultParagraphFont"/>
    <w:link w:val="Heading2"/>
    <w:uiPriority w:val="9"/>
    <w:rsid w:val="0057352F"/>
    <w:rPr>
      <w:rFonts w:asciiTheme="majorHAnsi" w:eastAsiaTheme="majorEastAsia" w:hAnsiTheme="majorHAnsi" w:cstheme="majorBidi"/>
      <w:color w:val="2F5496" w:themeColor="accent1" w:themeShade="BF"/>
      <w:kern w:val="0"/>
      <w:sz w:val="26"/>
      <w:szCs w:val="26"/>
      <w14:ligatures w14:val="none"/>
    </w:rPr>
  </w:style>
  <w:style w:type="paragraph" w:styleId="CommentSubject">
    <w:name w:val="annotation subject"/>
    <w:basedOn w:val="CommentText"/>
    <w:next w:val="CommentText"/>
    <w:link w:val="CommentSubjectChar"/>
    <w:uiPriority w:val="99"/>
    <w:semiHidden/>
    <w:unhideWhenUsed/>
    <w:rsid w:val="008C228B"/>
    <w:pPr>
      <w:spacing w:after="0"/>
    </w:pPr>
    <w:rPr>
      <w:rFonts w:ascii="Calibri" w:eastAsiaTheme="minorHAnsi" w:hAnsi="Calibri" w:cs="Times New Roman (Body CS)"/>
      <w:b/>
      <w:bCs/>
      <w:kern w:val="2"/>
      <w14:ligatures w14:val="standardContextual"/>
    </w:rPr>
  </w:style>
  <w:style w:type="character" w:customStyle="1" w:styleId="CommentSubjectChar">
    <w:name w:val="Comment Subject Char"/>
    <w:basedOn w:val="CommentTextChar"/>
    <w:link w:val="CommentSubject"/>
    <w:uiPriority w:val="99"/>
    <w:semiHidden/>
    <w:rsid w:val="008C228B"/>
    <w:rPr>
      <w:rFonts w:asciiTheme="minorHAnsi" w:eastAsiaTheme="minorEastAsia" w:hAnsiTheme="minorHAnsi" w:cstheme="minorBidi"/>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3.png"/><Relationship Id="rId5" Type="http://schemas.openxmlformats.org/officeDocument/2006/relationships/image" Target="media/image1.png"/><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458</TotalTime>
  <Pages>3</Pages>
  <Words>1012</Words>
  <Characters>5771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J Stewart</dc:creator>
  <cp:keywords/>
  <dc:description/>
  <cp:lastModifiedBy>Anthony J Stewart</cp:lastModifiedBy>
  <cp:revision>51</cp:revision>
  <dcterms:created xsi:type="dcterms:W3CDTF">2023-05-13T22:42:00Z</dcterms:created>
  <dcterms:modified xsi:type="dcterms:W3CDTF">2023-07-03T10:01:00Z</dcterms:modified>
</cp:coreProperties>
</file>