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4B0F4" w14:textId="4A4A157D" w:rsidR="00E412F1" w:rsidRDefault="00210CD0" w:rsidP="00210CD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569FF">
        <w:rPr>
          <w:rFonts w:asciiTheme="majorBidi" w:hAnsiTheme="majorBidi" w:cstheme="majorBidi"/>
          <w:b/>
          <w:bCs/>
          <w:sz w:val="24"/>
          <w:szCs w:val="24"/>
        </w:rPr>
        <w:t>Supplementary Information</w:t>
      </w:r>
    </w:p>
    <w:p w14:paraId="374E94DC" w14:textId="77777777" w:rsidR="00F812A3" w:rsidRDefault="00F812A3" w:rsidP="00210CD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79F44CD1" w14:textId="77777777" w:rsidR="00407EF0" w:rsidRDefault="00407EF0" w:rsidP="00407EF0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Hlk136633108"/>
      <w:r>
        <w:rPr>
          <w:rFonts w:asciiTheme="majorBidi" w:hAnsiTheme="majorBidi" w:cstheme="majorBidi"/>
          <w:b/>
          <w:bCs/>
          <w:sz w:val="24"/>
          <w:szCs w:val="24"/>
        </w:rPr>
        <w:t>Metabolic improvement</w:t>
      </w:r>
      <w:r w:rsidRPr="006E167F">
        <w:rPr>
          <w:rFonts w:asciiTheme="majorBidi" w:hAnsiTheme="majorBidi" w:cstheme="majorBidi"/>
          <w:b/>
          <w:bCs/>
          <w:sz w:val="24"/>
          <w:szCs w:val="24"/>
        </w:rPr>
        <w:t xml:space="preserve"> in patients with Niemann-Pick disease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following intravenous t</w:t>
      </w:r>
      <w:r w:rsidRPr="006E167F">
        <w:rPr>
          <w:rFonts w:asciiTheme="majorBidi" w:hAnsiTheme="majorBidi" w:cstheme="majorBidi"/>
          <w:b/>
          <w:bCs/>
          <w:sz w:val="24"/>
          <w:szCs w:val="24"/>
        </w:rPr>
        <w:t>rehalose administration: A</w:t>
      </w:r>
      <w:r>
        <w:rPr>
          <w:rFonts w:asciiTheme="majorBidi" w:hAnsiTheme="majorBidi" w:cstheme="majorBidi"/>
          <w:b/>
          <w:bCs/>
          <w:sz w:val="24"/>
          <w:szCs w:val="24"/>
        </w:rPr>
        <w:t>n</w:t>
      </w:r>
      <w:r w:rsidRPr="006E167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untargeted pharmaco</w:t>
      </w:r>
      <w:r w:rsidRPr="006E167F">
        <w:rPr>
          <w:rFonts w:asciiTheme="majorBidi" w:hAnsiTheme="majorBidi" w:cstheme="majorBidi"/>
          <w:b/>
          <w:bCs/>
          <w:sz w:val="24"/>
          <w:szCs w:val="24"/>
        </w:rPr>
        <w:t>metabolomic study</w:t>
      </w:r>
    </w:p>
    <w:bookmarkEnd w:id="0"/>
    <w:p w14:paraId="2C33D4A7" w14:textId="77777777" w:rsidR="00407EF0" w:rsidRDefault="00407EF0" w:rsidP="00407EF0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vertAlign w:val="superscript"/>
        </w:rPr>
      </w:pPr>
      <w:r>
        <w:rPr>
          <w:rFonts w:asciiTheme="majorBidi" w:hAnsiTheme="majorBidi" w:cstheme="majorBidi"/>
          <w:sz w:val="24"/>
          <w:szCs w:val="24"/>
        </w:rPr>
        <w:t xml:space="preserve">Mahdieh </w:t>
      </w:r>
      <w:r w:rsidRPr="00462EFD">
        <w:rPr>
          <w:rFonts w:asciiTheme="majorBidi" w:hAnsiTheme="majorBidi" w:cstheme="majorBidi"/>
          <w:sz w:val="24"/>
          <w:szCs w:val="24"/>
        </w:rPr>
        <w:t>Khoshakhlagh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462EFD">
        <w:rPr>
          <w:rFonts w:asciiTheme="majorBidi" w:hAnsiTheme="majorBidi" w:cstheme="majorBidi"/>
          <w:sz w:val="24"/>
          <w:szCs w:val="24"/>
        </w:rPr>
        <w:t>,</w:t>
      </w:r>
      <w:r w:rsidRPr="00DF7514">
        <w:rPr>
          <w:rFonts w:asciiTheme="majorBidi" w:hAnsiTheme="majorBidi" w:cstheme="majorBidi"/>
          <w:sz w:val="24"/>
          <w:szCs w:val="24"/>
        </w:rPr>
        <w:t xml:space="preserve"> </w:t>
      </w:r>
      <w:r w:rsidRPr="00462EFD">
        <w:rPr>
          <w:rFonts w:asciiTheme="majorBidi" w:hAnsiTheme="majorBidi" w:cstheme="majorBidi"/>
          <w:sz w:val="24"/>
          <w:szCs w:val="24"/>
        </w:rPr>
        <w:t>Maede Hasanpour</w:t>
      </w:r>
      <w:r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462EFD">
        <w:rPr>
          <w:rFonts w:asciiTheme="majorBidi" w:hAnsiTheme="majorBidi" w:cstheme="majorBidi"/>
          <w:sz w:val="24"/>
          <w:szCs w:val="24"/>
        </w:rPr>
        <w:t xml:space="preserve"> Mehrdad Iranshahi</w:t>
      </w:r>
      <w:r>
        <w:rPr>
          <w:rFonts w:asciiTheme="majorBidi" w:hAnsiTheme="majorBidi" w:cstheme="majorBidi"/>
          <w:sz w:val="24"/>
          <w:szCs w:val="24"/>
          <w:vertAlign w:val="superscript"/>
        </w:rPr>
        <w:t>2</w:t>
      </w:r>
      <w:r>
        <w:rPr>
          <w:rFonts w:asciiTheme="majorBidi" w:hAnsiTheme="majorBidi" w:cstheme="majorBidi"/>
          <w:sz w:val="24"/>
          <w:szCs w:val="24"/>
        </w:rPr>
        <w:t>,</w:t>
      </w:r>
      <w:r w:rsidRPr="00462EFD">
        <w:rPr>
          <w:rFonts w:asciiTheme="majorBidi" w:hAnsiTheme="majorBidi" w:cstheme="majorBidi"/>
          <w:sz w:val="24"/>
          <w:szCs w:val="24"/>
        </w:rPr>
        <w:t xml:space="preserve"> Javad Asili</w:t>
      </w:r>
      <w:r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62EFD">
        <w:rPr>
          <w:rFonts w:asciiTheme="majorBidi" w:hAnsiTheme="majorBidi" w:cstheme="majorBidi"/>
          <w:sz w:val="24"/>
          <w:szCs w:val="24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>Aida Tasbandi</w:t>
      </w:r>
      <w:r>
        <w:rPr>
          <w:rFonts w:asciiTheme="majorBidi" w:hAnsiTheme="majorBidi" w:cstheme="majorBidi"/>
          <w:sz w:val="24"/>
          <w:szCs w:val="24"/>
          <w:vertAlign w:val="superscript"/>
        </w:rPr>
        <w:t>4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462EFD">
        <w:rPr>
          <w:rFonts w:asciiTheme="majorBidi" w:hAnsiTheme="majorBidi" w:cstheme="majorBidi"/>
          <w:sz w:val="24"/>
          <w:szCs w:val="24"/>
        </w:rPr>
        <w:t>Tannaz Jamialahmadi</w:t>
      </w:r>
      <w:r w:rsidRPr="00EA1FC0">
        <w:rPr>
          <w:rFonts w:asciiTheme="majorBidi" w:hAnsiTheme="majorBidi" w:cstheme="majorBidi"/>
          <w:sz w:val="24"/>
          <w:szCs w:val="24"/>
          <w:vertAlign w:val="superscript"/>
        </w:rPr>
        <w:t>5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462EFD">
        <w:rPr>
          <w:rFonts w:asciiTheme="majorBidi" w:hAnsiTheme="majorBidi" w:cstheme="majorBidi"/>
          <w:sz w:val="24"/>
          <w:szCs w:val="24"/>
        </w:rPr>
        <w:t>Amirhossein Sahebkar</w:t>
      </w:r>
      <w:r>
        <w:rPr>
          <w:rFonts w:asciiTheme="majorBidi" w:hAnsiTheme="majorBidi" w:cstheme="majorBidi"/>
          <w:sz w:val="24"/>
          <w:szCs w:val="24"/>
          <w:vertAlign w:val="superscript"/>
        </w:rPr>
        <w:t>2,4</w:t>
      </w:r>
      <w:r w:rsidRPr="00462EFD">
        <w:rPr>
          <w:rFonts w:asciiTheme="majorBidi" w:hAnsiTheme="majorBidi" w:cstheme="majorBidi"/>
          <w:sz w:val="24"/>
          <w:szCs w:val="24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>Milad Iranshahy*</w:t>
      </w:r>
      <w:r>
        <w:rPr>
          <w:rFonts w:asciiTheme="majorBidi" w:hAnsiTheme="majorBidi" w:cstheme="majorBidi"/>
          <w:sz w:val="24"/>
          <w:szCs w:val="24"/>
          <w:vertAlign w:val="superscript"/>
        </w:rPr>
        <w:t>3</w:t>
      </w:r>
    </w:p>
    <w:p w14:paraId="5B71E5B4" w14:textId="77777777" w:rsidR="00407EF0" w:rsidRDefault="00407EF0" w:rsidP="00407EF0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0C78A1">
        <w:rPr>
          <w:rFonts w:asciiTheme="majorBidi" w:hAnsiTheme="majorBidi" w:cstheme="majorBidi"/>
          <w:sz w:val="24"/>
          <w:szCs w:val="24"/>
        </w:rPr>
        <w:t xml:space="preserve"> </w:t>
      </w:r>
      <w:r w:rsidRPr="00506F21">
        <w:rPr>
          <w:rFonts w:asciiTheme="majorBidi" w:hAnsiTheme="majorBidi" w:cstheme="majorBidi"/>
          <w:i/>
          <w:iCs/>
          <w:kern w:val="0"/>
          <w:sz w:val="24"/>
          <w:szCs w:val="24"/>
        </w:rPr>
        <w:t xml:space="preserve">Department of Medical Biochemistry, Faculty of Medicine, Mashhad University of Medical Sciences, Mashhad, Iran </w:t>
      </w:r>
    </w:p>
    <w:p w14:paraId="3B861ED4" w14:textId="77777777" w:rsidR="00407EF0" w:rsidRDefault="00407EF0" w:rsidP="00407EF0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C78A1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0C78A1">
        <w:t xml:space="preserve"> </w:t>
      </w:r>
      <w:r w:rsidRPr="00506F21">
        <w:rPr>
          <w:rFonts w:asciiTheme="majorBidi" w:hAnsiTheme="majorBidi" w:cstheme="majorBidi"/>
          <w:i/>
          <w:iCs/>
          <w:kern w:val="0"/>
          <w:sz w:val="24"/>
          <w:szCs w:val="24"/>
        </w:rPr>
        <w:t>Biotechnology Research Center, Pharmaceutical Technology Institute, Mashhad University of Medical Sciences, Mashhad</w:t>
      </w:r>
      <w:r>
        <w:rPr>
          <w:rFonts w:asciiTheme="majorBidi" w:hAnsiTheme="majorBidi" w:cstheme="majorBidi"/>
          <w:i/>
          <w:iCs/>
          <w:kern w:val="0"/>
          <w:sz w:val="24"/>
          <w:szCs w:val="24"/>
        </w:rPr>
        <w:t>,</w:t>
      </w:r>
      <w:r w:rsidRPr="00506F21">
        <w:rPr>
          <w:rFonts w:asciiTheme="majorBidi" w:hAnsiTheme="majorBidi" w:cstheme="majorBidi"/>
          <w:i/>
          <w:iCs/>
          <w:kern w:val="0"/>
          <w:sz w:val="24"/>
          <w:szCs w:val="24"/>
        </w:rPr>
        <w:t xml:space="preserve"> Iran</w:t>
      </w:r>
    </w:p>
    <w:p w14:paraId="23598F32" w14:textId="77777777" w:rsidR="00407EF0" w:rsidRDefault="00407EF0" w:rsidP="00407EF0">
      <w:pPr>
        <w:spacing w:line="240" w:lineRule="auto"/>
        <w:jc w:val="both"/>
        <w:rPr>
          <w:rFonts w:asciiTheme="majorBidi" w:hAnsiTheme="majorBidi" w:cstheme="majorBidi"/>
          <w:i/>
          <w:iCs/>
          <w:sz w:val="24"/>
          <w:szCs w:val="24"/>
        </w:rPr>
      </w:pPr>
      <w:r w:rsidRPr="004E0334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4E0334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 xml:space="preserve"> </w:t>
      </w:r>
      <w:r w:rsidRPr="002279AC">
        <w:rPr>
          <w:rFonts w:asciiTheme="majorBidi" w:hAnsiTheme="majorBidi" w:cstheme="majorBidi"/>
          <w:i/>
          <w:iCs/>
          <w:sz w:val="24"/>
          <w:szCs w:val="24"/>
        </w:rPr>
        <w:t>Department of Pharmacognosy, School of Pharmacy, Mashhad University of Medical Sciences, Mashhad, Iran</w:t>
      </w:r>
    </w:p>
    <w:p w14:paraId="3DD74562" w14:textId="77777777" w:rsidR="00407EF0" w:rsidRDefault="00407EF0" w:rsidP="00407EF0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0C78A1">
        <w:t xml:space="preserve"> </w:t>
      </w:r>
      <w:r>
        <w:rPr>
          <w:rFonts w:asciiTheme="majorBidi" w:hAnsiTheme="majorBidi" w:cstheme="majorBidi"/>
          <w:i/>
          <w:iCs/>
          <w:kern w:val="0"/>
          <w:sz w:val="24"/>
          <w:szCs w:val="24"/>
        </w:rPr>
        <w:t>Applied Biomedical</w:t>
      </w:r>
      <w:r w:rsidRPr="00506F21">
        <w:rPr>
          <w:rFonts w:asciiTheme="majorBidi" w:hAnsiTheme="majorBidi" w:cstheme="majorBidi"/>
          <w:i/>
          <w:iCs/>
          <w:kern w:val="0"/>
          <w:sz w:val="24"/>
          <w:szCs w:val="24"/>
        </w:rPr>
        <w:t xml:space="preserve"> Research Center, Mashhad University of Medical Sciences, Mashhad</w:t>
      </w:r>
      <w:r>
        <w:rPr>
          <w:rFonts w:asciiTheme="majorBidi" w:hAnsiTheme="majorBidi" w:cstheme="majorBidi"/>
          <w:i/>
          <w:iCs/>
          <w:kern w:val="0"/>
          <w:sz w:val="24"/>
          <w:szCs w:val="24"/>
        </w:rPr>
        <w:t>,</w:t>
      </w:r>
      <w:r w:rsidRPr="00506F21">
        <w:rPr>
          <w:rFonts w:asciiTheme="majorBidi" w:hAnsiTheme="majorBidi" w:cstheme="majorBidi"/>
          <w:i/>
          <w:iCs/>
          <w:kern w:val="0"/>
          <w:sz w:val="24"/>
          <w:szCs w:val="24"/>
        </w:rPr>
        <w:t xml:space="preserve"> Iran</w:t>
      </w:r>
    </w:p>
    <w:p w14:paraId="068DA0BD" w14:textId="77777777" w:rsidR="00407EF0" w:rsidRPr="00EA1FC0" w:rsidRDefault="00407EF0" w:rsidP="00407EF0">
      <w:pPr>
        <w:pStyle w:val="yiv2400040963msonormal"/>
        <w:shd w:val="clear" w:color="auto" w:fill="FFFFFF"/>
        <w:spacing w:before="0" w:beforeAutospacing="0" w:after="0" w:afterAutospacing="0" w:line="330" w:lineRule="atLeast"/>
        <w:jc w:val="both"/>
        <w:rPr>
          <w:rFonts w:ascii="New serif" w:hAnsi="New serif" w:cs="Segoe UI"/>
          <w:i/>
          <w:iCs/>
          <w:color w:val="1D2228"/>
          <w:sz w:val="22"/>
          <w:szCs w:val="22"/>
        </w:rPr>
      </w:pPr>
      <w:r>
        <w:rPr>
          <w:rFonts w:asciiTheme="majorBidi" w:hAnsiTheme="majorBidi" w:cstheme="majorBidi"/>
          <w:vertAlign w:val="superscript"/>
        </w:rPr>
        <w:t xml:space="preserve">5 </w:t>
      </w:r>
      <w:r w:rsidRPr="00EA1FC0">
        <w:rPr>
          <w:rFonts w:ascii="New serif" w:hAnsi="New serif" w:cs="Segoe UI"/>
          <w:i/>
          <w:iCs/>
          <w:color w:val="1D2228"/>
        </w:rPr>
        <w:t>International UNESCO center for Health-Related Basic Sciences and Human</w:t>
      </w:r>
      <w:r w:rsidRPr="00EA1FC0">
        <w:rPr>
          <w:rFonts w:ascii="New serif" w:hAnsi="New serif" w:cs="Segoe UI" w:hint="eastAsia"/>
          <w:i/>
          <w:iCs/>
          <w:color w:val="1D2228"/>
          <w:rtl/>
        </w:rPr>
        <w:t> </w:t>
      </w:r>
      <w:r w:rsidRPr="00EA1FC0">
        <w:rPr>
          <w:rFonts w:ascii="New serif" w:hAnsi="New serif" w:cs="Segoe UI"/>
          <w:i/>
          <w:iCs/>
          <w:color w:val="1D2228"/>
        </w:rPr>
        <w:t>Nutrition, Mashhad University of Medical Sciences, Mashhad, Iran</w:t>
      </w:r>
    </w:p>
    <w:p w14:paraId="025C27DD" w14:textId="77777777" w:rsidR="00407EF0" w:rsidRDefault="00407EF0" w:rsidP="00407EF0">
      <w:pPr>
        <w:rPr>
          <w:rFonts w:asciiTheme="majorBidi" w:hAnsiTheme="majorBidi" w:cstheme="majorBidi"/>
          <w:i/>
          <w:iCs/>
          <w:kern w:val="0"/>
          <w:sz w:val="24"/>
          <w:szCs w:val="24"/>
          <w:vertAlign w:val="superscript"/>
        </w:rPr>
      </w:pPr>
    </w:p>
    <w:p w14:paraId="2471FB6A" w14:textId="77777777" w:rsidR="00407EF0" w:rsidRDefault="00407EF0" w:rsidP="00407EF0">
      <w:pPr>
        <w:rPr>
          <w:rFonts w:asciiTheme="majorBidi" w:hAnsiTheme="majorBidi" w:cstheme="majorBidi"/>
          <w:b/>
          <w:bCs/>
          <w:sz w:val="28"/>
          <w:szCs w:val="28"/>
          <w:lang w:bidi="fa-IR"/>
        </w:rPr>
      </w:pPr>
    </w:p>
    <w:p w14:paraId="43C6D8D8" w14:textId="77777777" w:rsidR="00407EF0" w:rsidRDefault="00407EF0" w:rsidP="00407EF0">
      <w:pPr>
        <w:rPr>
          <w:rFonts w:asciiTheme="majorBidi" w:hAnsiTheme="majorBidi" w:cstheme="majorBidi"/>
          <w:b/>
          <w:bCs/>
          <w:sz w:val="28"/>
          <w:szCs w:val="28"/>
          <w:lang w:bidi="fa-IR"/>
        </w:rPr>
      </w:pPr>
    </w:p>
    <w:p w14:paraId="3E799DF3" w14:textId="77777777" w:rsidR="00407EF0" w:rsidRDefault="00407EF0" w:rsidP="00407EF0">
      <w:pPr>
        <w:rPr>
          <w:rFonts w:asciiTheme="majorBidi" w:hAnsiTheme="majorBidi" w:cstheme="majorBidi"/>
          <w:b/>
          <w:bCs/>
          <w:sz w:val="28"/>
          <w:szCs w:val="28"/>
          <w:lang w:bidi="fa-IR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fa-IR"/>
        </w:rPr>
        <w:t>*Corresponding author:</w:t>
      </w:r>
    </w:p>
    <w:p w14:paraId="5AAD580E" w14:textId="77777777" w:rsidR="00407EF0" w:rsidRDefault="00407EF0" w:rsidP="00407EF0">
      <w:pPr>
        <w:pStyle w:val="FootnoteText"/>
        <w:spacing w:line="360" w:lineRule="auto"/>
        <w:jc w:val="both"/>
        <w:rPr>
          <w:rFonts w:asciiTheme="majorBidi" w:hAnsiTheme="majorBidi" w:cstheme="majorBidi"/>
          <w:i/>
          <w:iCs/>
          <w:sz w:val="24"/>
          <w:szCs w:val="24"/>
          <w:lang w:bidi="fa-IR"/>
        </w:rPr>
      </w:pPr>
      <w:r w:rsidRPr="00B62224">
        <w:rPr>
          <w:rFonts w:asciiTheme="majorBidi" w:hAnsiTheme="majorBidi" w:cstheme="majorBidi"/>
          <w:i/>
          <w:iCs/>
          <w:sz w:val="24"/>
          <w:szCs w:val="24"/>
        </w:rPr>
        <w:t xml:space="preserve">Milad Iranshahy, </w:t>
      </w:r>
      <w:r w:rsidRPr="002279AC">
        <w:rPr>
          <w:rFonts w:asciiTheme="majorBidi" w:hAnsiTheme="majorBidi" w:cstheme="majorBidi"/>
          <w:i/>
          <w:iCs/>
          <w:sz w:val="24"/>
          <w:szCs w:val="24"/>
        </w:rPr>
        <w:t>Department of Pharmacognosy, School of Pharmacy, Mashhad University of Medical Sciences, Mashhad, Iran</w:t>
      </w:r>
      <w:r>
        <w:rPr>
          <w:rFonts w:asciiTheme="majorBidi" w:hAnsiTheme="majorBidi" w:cstheme="majorBidi"/>
          <w:i/>
          <w:iCs/>
          <w:sz w:val="24"/>
          <w:szCs w:val="24"/>
        </w:rPr>
        <w:t>.</w:t>
      </w:r>
    </w:p>
    <w:p w14:paraId="4717F6B0" w14:textId="77777777" w:rsidR="00407EF0" w:rsidRPr="006E3483" w:rsidRDefault="00407EF0" w:rsidP="00407EF0">
      <w:pPr>
        <w:pStyle w:val="FootnoteText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FF5941">
        <w:rPr>
          <w:rFonts w:asciiTheme="majorBidi" w:hAnsiTheme="majorBidi" w:cstheme="majorBidi"/>
          <w:sz w:val="24"/>
          <w:szCs w:val="24"/>
        </w:rPr>
        <w:t xml:space="preserve">E-mail: </w:t>
      </w:r>
      <w:r>
        <w:rPr>
          <w:rFonts w:asciiTheme="majorBidi" w:hAnsiTheme="majorBidi" w:cstheme="majorBidi"/>
          <w:sz w:val="24"/>
          <w:szCs w:val="32"/>
        </w:rPr>
        <w:t>IranshahiML@mums.ac.ir</w:t>
      </w:r>
    </w:p>
    <w:p w14:paraId="6DE6CB85" w14:textId="0F0D04EA" w:rsidR="00F57E61" w:rsidRDefault="00F57E61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1D210611" w14:textId="075607DE" w:rsidR="00F812A3" w:rsidRDefault="003C5C76" w:rsidP="00210CD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3E4B001" wp14:editId="5832805A">
            <wp:extent cx="5943600" cy="5093335"/>
            <wp:effectExtent l="0" t="0" r="0" b="0"/>
            <wp:docPr id="1222321246" name="Picture 1" descr="A picture containing text, diagram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321246" name="Picture 1" descr="A picture containing text, diagram,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9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AB6A95" w14:textId="05B46935" w:rsidR="003C5C76" w:rsidRDefault="003C5C76" w:rsidP="00782201">
      <w:pPr>
        <w:jc w:val="both"/>
        <w:rPr>
          <w:rFonts w:asciiTheme="majorBidi" w:hAnsiTheme="majorBidi" w:cstheme="majorBidi"/>
          <w:sz w:val="24"/>
          <w:szCs w:val="24"/>
        </w:rPr>
      </w:pPr>
      <w:r w:rsidRPr="00290400">
        <w:rPr>
          <w:rFonts w:asciiTheme="majorBidi" w:hAnsiTheme="majorBidi" w:cstheme="majorBidi"/>
          <w:b/>
          <w:bCs/>
          <w:sz w:val="24"/>
          <w:szCs w:val="24"/>
        </w:rPr>
        <w:t>Figure S1</w:t>
      </w:r>
      <w:r>
        <w:rPr>
          <w:rFonts w:asciiTheme="majorBidi" w:hAnsiTheme="majorBidi" w:cstheme="majorBidi"/>
          <w:sz w:val="24"/>
          <w:szCs w:val="24"/>
        </w:rPr>
        <w:t xml:space="preserve">. </w:t>
      </w:r>
      <w:r w:rsidR="00290400">
        <w:rPr>
          <w:rFonts w:asciiTheme="majorBidi" w:hAnsiTheme="majorBidi" w:cstheme="majorBidi"/>
          <w:sz w:val="24"/>
          <w:szCs w:val="24"/>
        </w:rPr>
        <w:t xml:space="preserve">GC-MS </w:t>
      </w:r>
      <w:r w:rsidR="00EA06AD">
        <w:rPr>
          <w:rFonts w:asciiTheme="majorBidi" w:hAnsiTheme="majorBidi" w:cstheme="majorBidi"/>
          <w:sz w:val="24"/>
          <w:szCs w:val="24"/>
        </w:rPr>
        <w:t xml:space="preserve">TIC </w:t>
      </w:r>
      <w:r w:rsidR="00290400">
        <w:rPr>
          <w:rFonts w:asciiTheme="majorBidi" w:hAnsiTheme="majorBidi" w:cstheme="majorBidi"/>
          <w:sz w:val="24"/>
          <w:szCs w:val="24"/>
        </w:rPr>
        <w:t xml:space="preserve">chromatogram of patients with </w:t>
      </w:r>
      <w:r w:rsidR="00290400" w:rsidRPr="00290400">
        <w:rPr>
          <w:rFonts w:asciiTheme="majorBidi" w:hAnsiTheme="majorBidi" w:cstheme="majorBidi"/>
          <w:sz w:val="24"/>
          <w:szCs w:val="24"/>
        </w:rPr>
        <w:t>Niemann-Pick disease</w:t>
      </w:r>
      <w:r w:rsidR="00290400">
        <w:rPr>
          <w:rFonts w:asciiTheme="majorBidi" w:hAnsiTheme="majorBidi" w:cstheme="majorBidi"/>
          <w:sz w:val="24"/>
          <w:szCs w:val="24"/>
        </w:rPr>
        <w:t xml:space="preserve"> before (A) and after (B) treatment with trehalose.</w:t>
      </w:r>
      <w:r w:rsidR="00823560">
        <w:rPr>
          <w:rFonts w:asciiTheme="majorBidi" w:hAnsiTheme="majorBidi" w:cstheme="majorBidi"/>
          <w:sz w:val="24"/>
          <w:szCs w:val="24"/>
        </w:rPr>
        <w:t xml:space="preserve"> Good separation and</w:t>
      </w:r>
      <w:r w:rsidR="00290400">
        <w:rPr>
          <w:rFonts w:asciiTheme="majorBidi" w:hAnsiTheme="majorBidi" w:cstheme="majorBidi"/>
          <w:sz w:val="24"/>
          <w:szCs w:val="24"/>
        </w:rPr>
        <w:t xml:space="preserve"> </w:t>
      </w:r>
      <w:r w:rsidR="00823560">
        <w:rPr>
          <w:rFonts w:asciiTheme="majorBidi" w:hAnsiTheme="majorBidi" w:cstheme="majorBidi"/>
          <w:sz w:val="24"/>
          <w:szCs w:val="24"/>
        </w:rPr>
        <w:t xml:space="preserve">sharp peaks </w:t>
      </w:r>
      <w:r w:rsidR="00782201">
        <w:rPr>
          <w:rFonts w:asciiTheme="majorBidi" w:hAnsiTheme="majorBidi" w:cstheme="majorBidi"/>
          <w:sz w:val="24"/>
          <w:szCs w:val="24"/>
        </w:rPr>
        <w:t>were recorded, and no sign of column bleeding has been observed.</w:t>
      </w:r>
      <w:r w:rsidR="00E86E20">
        <w:rPr>
          <w:rFonts w:asciiTheme="majorBidi" w:hAnsiTheme="majorBidi" w:cstheme="majorBidi"/>
          <w:sz w:val="24"/>
          <w:szCs w:val="24"/>
        </w:rPr>
        <w:t xml:space="preserve"> TIC, total ion chromatogram.</w:t>
      </w:r>
    </w:p>
    <w:p w14:paraId="130B884D" w14:textId="60CC510F" w:rsidR="00253A57" w:rsidRDefault="00253A57" w:rsidP="00782201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1A01CC50" w14:textId="41733ECA" w:rsidR="00253A57" w:rsidRDefault="00EC4038" w:rsidP="00253A57">
      <w:pPr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C56F4EB" wp14:editId="08871668">
            <wp:extent cx="5715000" cy="3573145"/>
            <wp:effectExtent l="0" t="0" r="0" b="8255"/>
            <wp:docPr id="544851637" name="Picture 1" descr="A picture containing text, diagram, map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851637" name="Picture 1" descr="A picture containing text, diagram, map, plo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7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9760C7" w14:textId="0A0B067A" w:rsidR="00253A57" w:rsidRDefault="00253A57" w:rsidP="00253A57">
      <w:pPr>
        <w:rPr>
          <w:rFonts w:asciiTheme="majorBidi" w:hAnsiTheme="majorBidi" w:cstheme="majorBidi"/>
          <w:sz w:val="24"/>
          <w:szCs w:val="24"/>
        </w:rPr>
      </w:pPr>
      <w:r w:rsidRPr="00253A57">
        <w:rPr>
          <w:rFonts w:asciiTheme="majorBidi" w:hAnsiTheme="majorBidi" w:cstheme="majorBidi"/>
          <w:b/>
          <w:bCs/>
          <w:sz w:val="24"/>
          <w:szCs w:val="24"/>
        </w:rPr>
        <w:t>Figure S2</w:t>
      </w:r>
      <w:r>
        <w:rPr>
          <w:rFonts w:asciiTheme="majorBidi" w:hAnsiTheme="majorBidi" w:cstheme="majorBidi"/>
          <w:sz w:val="24"/>
          <w:szCs w:val="24"/>
        </w:rPr>
        <w:t>.</w:t>
      </w:r>
      <w:r w:rsidR="00CF3D5D">
        <w:rPr>
          <w:rFonts w:asciiTheme="majorBidi" w:hAnsiTheme="majorBidi" w:cstheme="majorBidi"/>
          <w:sz w:val="24"/>
          <w:szCs w:val="24"/>
        </w:rPr>
        <w:t xml:space="preserve"> The OPLS-DA loading plot of Niemann-Pick </w:t>
      </w:r>
      <w:r w:rsidR="006A1C31">
        <w:rPr>
          <w:rFonts w:asciiTheme="majorBidi" w:hAnsiTheme="majorBidi" w:cstheme="majorBidi"/>
          <w:sz w:val="24"/>
          <w:szCs w:val="24"/>
        </w:rPr>
        <w:t>patients serum</w:t>
      </w:r>
      <w:r w:rsidR="004F3F8B">
        <w:rPr>
          <w:rFonts w:asciiTheme="majorBidi" w:hAnsiTheme="majorBidi" w:cstheme="majorBidi"/>
          <w:sz w:val="24"/>
          <w:szCs w:val="24"/>
        </w:rPr>
        <w:t xml:space="preserve"> samples</w:t>
      </w:r>
      <w:r w:rsidR="00CF3D5D">
        <w:rPr>
          <w:rFonts w:asciiTheme="majorBidi" w:hAnsiTheme="majorBidi" w:cstheme="majorBidi"/>
          <w:sz w:val="24"/>
          <w:szCs w:val="24"/>
        </w:rPr>
        <w:t xml:space="preserve"> before and after treatment with trehalose.</w:t>
      </w:r>
      <w:r w:rsidR="006A1C31" w:rsidRPr="006A1C31">
        <w:rPr>
          <w:rFonts w:asciiTheme="majorBidi" w:hAnsiTheme="majorBidi" w:cstheme="majorBidi"/>
          <w:sz w:val="24"/>
          <w:szCs w:val="24"/>
        </w:rPr>
        <w:t xml:space="preserve"> The green circles are </w:t>
      </w:r>
      <w:r w:rsidR="00CB3B00" w:rsidRPr="006A1C31">
        <w:rPr>
          <w:rFonts w:asciiTheme="majorBidi" w:hAnsiTheme="majorBidi" w:cstheme="majorBidi"/>
          <w:sz w:val="24"/>
          <w:szCs w:val="24"/>
        </w:rPr>
        <w:t>variables,</w:t>
      </w:r>
      <w:r w:rsidR="006A1C31">
        <w:rPr>
          <w:rFonts w:asciiTheme="majorBidi" w:hAnsiTheme="majorBidi" w:cstheme="majorBidi"/>
          <w:sz w:val="24"/>
          <w:szCs w:val="24"/>
        </w:rPr>
        <w:t xml:space="preserve"> and the blue circles are before (Bef) and after (Aft) treatment.</w:t>
      </w:r>
      <w:r w:rsidR="006A1C31" w:rsidRPr="006A1C31">
        <w:rPr>
          <w:rFonts w:asciiTheme="majorBidi" w:hAnsiTheme="majorBidi" w:cstheme="majorBidi"/>
          <w:sz w:val="24"/>
          <w:szCs w:val="24"/>
        </w:rPr>
        <w:t xml:space="preserve"> OPLS‑DA, orthogonal projections to latent structures‑discriminate analysis</w:t>
      </w:r>
      <w:r w:rsidR="006A1C31">
        <w:rPr>
          <w:rFonts w:asciiTheme="majorBidi" w:hAnsiTheme="majorBidi" w:cstheme="majorBidi"/>
          <w:sz w:val="24"/>
          <w:szCs w:val="24"/>
        </w:rPr>
        <w:t>.</w:t>
      </w:r>
    </w:p>
    <w:p w14:paraId="7F66D48E" w14:textId="206E1E2E" w:rsidR="0008284F" w:rsidRDefault="0008284F" w:rsidP="00253A57">
      <w:pPr>
        <w:rPr>
          <w:rFonts w:asciiTheme="majorBidi" w:hAnsiTheme="majorBidi" w:cstheme="majorBidi"/>
          <w:sz w:val="24"/>
          <w:szCs w:val="24"/>
        </w:rPr>
      </w:pPr>
    </w:p>
    <w:p w14:paraId="3B88A05B" w14:textId="77777777" w:rsidR="0008284F" w:rsidRDefault="0008284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14:paraId="5CB85D38" w14:textId="1C6F455C" w:rsidR="000922D7" w:rsidRDefault="00F8609A" w:rsidP="00253A57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5B5ED300" wp14:editId="6BC4DEBB">
            <wp:simplePos x="0" y="0"/>
            <wp:positionH relativeFrom="margin">
              <wp:posOffset>1496060</wp:posOffset>
            </wp:positionH>
            <wp:positionV relativeFrom="paragraph">
              <wp:posOffset>5578475</wp:posOffset>
            </wp:positionV>
            <wp:extent cx="3175000" cy="2644140"/>
            <wp:effectExtent l="0" t="0" r="6350" b="3810"/>
            <wp:wrapSquare wrapText="bothSides"/>
            <wp:docPr id="16694725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0" cy="264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4B5B7639" wp14:editId="5D2464C5">
            <wp:simplePos x="0" y="0"/>
            <wp:positionH relativeFrom="margin">
              <wp:posOffset>-241300</wp:posOffset>
            </wp:positionH>
            <wp:positionV relativeFrom="paragraph">
              <wp:posOffset>2784475</wp:posOffset>
            </wp:positionV>
            <wp:extent cx="3442335" cy="2867660"/>
            <wp:effectExtent l="0" t="0" r="5715" b="8890"/>
            <wp:wrapSquare wrapText="bothSides"/>
            <wp:docPr id="156397243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2335" cy="286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039B">
        <w:rPr>
          <w:noProof/>
        </w:rPr>
        <w:drawing>
          <wp:anchor distT="0" distB="0" distL="114300" distR="114300" simplePos="0" relativeHeight="251661312" behindDoc="0" locked="0" layoutInCell="1" allowOverlap="1" wp14:anchorId="0ED34DDD" wp14:editId="29722B1F">
            <wp:simplePos x="0" y="0"/>
            <wp:positionH relativeFrom="column">
              <wp:posOffset>3133725</wp:posOffset>
            </wp:positionH>
            <wp:positionV relativeFrom="paragraph">
              <wp:posOffset>2505075</wp:posOffset>
            </wp:positionV>
            <wp:extent cx="3486150" cy="2903855"/>
            <wp:effectExtent l="0" t="0" r="0" b="0"/>
            <wp:wrapSquare wrapText="bothSides"/>
            <wp:docPr id="181212078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290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039B">
        <w:rPr>
          <w:noProof/>
        </w:rPr>
        <w:drawing>
          <wp:anchor distT="0" distB="0" distL="114300" distR="114300" simplePos="0" relativeHeight="251659264" behindDoc="0" locked="0" layoutInCell="1" allowOverlap="1" wp14:anchorId="06F6F681" wp14:editId="4D1D76B8">
            <wp:simplePos x="0" y="0"/>
            <wp:positionH relativeFrom="column">
              <wp:posOffset>3333750</wp:posOffset>
            </wp:positionH>
            <wp:positionV relativeFrom="paragraph">
              <wp:posOffset>0</wp:posOffset>
            </wp:positionV>
            <wp:extent cx="3171825" cy="2641600"/>
            <wp:effectExtent l="0" t="0" r="9525" b="6350"/>
            <wp:wrapSquare wrapText="bothSides"/>
            <wp:docPr id="146270477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039B">
        <w:rPr>
          <w:noProof/>
        </w:rPr>
        <w:drawing>
          <wp:anchor distT="0" distB="0" distL="114300" distR="114300" simplePos="0" relativeHeight="251658240" behindDoc="0" locked="0" layoutInCell="1" allowOverlap="1" wp14:anchorId="74EB6E64" wp14:editId="7C5F049B">
            <wp:simplePos x="0" y="0"/>
            <wp:positionH relativeFrom="column">
              <wp:posOffset>-76200</wp:posOffset>
            </wp:positionH>
            <wp:positionV relativeFrom="paragraph">
              <wp:posOffset>0</wp:posOffset>
            </wp:positionV>
            <wp:extent cx="3373313" cy="2809875"/>
            <wp:effectExtent l="0" t="0" r="0" b="0"/>
            <wp:wrapSquare wrapText="bothSides"/>
            <wp:docPr id="19881996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313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F10DEB" w14:textId="0B1414D1" w:rsidR="001B039B" w:rsidRDefault="001B039B" w:rsidP="00253A57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87FB943" w14:textId="77777777" w:rsidR="001B039B" w:rsidRDefault="001B039B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2B3B63BD" w14:textId="06E33123" w:rsidR="0008284F" w:rsidRDefault="0008284F" w:rsidP="00900784">
      <w:pPr>
        <w:jc w:val="both"/>
        <w:rPr>
          <w:rFonts w:asciiTheme="majorBidi" w:hAnsiTheme="majorBidi" w:cstheme="majorBidi"/>
          <w:sz w:val="24"/>
          <w:szCs w:val="24"/>
        </w:rPr>
      </w:pPr>
      <w:r w:rsidRPr="0008284F">
        <w:rPr>
          <w:rFonts w:asciiTheme="majorBidi" w:hAnsiTheme="majorBidi" w:cstheme="majorBidi"/>
          <w:b/>
          <w:bCs/>
          <w:sz w:val="24"/>
          <w:szCs w:val="24"/>
        </w:rPr>
        <w:lastRenderedPageBreak/>
        <w:t>Figure S3</w:t>
      </w:r>
      <w:r>
        <w:rPr>
          <w:rFonts w:asciiTheme="majorBidi" w:hAnsiTheme="majorBidi" w:cstheme="majorBidi"/>
          <w:sz w:val="24"/>
          <w:szCs w:val="24"/>
        </w:rPr>
        <w:t>.</w:t>
      </w:r>
      <w:r w:rsidR="00B91142">
        <w:rPr>
          <w:rFonts w:asciiTheme="majorBidi" w:hAnsiTheme="majorBidi" w:cstheme="majorBidi"/>
          <w:sz w:val="24"/>
          <w:szCs w:val="24"/>
        </w:rPr>
        <w:t xml:space="preserve"> </w:t>
      </w:r>
      <w:r w:rsidR="00B51777">
        <w:rPr>
          <w:rFonts w:asciiTheme="majorBidi" w:hAnsiTheme="majorBidi" w:cstheme="majorBidi"/>
          <w:sz w:val="24"/>
          <w:szCs w:val="24"/>
        </w:rPr>
        <w:t>The results of pathway analysis for galactose metabolism (</w:t>
      </w:r>
      <w:r w:rsidR="00B51777">
        <w:rPr>
          <w:rFonts w:asciiTheme="majorBidi" w:hAnsiTheme="majorBidi" w:cstheme="majorBidi"/>
          <w:b/>
          <w:bCs/>
          <w:sz w:val="24"/>
          <w:szCs w:val="24"/>
        </w:rPr>
        <w:t>A</w:t>
      </w:r>
      <w:r w:rsidR="00B51777">
        <w:rPr>
          <w:rFonts w:asciiTheme="majorBidi" w:hAnsiTheme="majorBidi" w:cstheme="majorBidi"/>
          <w:sz w:val="24"/>
          <w:szCs w:val="24"/>
        </w:rPr>
        <w:t xml:space="preserve">), </w:t>
      </w:r>
      <w:r w:rsidR="00900784">
        <w:rPr>
          <w:rFonts w:asciiTheme="majorBidi" w:hAnsiTheme="majorBidi" w:cstheme="majorBidi"/>
          <w:sz w:val="24"/>
          <w:szCs w:val="24"/>
        </w:rPr>
        <w:t>v</w:t>
      </w:r>
      <w:r w:rsidR="00B51777" w:rsidRPr="00B51777">
        <w:rPr>
          <w:rFonts w:asciiTheme="majorBidi" w:hAnsiTheme="majorBidi" w:cstheme="majorBidi"/>
          <w:sz w:val="24"/>
          <w:szCs w:val="24"/>
        </w:rPr>
        <w:t>aline, leucine and isoleucine biosynthesis</w:t>
      </w:r>
      <w:r w:rsidR="00B51777">
        <w:rPr>
          <w:rFonts w:asciiTheme="majorBidi" w:hAnsiTheme="majorBidi" w:cstheme="majorBidi"/>
          <w:sz w:val="24"/>
          <w:szCs w:val="24"/>
        </w:rPr>
        <w:t xml:space="preserve"> (</w:t>
      </w:r>
      <w:r w:rsidR="00B51777">
        <w:rPr>
          <w:rFonts w:asciiTheme="majorBidi" w:hAnsiTheme="majorBidi" w:cstheme="majorBidi"/>
          <w:b/>
          <w:bCs/>
          <w:sz w:val="24"/>
          <w:szCs w:val="24"/>
        </w:rPr>
        <w:t>B</w:t>
      </w:r>
      <w:r w:rsidR="00B51777">
        <w:rPr>
          <w:rFonts w:asciiTheme="majorBidi" w:hAnsiTheme="majorBidi" w:cstheme="majorBidi"/>
          <w:sz w:val="24"/>
          <w:szCs w:val="24"/>
        </w:rPr>
        <w:t>), p</w:t>
      </w:r>
      <w:r w:rsidR="00B51777" w:rsidRPr="00B51777">
        <w:rPr>
          <w:rFonts w:asciiTheme="majorBidi" w:hAnsiTheme="majorBidi" w:cstheme="majorBidi"/>
          <w:sz w:val="24"/>
          <w:szCs w:val="24"/>
        </w:rPr>
        <w:t>hosphatidylinositol signaling system</w:t>
      </w:r>
      <w:r w:rsidR="00B51777">
        <w:rPr>
          <w:rFonts w:asciiTheme="majorBidi" w:hAnsiTheme="majorBidi" w:cstheme="majorBidi"/>
          <w:sz w:val="24"/>
          <w:szCs w:val="24"/>
        </w:rPr>
        <w:t xml:space="preserve"> (</w:t>
      </w:r>
      <w:r w:rsidR="00900784">
        <w:rPr>
          <w:rFonts w:asciiTheme="majorBidi" w:hAnsiTheme="majorBidi" w:cstheme="majorBidi"/>
          <w:b/>
          <w:bCs/>
          <w:sz w:val="24"/>
          <w:szCs w:val="24"/>
        </w:rPr>
        <w:t>C</w:t>
      </w:r>
      <w:r w:rsidR="00B51777">
        <w:rPr>
          <w:rFonts w:asciiTheme="majorBidi" w:hAnsiTheme="majorBidi" w:cstheme="majorBidi"/>
          <w:sz w:val="24"/>
          <w:szCs w:val="24"/>
        </w:rPr>
        <w:t>)</w:t>
      </w:r>
      <w:r w:rsidR="00900784">
        <w:rPr>
          <w:rFonts w:asciiTheme="majorBidi" w:hAnsiTheme="majorBidi" w:cstheme="majorBidi"/>
          <w:sz w:val="24"/>
          <w:szCs w:val="24"/>
        </w:rPr>
        <w:t>, i</w:t>
      </w:r>
      <w:r w:rsidR="00900784" w:rsidRPr="00900784">
        <w:rPr>
          <w:rFonts w:asciiTheme="majorBidi" w:hAnsiTheme="majorBidi" w:cstheme="majorBidi"/>
          <w:sz w:val="24"/>
          <w:szCs w:val="24"/>
        </w:rPr>
        <w:t>nositol phosphate metabolism</w:t>
      </w:r>
      <w:r w:rsidR="00900784">
        <w:rPr>
          <w:rFonts w:asciiTheme="majorBidi" w:hAnsiTheme="majorBidi" w:cstheme="majorBidi"/>
          <w:sz w:val="24"/>
          <w:szCs w:val="24"/>
        </w:rPr>
        <w:t xml:space="preserve"> (</w:t>
      </w:r>
      <w:r w:rsidR="00900784">
        <w:rPr>
          <w:rFonts w:asciiTheme="majorBidi" w:hAnsiTheme="majorBidi" w:cstheme="majorBidi"/>
          <w:b/>
          <w:bCs/>
          <w:sz w:val="24"/>
          <w:szCs w:val="24"/>
        </w:rPr>
        <w:t>D</w:t>
      </w:r>
      <w:r w:rsidR="00900784">
        <w:rPr>
          <w:rFonts w:asciiTheme="majorBidi" w:hAnsiTheme="majorBidi" w:cstheme="majorBidi"/>
          <w:sz w:val="24"/>
          <w:szCs w:val="24"/>
        </w:rPr>
        <w:t xml:space="preserve">), </w:t>
      </w:r>
      <w:r w:rsidR="0017218F">
        <w:rPr>
          <w:rFonts w:asciiTheme="majorBidi" w:hAnsiTheme="majorBidi" w:cstheme="majorBidi"/>
          <w:sz w:val="24"/>
          <w:szCs w:val="24"/>
        </w:rPr>
        <w:t>and f</w:t>
      </w:r>
      <w:r w:rsidR="0017218F" w:rsidRPr="0017218F">
        <w:rPr>
          <w:rFonts w:asciiTheme="majorBidi" w:hAnsiTheme="majorBidi" w:cstheme="majorBidi"/>
          <w:sz w:val="24"/>
          <w:szCs w:val="24"/>
        </w:rPr>
        <w:t>ructose and mannose metabolism</w:t>
      </w:r>
      <w:r w:rsidR="0017218F">
        <w:rPr>
          <w:rFonts w:asciiTheme="majorBidi" w:hAnsiTheme="majorBidi" w:cstheme="majorBidi"/>
          <w:sz w:val="24"/>
          <w:szCs w:val="24"/>
        </w:rPr>
        <w:t xml:space="preserve"> </w:t>
      </w:r>
      <w:r w:rsidR="008C7B9D">
        <w:rPr>
          <w:rFonts w:asciiTheme="majorBidi" w:hAnsiTheme="majorBidi" w:cstheme="majorBidi"/>
          <w:sz w:val="24"/>
          <w:szCs w:val="24"/>
        </w:rPr>
        <w:t>(</w:t>
      </w:r>
      <w:r w:rsidR="008C7B9D">
        <w:rPr>
          <w:rFonts w:asciiTheme="majorBidi" w:hAnsiTheme="majorBidi" w:cstheme="majorBidi"/>
          <w:b/>
          <w:bCs/>
          <w:sz w:val="24"/>
          <w:szCs w:val="24"/>
        </w:rPr>
        <w:t>E</w:t>
      </w:r>
      <w:r w:rsidR="008C7B9D">
        <w:rPr>
          <w:rFonts w:asciiTheme="majorBidi" w:hAnsiTheme="majorBidi" w:cstheme="majorBidi"/>
          <w:sz w:val="24"/>
          <w:szCs w:val="24"/>
        </w:rPr>
        <w:t>)</w:t>
      </w:r>
      <w:r w:rsidR="002F1E92">
        <w:rPr>
          <w:rFonts w:asciiTheme="majorBidi" w:hAnsiTheme="majorBidi" w:cstheme="majorBidi"/>
          <w:sz w:val="24"/>
          <w:szCs w:val="24"/>
        </w:rPr>
        <w:t xml:space="preserve"> pathways</w:t>
      </w:r>
      <w:r w:rsidR="008C7B9D">
        <w:rPr>
          <w:rFonts w:asciiTheme="majorBidi" w:hAnsiTheme="majorBidi" w:cstheme="majorBidi"/>
          <w:sz w:val="24"/>
          <w:szCs w:val="24"/>
        </w:rPr>
        <w:t>.</w:t>
      </w:r>
    </w:p>
    <w:p w14:paraId="4A28DAB4" w14:textId="77777777" w:rsidR="00547D33" w:rsidRDefault="00547D33" w:rsidP="00900784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698E697E" w14:textId="7FBF4DFE" w:rsidR="00547D33" w:rsidRDefault="00547D33" w:rsidP="00900784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drawing>
          <wp:inline distT="0" distB="0" distL="0" distR="0" wp14:anchorId="6A467FBD" wp14:editId="252B0DDB">
            <wp:extent cx="5715000" cy="3567430"/>
            <wp:effectExtent l="0" t="0" r="0" b="0"/>
            <wp:docPr id="353019602" name="Picture 1" descr="A green and black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019602" name="Picture 1" descr="A green and black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6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5201C" w14:textId="66B2A9E3" w:rsidR="00FB7840" w:rsidRPr="00253A57" w:rsidRDefault="00547D33" w:rsidP="00547D33">
      <w:pPr>
        <w:jc w:val="both"/>
        <w:rPr>
          <w:rFonts w:asciiTheme="majorBidi" w:hAnsiTheme="majorBidi" w:cstheme="majorBidi"/>
          <w:sz w:val="24"/>
          <w:szCs w:val="24"/>
        </w:rPr>
      </w:pPr>
      <w:r w:rsidRPr="00547D33">
        <w:rPr>
          <w:rFonts w:asciiTheme="majorBidi" w:hAnsiTheme="majorBidi" w:cstheme="majorBidi"/>
          <w:b/>
          <w:bCs/>
          <w:sz w:val="24"/>
          <w:szCs w:val="24"/>
        </w:rPr>
        <w:t xml:space="preserve">Figure S4. </w:t>
      </w:r>
      <w:r w:rsidRPr="00547D33">
        <w:rPr>
          <w:rFonts w:asciiTheme="majorBidi" w:hAnsiTheme="majorBidi" w:cstheme="majorBidi"/>
          <w:sz w:val="20"/>
          <w:szCs w:val="20"/>
        </w:rPr>
        <w:t>The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547D33">
        <w:rPr>
          <w:rFonts w:asciiTheme="majorBidi" w:hAnsiTheme="majorBidi" w:cstheme="majorBidi"/>
          <w:sz w:val="20"/>
          <w:szCs w:val="20"/>
        </w:rPr>
        <w:t>OPLS-DA model Variable Importance for Projection (VIP) scores plot</w:t>
      </w:r>
      <w:r w:rsidR="000515AB">
        <w:rPr>
          <w:rFonts w:asciiTheme="majorBidi" w:hAnsiTheme="majorBidi" w:cstheme="majorBidi"/>
          <w:sz w:val="20"/>
          <w:szCs w:val="20"/>
        </w:rPr>
        <w:t>.</w:t>
      </w:r>
    </w:p>
    <w:sectPr w:rsidR="00FB7840" w:rsidRPr="00253A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1E4528" w14:textId="77777777" w:rsidR="00136B3F" w:rsidRDefault="00136B3F" w:rsidP="001B039B">
      <w:pPr>
        <w:spacing w:after="0" w:line="240" w:lineRule="auto"/>
      </w:pPr>
      <w:r>
        <w:separator/>
      </w:r>
    </w:p>
  </w:endnote>
  <w:endnote w:type="continuationSeparator" w:id="0">
    <w:p w14:paraId="55C9F268" w14:textId="77777777" w:rsidR="00136B3F" w:rsidRDefault="00136B3F" w:rsidP="001B03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serif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BD343" w14:textId="77777777" w:rsidR="00136B3F" w:rsidRDefault="00136B3F" w:rsidP="001B039B">
      <w:pPr>
        <w:spacing w:after="0" w:line="240" w:lineRule="auto"/>
      </w:pPr>
      <w:r>
        <w:separator/>
      </w:r>
    </w:p>
  </w:footnote>
  <w:footnote w:type="continuationSeparator" w:id="0">
    <w:p w14:paraId="15A67165" w14:textId="77777777" w:rsidR="00136B3F" w:rsidRDefault="00136B3F" w:rsidP="001B03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171"/>
    <w:rsid w:val="000021C9"/>
    <w:rsid w:val="00012011"/>
    <w:rsid w:val="00027945"/>
    <w:rsid w:val="000515AB"/>
    <w:rsid w:val="0008284F"/>
    <w:rsid w:val="00083730"/>
    <w:rsid w:val="000922D7"/>
    <w:rsid w:val="000E3E43"/>
    <w:rsid w:val="00121D72"/>
    <w:rsid w:val="00136B3F"/>
    <w:rsid w:val="00140789"/>
    <w:rsid w:val="0017218F"/>
    <w:rsid w:val="001B039B"/>
    <w:rsid w:val="00210CD0"/>
    <w:rsid w:val="00253A57"/>
    <w:rsid w:val="00290400"/>
    <w:rsid w:val="002F1E92"/>
    <w:rsid w:val="003C5C76"/>
    <w:rsid w:val="00407EF0"/>
    <w:rsid w:val="004F3F8B"/>
    <w:rsid w:val="00547D33"/>
    <w:rsid w:val="005569FF"/>
    <w:rsid w:val="006A1C31"/>
    <w:rsid w:val="00771B30"/>
    <w:rsid w:val="00782201"/>
    <w:rsid w:val="007A7F3F"/>
    <w:rsid w:val="00823560"/>
    <w:rsid w:val="008C7B9D"/>
    <w:rsid w:val="00900784"/>
    <w:rsid w:val="00B51777"/>
    <w:rsid w:val="00B91142"/>
    <w:rsid w:val="00BC5291"/>
    <w:rsid w:val="00CB3B00"/>
    <w:rsid w:val="00CE4713"/>
    <w:rsid w:val="00CF3D5D"/>
    <w:rsid w:val="00D40171"/>
    <w:rsid w:val="00E412F1"/>
    <w:rsid w:val="00E86E20"/>
    <w:rsid w:val="00EA06AD"/>
    <w:rsid w:val="00EC4038"/>
    <w:rsid w:val="00F57E61"/>
    <w:rsid w:val="00F812A3"/>
    <w:rsid w:val="00F8609A"/>
    <w:rsid w:val="00FB7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C946A"/>
  <w15:chartTrackingRefBased/>
  <w15:docId w15:val="{C0B26B67-20C1-478F-BDBA-E2EAF348F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08284F"/>
    <w:pPr>
      <w:spacing w:after="0" w:line="240" w:lineRule="auto"/>
    </w:pPr>
    <w:rPr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8284F"/>
    <w:rPr>
      <w:kern w:val="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B03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039B"/>
  </w:style>
  <w:style w:type="paragraph" w:styleId="Footer">
    <w:name w:val="footer"/>
    <w:basedOn w:val="Normal"/>
    <w:link w:val="FooterChar"/>
    <w:uiPriority w:val="99"/>
    <w:unhideWhenUsed/>
    <w:rsid w:val="001B03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039B"/>
  </w:style>
  <w:style w:type="paragraph" w:customStyle="1" w:styleId="yiv2400040963msonormal">
    <w:name w:val="yiv2400040963msonormal"/>
    <w:basedOn w:val="Normal"/>
    <w:rsid w:val="00407E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845</TotalTime>
  <Pages>1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Milad Iranshahy</dc:creator>
  <cp:keywords/>
  <dc:description/>
  <cp:lastModifiedBy>Milad Iranshahy</cp:lastModifiedBy>
  <cp:revision>38</cp:revision>
  <dcterms:created xsi:type="dcterms:W3CDTF">2023-06-03T01:15:00Z</dcterms:created>
  <dcterms:modified xsi:type="dcterms:W3CDTF">2023-07-06T16:37:00Z</dcterms:modified>
</cp:coreProperties>
</file>