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7C68" w:rsidRDefault="00007C68" w:rsidP="00870601">
      <w:pPr>
        <w:spacing w:line="480" w:lineRule="auto"/>
        <w:jc w:val="both"/>
        <w:rPr>
          <w:rFonts w:asciiTheme="majorBidi" w:hAnsiTheme="majorBidi" w:cstheme="majorBidi"/>
          <w:b/>
          <w:bCs/>
          <w:sz w:val="24"/>
          <w:szCs w:val="24"/>
        </w:rPr>
      </w:pPr>
      <w:r>
        <w:rPr>
          <w:rFonts w:asciiTheme="majorBidi" w:hAnsiTheme="majorBidi" w:cstheme="majorBidi"/>
          <w:b/>
          <w:bCs/>
          <w:sz w:val="24"/>
          <w:szCs w:val="24"/>
        </w:rPr>
        <w:t>Supplementary Information</w:t>
      </w:r>
    </w:p>
    <w:p w:rsidR="00007C68" w:rsidRDefault="00007C68" w:rsidP="00007C68">
      <w:pPr>
        <w:spacing w:line="480" w:lineRule="auto"/>
        <w:jc w:val="both"/>
        <w:rPr>
          <w:rFonts w:asciiTheme="majorBidi" w:hAnsiTheme="majorBidi" w:cstheme="majorBidi"/>
          <w:i/>
          <w:iCs/>
          <w:sz w:val="24"/>
          <w:szCs w:val="24"/>
        </w:rPr>
      </w:pPr>
      <w:r w:rsidRPr="00007C68">
        <w:rPr>
          <w:rFonts w:asciiTheme="majorBidi" w:hAnsiTheme="majorBidi" w:cstheme="majorBidi"/>
          <w:i/>
          <w:iCs/>
          <w:sz w:val="24"/>
          <w:szCs w:val="24"/>
        </w:rPr>
        <w:t>Generation climate crisis, COVID-19, and Russia-</w:t>
      </w:r>
      <w:proofErr w:type="spellStart"/>
      <w:r w:rsidRPr="00007C68">
        <w:rPr>
          <w:rFonts w:asciiTheme="majorBidi" w:hAnsiTheme="majorBidi" w:cstheme="majorBidi"/>
          <w:i/>
          <w:iCs/>
          <w:sz w:val="24"/>
          <w:szCs w:val="24"/>
        </w:rPr>
        <w:t>Ukaine</w:t>
      </w:r>
      <w:proofErr w:type="spellEnd"/>
      <w:r w:rsidRPr="00007C68">
        <w:rPr>
          <w:rFonts w:asciiTheme="majorBidi" w:hAnsiTheme="majorBidi" w:cstheme="majorBidi"/>
          <w:i/>
          <w:iCs/>
          <w:sz w:val="24"/>
          <w:szCs w:val="24"/>
        </w:rPr>
        <w:t>-War– Global crises and mental health in adolescents</w:t>
      </w:r>
    </w:p>
    <w:p w:rsidR="00007C68" w:rsidRPr="00007C68" w:rsidRDefault="00007C68" w:rsidP="00007C68">
      <w:pPr>
        <w:spacing w:line="480" w:lineRule="auto"/>
        <w:jc w:val="both"/>
        <w:rPr>
          <w:rFonts w:asciiTheme="majorBidi" w:hAnsiTheme="majorBidi" w:cstheme="majorBidi"/>
          <w:sz w:val="24"/>
          <w:szCs w:val="24"/>
        </w:rPr>
      </w:pPr>
      <w:r>
        <w:rPr>
          <w:rFonts w:asciiTheme="majorBidi" w:hAnsiTheme="majorBidi" w:cstheme="majorBidi"/>
          <w:sz w:val="24"/>
          <w:szCs w:val="24"/>
        </w:rPr>
        <w:t>___________________________________________________________________________</w:t>
      </w:r>
    </w:p>
    <w:p w:rsidR="00870601" w:rsidRPr="00DA5413" w:rsidRDefault="00870601" w:rsidP="00870601">
      <w:pPr>
        <w:spacing w:line="480" w:lineRule="auto"/>
        <w:jc w:val="both"/>
        <w:rPr>
          <w:rFonts w:asciiTheme="majorBidi" w:hAnsiTheme="majorBidi" w:cstheme="majorBidi"/>
          <w:b/>
          <w:bCs/>
          <w:sz w:val="24"/>
          <w:szCs w:val="24"/>
        </w:rPr>
      </w:pPr>
      <w:r w:rsidRPr="00DA5413">
        <w:rPr>
          <w:rFonts w:asciiTheme="majorBidi" w:hAnsiTheme="majorBidi" w:cstheme="majorBidi"/>
          <w:b/>
          <w:bCs/>
          <w:sz w:val="24"/>
          <w:szCs w:val="24"/>
        </w:rPr>
        <w:t>Crisis-related distress</w:t>
      </w:r>
    </w:p>
    <w:p w:rsidR="00870601" w:rsidRPr="00DA5413" w:rsidRDefault="00870601" w:rsidP="00870601">
      <w:pPr>
        <w:pStyle w:val="HTMLVorformatiert"/>
        <w:spacing w:line="480" w:lineRule="auto"/>
        <w:jc w:val="both"/>
        <w:rPr>
          <w:rFonts w:asciiTheme="majorBidi" w:eastAsia="Times New Roman" w:hAnsiTheme="majorBidi" w:cstheme="majorBidi"/>
          <w:sz w:val="24"/>
          <w:szCs w:val="24"/>
          <w:lang w:val="en" w:eastAsia="de-DE"/>
        </w:rPr>
      </w:pPr>
      <w:r w:rsidRPr="00DA5413">
        <w:rPr>
          <w:rFonts w:asciiTheme="majorBidi" w:hAnsiTheme="majorBidi" w:cstheme="majorBidi"/>
          <w:sz w:val="24"/>
          <w:szCs w:val="24"/>
        </w:rPr>
        <w:t xml:space="preserve">Pandemic-related, </w:t>
      </w:r>
      <w:r>
        <w:rPr>
          <w:rFonts w:asciiTheme="majorBidi" w:hAnsiTheme="majorBidi" w:cstheme="majorBidi"/>
          <w:sz w:val="24"/>
          <w:szCs w:val="24"/>
        </w:rPr>
        <w:t>w</w:t>
      </w:r>
      <w:r w:rsidRPr="00DA5413">
        <w:rPr>
          <w:rFonts w:asciiTheme="majorBidi" w:hAnsiTheme="majorBidi" w:cstheme="majorBidi"/>
          <w:sz w:val="24"/>
          <w:szCs w:val="24"/>
        </w:rPr>
        <w:t xml:space="preserve">ar-related, and </w:t>
      </w:r>
      <w:r>
        <w:rPr>
          <w:rFonts w:asciiTheme="majorBidi" w:hAnsiTheme="majorBidi" w:cstheme="majorBidi"/>
          <w:sz w:val="24"/>
          <w:szCs w:val="24"/>
        </w:rPr>
        <w:t>c</w:t>
      </w:r>
      <w:r w:rsidRPr="00DA5413">
        <w:rPr>
          <w:rFonts w:asciiTheme="majorBidi" w:hAnsiTheme="majorBidi" w:cstheme="majorBidi"/>
          <w:sz w:val="24"/>
          <w:szCs w:val="24"/>
        </w:rPr>
        <w:t xml:space="preserve">limate-related distress were assessed with self-developed questionnaires. As a basis for </w:t>
      </w:r>
      <w:r>
        <w:rPr>
          <w:rFonts w:asciiTheme="majorBidi" w:hAnsiTheme="majorBidi" w:cstheme="majorBidi"/>
          <w:sz w:val="24"/>
          <w:szCs w:val="24"/>
        </w:rPr>
        <w:t>the</w:t>
      </w:r>
      <w:r w:rsidRPr="00DA5413">
        <w:rPr>
          <w:rFonts w:asciiTheme="majorBidi" w:hAnsiTheme="majorBidi" w:cstheme="majorBidi"/>
          <w:sz w:val="24"/>
          <w:szCs w:val="24"/>
        </w:rPr>
        <w:t xml:space="preserve"> questionnaires</w:t>
      </w:r>
      <w:r>
        <w:rPr>
          <w:rFonts w:asciiTheme="majorBidi" w:hAnsiTheme="majorBidi" w:cstheme="majorBidi"/>
          <w:sz w:val="24"/>
          <w:szCs w:val="24"/>
        </w:rPr>
        <w:t>,</w:t>
      </w:r>
      <w:r w:rsidRPr="00DA5413">
        <w:rPr>
          <w:rFonts w:asciiTheme="majorBidi" w:hAnsiTheme="majorBidi" w:cstheme="majorBidi"/>
          <w:sz w:val="24"/>
          <w:szCs w:val="24"/>
        </w:rPr>
        <w:t xml:space="preserve"> we used </w:t>
      </w:r>
      <w:r w:rsidRPr="00DA5413">
        <w:rPr>
          <w:rFonts w:asciiTheme="majorBidi" w:eastAsia="Times New Roman" w:hAnsiTheme="majorBidi" w:cstheme="majorBidi"/>
          <w:sz w:val="24"/>
          <w:szCs w:val="24"/>
        </w:rPr>
        <w:t>previously established questionnaires on climate anxiety (</w:t>
      </w:r>
      <w:r w:rsidRPr="00DA5413">
        <w:rPr>
          <w:rFonts w:asciiTheme="majorBidi" w:eastAsia="Times New Roman" w:hAnsiTheme="majorBidi" w:cstheme="majorBidi"/>
          <w:sz w:val="24"/>
          <w:szCs w:val="24"/>
        </w:rPr>
        <w:fldChar w:fldCharType="begin"/>
      </w:r>
      <w:r w:rsidRPr="00DA5413">
        <w:rPr>
          <w:rFonts w:asciiTheme="majorBidi" w:eastAsia="Times New Roman" w:hAnsiTheme="majorBidi" w:cstheme="majorBidi"/>
          <w:sz w:val="24"/>
          <w:szCs w:val="24"/>
        </w:rPr>
        <w:instrText xml:space="preserve"> ADDIN EN.CITE &lt;EndNote&gt;&lt;Cite Hidden="1"&gt;&lt;Author&gt;Hickman&lt;/Author&gt;&lt;Year&gt;2021&lt;/Year&gt;&lt;RecNum&gt;77&lt;/RecNum&gt;&lt;record&gt;&lt;rec-number&gt;77&lt;/rec-number&gt;&lt;foreign-keys&gt;&lt;key app="EN" db-id="z25x20afprpt07eptpwpzxx3wep0v2dedzvp" timestamp="1686819990"&gt;77&lt;/key&gt;&lt;/foreign-keys&gt;&lt;ref-type name="Journal Article"&gt;17&lt;/ref-type&gt;&lt;contributors&gt;&lt;authors&gt;&lt;author&gt;Hickman, Caroline&lt;/author&gt;&lt;author&gt;Marks, Elizabeth&lt;/author&gt;&lt;author&gt;Pihkala, Panu&lt;/author&gt;&lt;author&gt;Clayton, Susan&lt;/author&gt;&lt;author&gt;Lewandowski, R Eric&lt;/author&gt;&lt;author&gt;Mayall, Elouise E&lt;/author&gt;&lt;author&gt;Wray, Britt&lt;/author&gt;&lt;author&gt;Mellor, Catriona&lt;/author&gt;&lt;author&gt;van Susteren, Lise&lt;/author&gt;&lt;/authors&gt;&lt;/contributors&gt;&lt;titles&gt;&lt;title&gt;Climate anxiety in children and young people and their beliefs about government responses to climate change: a global survey&lt;/title&gt;&lt;secondary-title&gt;The Lancet Planetary Health&lt;/secondary-title&gt;&lt;/titles&gt;&lt;periodical&gt;&lt;full-title&gt;The Lancet Planetary Health&lt;/full-title&gt;&lt;/periodical&gt;&lt;pages&gt;e863-e873&lt;/pages&gt;&lt;volume&gt;5&lt;/volume&gt;&lt;number&gt;12&lt;/number&gt;&lt;dates&gt;&lt;year&gt;2021&lt;/year&gt;&lt;/dates&gt;&lt;isbn&gt;2542-5196&lt;/isbn&gt;&lt;urls&gt;&lt;/urls&gt;&lt;/record&gt;&lt;/Cite&gt;&lt;/EndNote&gt;</w:instrText>
      </w:r>
      <w:r w:rsidRPr="00DA5413">
        <w:rPr>
          <w:rFonts w:asciiTheme="majorBidi" w:eastAsia="Times New Roman" w:hAnsiTheme="majorBidi" w:cstheme="majorBidi"/>
          <w:sz w:val="24"/>
          <w:szCs w:val="24"/>
        </w:rPr>
        <w:fldChar w:fldCharType="end"/>
      </w:r>
      <w:r>
        <w:rPr>
          <w:rFonts w:asciiTheme="majorBidi" w:eastAsia="Times New Roman" w:hAnsiTheme="majorBidi" w:cstheme="majorBidi"/>
          <w:sz w:val="24"/>
          <w:szCs w:val="24"/>
        </w:rPr>
        <w:t>H</w:t>
      </w:r>
      <w:r w:rsidRPr="00DA5413">
        <w:rPr>
          <w:rFonts w:asciiTheme="majorBidi" w:eastAsia="Times New Roman" w:hAnsiTheme="majorBidi" w:cstheme="majorBidi"/>
          <w:sz w:val="24"/>
          <w:szCs w:val="24"/>
        </w:rPr>
        <w:t>ickman et al. 2021), fear of war (</w:t>
      </w:r>
      <w:r w:rsidRPr="00DA5413">
        <w:rPr>
          <w:rFonts w:asciiTheme="majorBidi" w:eastAsia="Times New Roman" w:hAnsiTheme="majorBidi" w:cstheme="majorBidi"/>
          <w:sz w:val="24"/>
          <w:szCs w:val="24"/>
        </w:rPr>
        <w:fldChar w:fldCharType="begin"/>
      </w:r>
      <w:r w:rsidRPr="00DA5413">
        <w:rPr>
          <w:rFonts w:asciiTheme="majorBidi" w:eastAsia="Times New Roman" w:hAnsiTheme="majorBidi" w:cstheme="majorBidi"/>
          <w:sz w:val="24"/>
          <w:szCs w:val="24"/>
        </w:rPr>
        <w:instrText xml:space="preserve"> ADDIN ZOTERO_ITEM CSL_CITATION {"citationID":"2G3WqfKB","properties":{"formattedCitation":"(Summers &amp; Winefield, 2009)","plainCitation":"(Summers &amp; Winefield, 2009)","noteIndex":0},"citationItems":[{"id":4133,"uris":["http://zotero.org/groups/4681412/items/QVY3D845"],"itemData":{"id":4133,"type":"article-journal","container-title":"Journal of Children and Media","DOI":"http://dx.doi.org/10.1080/17482790902772281","issue":"2","page":"166-184","title":"Anxiety about war and terrorism in australian high-schol children","volume":"3","author":[{"family":"Summers","given":"J."},{"family":"Winefield","given":"H."}],"issued":{"date-parts":[["2009"]]}}}],"schema":"https://github.com/citation-style-language/schema/raw/master/csl-citation.json"} </w:instrText>
      </w:r>
      <w:r w:rsidRPr="00DA5413">
        <w:rPr>
          <w:rFonts w:asciiTheme="majorBidi" w:eastAsia="Times New Roman" w:hAnsiTheme="majorBidi" w:cstheme="majorBidi"/>
          <w:sz w:val="24"/>
          <w:szCs w:val="24"/>
        </w:rPr>
        <w:fldChar w:fldCharType="separate"/>
      </w:r>
      <w:r w:rsidRPr="00DA5413">
        <w:rPr>
          <w:rFonts w:ascii="Times New Roman" w:hAnsi="Times New Roman" w:cs="Times New Roman"/>
          <w:sz w:val="24"/>
        </w:rPr>
        <w:t xml:space="preserve"> Summers &amp; Winefield, 2009)</w:t>
      </w:r>
      <w:r w:rsidRPr="00DA5413">
        <w:rPr>
          <w:rFonts w:asciiTheme="majorBidi" w:eastAsia="Times New Roman" w:hAnsiTheme="majorBidi" w:cstheme="majorBidi"/>
          <w:sz w:val="24"/>
          <w:szCs w:val="24"/>
        </w:rPr>
        <w:fldChar w:fldCharType="end"/>
      </w:r>
      <w:r w:rsidRPr="00DA5413">
        <w:rPr>
          <w:rFonts w:asciiTheme="majorBidi" w:eastAsia="Times New Roman" w:hAnsiTheme="majorBidi" w:cstheme="majorBidi"/>
          <w:sz w:val="24"/>
          <w:szCs w:val="24"/>
        </w:rPr>
        <w:t xml:space="preserve"> </w:t>
      </w:r>
      <w:r w:rsidRPr="00DA5413">
        <w:rPr>
          <w:rFonts w:asciiTheme="majorBidi" w:eastAsia="Times New Roman" w:hAnsiTheme="majorBidi" w:cstheme="majorBidi"/>
          <w:sz w:val="24"/>
          <w:szCs w:val="24"/>
        </w:rPr>
        <w:fldChar w:fldCharType="begin"/>
      </w:r>
      <w:r w:rsidRPr="00DA5413">
        <w:rPr>
          <w:rFonts w:asciiTheme="majorBidi" w:eastAsia="Times New Roman" w:hAnsiTheme="majorBidi" w:cstheme="majorBidi"/>
          <w:sz w:val="24"/>
          <w:szCs w:val="24"/>
        </w:rPr>
        <w:instrText xml:space="preserve"> ADDIN EN.CITE &lt;EndNote&gt;&lt;Cite Hidden="1"&gt;&lt;Author&gt;Summers&lt;/Author&gt;&lt;Year&gt;2009&lt;/Year&gt;&lt;RecNum&gt;96&lt;/RecNum&gt;&lt;record&gt;&lt;rec-number&gt;96&lt;/rec-number&gt;&lt;foreign-keys&gt;&lt;key app="EN" db-id="z25x20afprpt07eptpwpzxx3wep0v2dedzvp" timestamp="1686821431"&gt;96&lt;/key&gt;&lt;/foreign-keys&gt;&lt;ref-type name="Journal Article"&gt;17&lt;/ref-type&gt;&lt;contributors&gt;&lt;authors&gt;&lt;author&gt;Summers, Juliet&lt;/author&gt;&lt;author&gt;Winefield, Helen&lt;/author&gt;&lt;/authors&gt;&lt;/contributors&gt;&lt;titles&gt;&lt;title&gt;ANXIETY ABOUT WAR AND TERRORISM IN AUSTRALIAN HIGH‐SCHOOL CHILDREN&lt;/title&gt;&lt;secondary-title&gt;Journal of children and media&lt;/secondary-title&gt;&lt;/titles&gt;&lt;periodical&gt;&lt;full-title&gt;Journal of children and media&lt;/full-title&gt;&lt;/periodical&gt;&lt;pages&gt;166-184&lt;/pages&gt;&lt;volume&gt;3&lt;/volume&gt;&lt;number&gt;2&lt;/number&gt;&lt;dates&gt;&lt;year&gt;2009&lt;/year&gt;&lt;/dates&gt;&lt;isbn&gt;1748-2798&lt;/isbn&gt;&lt;urls&gt;&lt;/urls&gt;&lt;/record&gt;&lt;/Cite&gt;&lt;/EndNote&gt;</w:instrText>
      </w:r>
      <w:r w:rsidRPr="00DA5413">
        <w:rPr>
          <w:rFonts w:asciiTheme="majorBidi" w:eastAsia="Times New Roman" w:hAnsiTheme="majorBidi" w:cstheme="majorBidi"/>
          <w:sz w:val="24"/>
          <w:szCs w:val="24"/>
        </w:rPr>
        <w:fldChar w:fldCharType="end"/>
      </w:r>
      <w:r w:rsidRPr="00DA5413">
        <w:rPr>
          <w:rFonts w:asciiTheme="majorBidi" w:eastAsia="Times New Roman" w:hAnsiTheme="majorBidi" w:cstheme="majorBidi"/>
          <w:sz w:val="24"/>
          <w:szCs w:val="24"/>
        </w:rPr>
        <w:t xml:space="preserve">and burden during the Covid-19 pandemic </w:t>
      </w:r>
      <w:r w:rsidRPr="00DA5413">
        <w:rPr>
          <w:rFonts w:asciiTheme="majorBidi" w:eastAsia="Times New Roman" w:hAnsiTheme="majorBidi" w:cstheme="majorBidi"/>
          <w:sz w:val="24"/>
          <w:szCs w:val="24"/>
        </w:rPr>
        <w:fldChar w:fldCharType="begin"/>
      </w:r>
      <w:r w:rsidRPr="00DA5413">
        <w:rPr>
          <w:rFonts w:asciiTheme="majorBidi" w:eastAsia="Times New Roman" w:hAnsiTheme="majorBidi" w:cstheme="majorBidi"/>
          <w:sz w:val="24"/>
          <w:szCs w:val="24"/>
        </w:rPr>
        <w:instrText xml:space="preserve"> ADDIN EN.CITE &lt;EndNote&gt;&lt;Cite&gt;&lt;Author&gt;Ravens-Sieberer&lt;/Author&gt;&lt;Year&gt;2022&lt;/Year&gt;&lt;RecNum&gt;3&lt;/RecNum&gt;&lt;DisplayText&gt;(Ravens-Sieberer, Erhart, et al., 2022)&lt;/DisplayText&gt;&lt;record&gt;&lt;rec-number&gt;3&lt;/rec-number&gt;&lt;foreign-keys&gt;&lt;key app="EN" db-id="599d0eer75txw9e9zfmvdxdhvefv0zf2ws2x" timestamp="1686818251"&gt;3&lt;/key&gt;&lt;/foreign-keys&gt;&lt;ref-type name="Journal Article"&gt;17&lt;/ref-type&gt;&lt;contributors&gt;&lt;authors&gt;&lt;author&gt;Ravens-Sieberer, Ulrike&lt;/author&gt;&lt;author&gt;Erhart, Michael&lt;/author&gt;&lt;author&gt;Devine, Janine&lt;/author&gt;&lt;author&gt;Gilbert, Martha&lt;/author&gt;&lt;author&gt;Reiss, Franziska&lt;/author&gt;&lt;author&gt;Barkmann, Claus&lt;/author&gt;&lt;author&gt;Siegel, Nico A&lt;/author&gt;&lt;author&gt;Simon, Anja M&lt;/author&gt;&lt;author&gt;Hurrelmann, Klaus&lt;/author&gt;&lt;author&gt;Schlack, Robert&lt;/author&gt;&lt;/authors&gt;&lt;/contributors&gt;&lt;titles&gt;&lt;title&gt;Child and adolescent mental health during the COVID-19 pandemic: results of the three-wave longitudinal COPSY study&lt;/title&gt;&lt;secondary-title&gt;Journal of Adolescent Health&lt;/secondary-title&gt;&lt;/titles&gt;&lt;pages&gt;570-578&lt;/pages&gt;&lt;volume&gt;71&lt;/volume&gt;&lt;number&gt;5&lt;/number&gt;&lt;dates&gt;&lt;year&gt;2022&lt;/year&gt;&lt;/dates&gt;&lt;isbn&gt;1054-139X&lt;/isbn&gt;&lt;urls&gt;&lt;/urls&gt;&lt;/record&gt;&lt;/Cite&gt;&lt;/EndNote&gt;</w:instrText>
      </w:r>
      <w:r w:rsidRPr="00DA5413">
        <w:rPr>
          <w:rFonts w:asciiTheme="majorBidi" w:eastAsia="Times New Roman" w:hAnsiTheme="majorBidi" w:cstheme="majorBidi"/>
          <w:sz w:val="24"/>
          <w:szCs w:val="24"/>
        </w:rPr>
        <w:fldChar w:fldCharType="separate"/>
      </w:r>
      <w:r w:rsidRPr="00DA5413">
        <w:rPr>
          <w:rFonts w:asciiTheme="majorBidi" w:eastAsia="Times New Roman" w:hAnsiTheme="majorBidi" w:cstheme="majorBidi"/>
          <w:noProof/>
          <w:sz w:val="24"/>
          <w:szCs w:val="24"/>
        </w:rPr>
        <w:t>(Ravens-Sieberer, Erhart, et al., 2022)</w:t>
      </w:r>
      <w:r w:rsidRPr="00DA5413">
        <w:rPr>
          <w:rFonts w:asciiTheme="majorBidi" w:eastAsia="Times New Roman" w:hAnsiTheme="majorBidi" w:cstheme="majorBidi"/>
          <w:sz w:val="24"/>
          <w:szCs w:val="24"/>
        </w:rPr>
        <w:fldChar w:fldCharType="end"/>
      </w:r>
      <w:r w:rsidRPr="00DA5413">
        <w:rPr>
          <w:rFonts w:asciiTheme="majorBidi" w:eastAsia="Times New Roman" w:hAnsiTheme="majorBidi" w:cstheme="majorBidi"/>
          <w:sz w:val="24"/>
          <w:szCs w:val="24"/>
        </w:rPr>
        <w:t>.</w:t>
      </w:r>
    </w:p>
    <w:p w:rsidR="00870601" w:rsidRPr="00DA5413" w:rsidRDefault="00870601" w:rsidP="00870601">
      <w:pPr>
        <w:pStyle w:val="HTMLVorformatiert"/>
        <w:spacing w:line="480" w:lineRule="auto"/>
        <w:jc w:val="both"/>
        <w:rPr>
          <w:rFonts w:asciiTheme="majorBidi" w:eastAsia="Times New Roman" w:hAnsiTheme="majorBidi" w:cstheme="majorBidi"/>
          <w:sz w:val="24"/>
          <w:szCs w:val="24"/>
          <w:lang w:val="en" w:eastAsia="de-DE"/>
        </w:rPr>
      </w:pPr>
      <w:r w:rsidRPr="00DA5413">
        <w:rPr>
          <w:rFonts w:asciiTheme="majorBidi" w:eastAsia="Times New Roman" w:hAnsiTheme="majorBidi" w:cstheme="majorBidi"/>
          <w:sz w:val="24"/>
          <w:szCs w:val="24"/>
        </w:rPr>
        <w:t>The self-developed questionnaires consisted of the same questions for each crisis</w:t>
      </w:r>
      <w:r>
        <w:rPr>
          <w:rFonts w:asciiTheme="majorBidi" w:eastAsia="Times New Roman" w:hAnsiTheme="majorBidi" w:cstheme="majorBidi"/>
          <w:sz w:val="24"/>
          <w:szCs w:val="24"/>
        </w:rPr>
        <w:t>,</w:t>
      </w:r>
      <w:r w:rsidRPr="00DA5413">
        <w:rPr>
          <w:rFonts w:asciiTheme="majorBidi" w:eastAsia="Times New Roman" w:hAnsiTheme="majorBidi" w:cstheme="majorBidi"/>
          <w:sz w:val="24"/>
          <w:szCs w:val="24"/>
        </w:rPr>
        <w:t xml:space="preserve"> which were answered on a 5-point Likert scale (perceived overall burden due to the crisis, affective reactions in response to the crisis, and impact of the crisis on psychosocial functioning). Detailed information can be found in the supplementary material. </w:t>
      </w:r>
    </w:p>
    <w:p w:rsidR="00870601" w:rsidRPr="00DA5413" w:rsidRDefault="00870601" w:rsidP="00870601">
      <w:pPr>
        <w:pStyle w:val="HTMLVorformatiert"/>
        <w:spacing w:line="480" w:lineRule="auto"/>
        <w:jc w:val="both"/>
        <w:rPr>
          <w:rFonts w:asciiTheme="majorBidi" w:eastAsia="Times New Roman" w:hAnsiTheme="majorBidi" w:cstheme="majorBidi"/>
          <w:b/>
          <w:bCs/>
          <w:sz w:val="24"/>
          <w:szCs w:val="24"/>
          <w:lang w:eastAsia="de-DE"/>
        </w:rPr>
      </w:pPr>
      <w:r w:rsidRPr="00DA5413">
        <w:rPr>
          <w:rFonts w:asciiTheme="majorBidi" w:eastAsia="Times New Roman" w:hAnsiTheme="majorBidi" w:cstheme="majorBidi"/>
          <w:b/>
          <w:bCs/>
          <w:sz w:val="24"/>
          <w:szCs w:val="24"/>
        </w:rPr>
        <w:t xml:space="preserve">Psychopathological Symptoms </w:t>
      </w:r>
    </w:p>
    <w:p w:rsidR="00870601" w:rsidRPr="00DA5413" w:rsidRDefault="00870601" w:rsidP="00870601">
      <w:pPr>
        <w:pStyle w:val="HTMLVorformatiert"/>
        <w:spacing w:line="480" w:lineRule="auto"/>
        <w:jc w:val="both"/>
        <w:rPr>
          <w:rFonts w:asciiTheme="majorBidi" w:eastAsia="Times New Roman" w:hAnsiTheme="majorBidi" w:cstheme="majorBidi"/>
          <w:b/>
          <w:bCs/>
          <w:i/>
          <w:iCs/>
          <w:sz w:val="24"/>
          <w:szCs w:val="24"/>
          <w:lang w:eastAsia="de-DE"/>
        </w:rPr>
      </w:pPr>
      <w:r w:rsidRPr="00DA5413">
        <w:rPr>
          <w:rFonts w:asciiTheme="majorBidi" w:eastAsia="Times New Roman" w:hAnsiTheme="majorBidi" w:cstheme="majorBidi"/>
          <w:b/>
          <w:bCs/>
          <w:i/>
          <w:iCs/>
          <w:sz w:val="24"/>
          <w:szCs w:val="24"/>
        </w:rPr>
        <w:t>Depression (PHQ-9-A)</w:t>
      </w:r>
    </w:p>
    <w:p w:rsidR="00870601" w:rsidRPr="00DA5413" w:rsidRDefault="00870601" w:rsidP="00870601">
      <w:pPr>
        <w:pStyle w:val="HTMLVorformatiert"/>
        <w:spacing w:line="480" w:lineRule="auto"/>
        <w:jc w:val="both"/>
        <w:rPr>
          <w:rFonts w:asciiTheme="majorBidi" w:eastAsia="Times New Roman" w:hAnsiTheme="majorBidi" w:cstheme="majorBidi"/>
          <w:sz w:val="24"/>
          <w:szCs w:val="24"/>
          <w:lang w:eastAsia="de-DE"/>
        </w:rPr>
      </w:pPr>
      <w:r w:rsidRPr="00DA5413">
        <w:rPr>
          <w:rFonts w:asciiTheme="majorBidi" w:eastAsia="Times New Roman" w:hAnsiTheme="majorBidi" w:cstheme="majorBidi"/>
          <w:sz w:val="24"/>
          <w:szCs w:val="24"/>
        </w:rPr>
        <w:t xml:space="preserve">The Patient Health questionnaire (modified for Adolescent) </w:t>
      </w:r>
      <w:r w:rsidRPr="00DA5413">
        <w:rPr>
          <w:rFonts w:asciiTheme="majorBidi" w:eastAsia="Times New Roman" w:hAnsiTheme="majorBidi" w:cstheme="majorBidi"/>
          <w:sz w:val="24"/>
          <w:szCs w:val="24"/>
        </w:rPr>
        <w:fldChar w:fldCharType="begin"/>
      </w:r>
      <w:r w:rsidRPr="00DA5413">
        <w:rPr>
          <w:rFonts w:asciiTheme="majorBidi" w:eastAsia="Times New Roman" w:hAnsiTheme="majorBidi" w:cstheme="majorBidi"/>
          <w:sz w:val="24"/>
          <w:szCs w:val="24"/>
        </w:rPr>
        <w:instrText xml:space="preserve"> ADDIN ZOTERO_ITEM CSL_CITATION {"citationID":"Hycy5FqD","properties":{"formattedCitation":"(Nandakumar et al., 2019)","plainCitation":"(Nandakumar et al., 2019)","noteIndex":0},"citationItems":[{"id":4134,"uris":["http://zotero.org/groups/4681412/items/7YWRJ5LS"],"itemData":{"id":4134,"type":"article-journal","abstract":"Objectives: The Patient Health Questionnaire-9 Modified (PHQ-9M) is a self-report tool used to assess the presence and severity of depressive symptoms in teenagers. Despite widespread use in primary care clinics and psychiatric settings, the PHQ-9M has not been validated nor are its psychometric properties adequately understood for the adolescent population. This study sought to examine the psychometrics of the PHQ-9M in treatment-seeking, depressed adolescents at a psychiatric psychopharmacology clinic who were concurrently assessed with the Children's Depression Rating Scale Revised (CDRS-R) and Quick Inventory of Depressive Symptomatology-Adolescent (17-item) Self-Report (QIDS-A17-SR)., Methods: Adolescents (N = 160) aged 13 through 18 years with a diagnosis of major depressive disorder, determined on the basis of a clinical interview and semi-structured interview using the Kiddie Schedule for Affective Disorders and Schizophrenia—Present and Lifetime Version, were assessed for severity of depressive symptoms with the PHQ-9M, CDRS-R (adolescent interview only), and QIDS-A17-SR assessments at baseline, 4, and 8 weeks. Classical test theory analysis was used to evaluate the internal consistency and dimensionality of the PHQ-9M. Convergent validity was evaluated via intraclass correlations of the PHQ-9M with the CDRS-R and QIDS-A17-SR. Sensitivity to treatment response was also evaluated., Results: The internal consistency (Cronbach's coefficient α) at baseline, 4, and 8 weeks was 0.879, 0.859, and 0.827 for the PHQ-9M; 0.739, 0.835, and 0.867 for CDRS-R; and 0.712, 0.777, and 0.804 for QIDS-A17-SR, respectively. The PHQ-9M had moderate convergent validity with the CDRS-R but good convergent validity with the QIDS-A17-SR. The PHQ-9M was less sensitive to changes in symptom severity than the CDRS-R and QIDS-A17-SR., Conclusions: The PHQ-9M appears to be a valid and reliable assessment tool for the severity of depressive symptoms in a psychiatric clinic setting. However, its utility as a treatment outcome measure may be limited compared with other available rating scales.","container-title":"Journal of Child and Adolescent Psychopharmacology","DOI":"10.1089/cap.2018.0112","ISSN":"1044-5463","issue":"1","journalAbbreviation":"J Child Adolesc Psychopharmacol","note":"PMID: 30388048\nPMCID: PMC6354604","page":"34-40","source":"PubMed Central","title":"Psychometric Properties of the Patient Health Questionnaire-9 Modified for Major Depressive Disorder in Adolescents","volume":"29","author":[{"family":"Nandakumar","given":"Aiswarya Laks"},{"family":"Vande Voort","given":"Jennifer L."},{"family":"Nakonezny","given":"Paul A."},{"family":"Orth","given":"Scott S."},{"family":"Romanowicz","given":"Magdalena"},{"family":"Sonmez","given":"Ayse Irem"},{"family":"Ward","given":"Jessica A."},{"family":"Rackley","given":"Sandra J."},{"family":"Huxsahl","given":"John E."},{"family":"Croarkin","given":"Paul E."}],"issued":{"date-parts":[["2019",2,1]]}}}],"schema":"https://github.com/citation-style-language/schema/raw/master/csl-citation.json"} </w:instrText>
      </w:r>
      <w:r w:rsidRPr="00DA5413">
        <w:rPr>
          <w:rFonts w:asciiTheme="majorBidi" w:eastAsia="Times New Roman" w:hAnsiTheme="majorBidi" w:cstheme="majorBidi"/>
          <w:sz w:val="24"/>
          <w:szCs w:val="24"/>
        </w:rPr>
        <w:fldChar w:fldCharType="separate"/>
      </w:r>
      <w:r w:rsidRPr="00DA5413">
        <w:rPr>
          <w:rFonts w:ascii="Times New Roman" w:hAnsi="Times New Roman" w:cs="Times New Roman"/>
          <w:sz w:val="24"/>
        </w:rPr>
        <w:t>(Nandakumar et al., 2019)</w:t>
      </w:r>
      <w:r w:rsidRPr="00DA5413">
        <w:rPr>
          <w:rFonts w:asciiTheme="majorBidi" w:eastAsia="Times New Roman" w:hAnsiTheme="majorBidi" w:cstheme="majorBidi"/>
          <w:sz w:val="24"/>
          <w:szCs w:val="24"/>
        </w:rPr>
        <w:fldChar w:fldCharType="end"/>
      </w:r>
      <w:r w:rsidRPr="00DA5413">
        <w:rPr>
          <w:rFonts w:asciiTheme="majorBidi" w:eastAsia="Times New Roman" w:hAnsiTheme="majorBidi" w:cstheme="majorBidi"/>
          <w:sz w:val="24"/>
          <w:szCs w:val="24"/>
        </w:rPr>
        <w:t xml:space="preserve"> was used to assess depressive symptoms on the basis of 9-items on a 4-point Likert scale (not at all - nearly every day). We calculated the m</w:t>
      </w:r>
      <w:r>
        <w:rPr>
          <w:rFonts w:asciiTheme="majorBidi" w:eastAsia="Times New Roman" w:hAnsiTheme="majorBidi" w:cstheme="majorBidi"/>
          <w:sz w:val="24"/>
          <w:szCs w:val="24"/>
        </w:rPr>
        <w:t>e</w:t>
      </w:r>
      <w:r w:rsidRPr="00DA5413">
        <w:rPr>
          <w:rFonts w:asciiTheme="majorBidi" w:eastAsia="Times New Roman" w:hAnsiTheme="majorBidi" w:cstheme="majorBidi"/>
          <w:sz w:val="24"/>
          <w:szCs w:val="24"/>
        </w:rPr>
        <w:t xml:space="preserve">an </w:t>
      </w:r>
      <w:r>
        <w:rPr>
          <w:rFonts w:asciiTheme="majorBidi" w:eastAsia="Times New Roman" w:hAnsiTheme="majorBidi" w:cstheme="majorBidi"/>
          <w:sz w:val="24"/>
          <w:szCs w:val="24"/>
        </w:rPr>
        <w:t xml:space="preserve">response </w:t>
      </w:r>
      <w:r w:rsidRPr="00DA5413">
        <w:rPr>
          <w:rFonts w:asciiTheme="majorBidi" w:eastAsia="Times New Roman" w:hAnsiTheme="majorBidi" w:cstheme="majorBidi"/>
          <w:sz w:val="24"/>
          <w:szCs w:val="24"/>
        </w:rPr>
        <w:t>for all further analyses, allowing for a maximum of 20% missing responses.</w:t>
      </w:r>
    </w:p>
    <w:p w:rsidR="00870601" w:rsidRPr="00DA5413" w:rsidRDefault="00870601" w:rsidP="00870601">
      <w:pPr>
        <w:pStyle w:val="HTMLVorformatiert"/>
        <w:spacing w:line="480" w:lineRule="auto"/>
        <w:jc w:val="both"/>
        <w:rPr>
          <w:rFonts w:asciiTheme="majorBidi" w:eastAsia="Times New Roman" w:hAnsiTheme="majorBidi" w:cstheme="majorBidi"/>
          <w:b/>
          <w:bCs/>
          <w:i/>
          <w:iCs/>
          <w:sz w:val="24"/>
          <w:szCs w:val="24"/>
          <w:lang w:eastAsia="de-DE"/>
        </w:rPr>
      </w:pPr>
      <w:r w:rsidRPr="00DA5413">
        <w:rPr>
          <w:rFonts w:asciiTheme="majorBidi" w:eastAsia="Times New Roman" w:hAnsiTheme="majorBidi" w:cstheme="majorBidi"/>
          <w:b/>
          <w:bCs/>
          <w:i/>
          <w:iCs/>
          <w:sz w:val="24"/>
          <w:szCs w:val="24"/>
        </w:rPr>
        <w:t>Generalized Anxiety (SCARED)</w:t>
      </w:r>
    </w:p>
    <w:p w:rsidR="00870601" w:rsidRPr="00DA5413" w:rsidRDefault="00870601" w:rsidP="00870601">
      <w:pPr>
        <w:pStyle w:val="HTMLVorformatiert"/>
        <w:spacing w:line="480" w:lineRule="auto"/>
        <w:jc w:val="both"/>
        <w:rPr>
          <w:rFonts w:asciiTheme="majorBidi" w:eastAsia="Times New Roman" w:hAnsiTheme="majorBidi" w:cstheme="majorBidi"/>
          <w:sz w:val="24"/>
          <w:szCs w:val="24"/>
          <w:lang w:eastAsia="de-DE"/>
        </w:rPr>
      </w:pPr>
      <w:r w:rsidRPr="00DA5413">
        <w:rPr>
          <w:rFonts w:asciiTheme="majorBidi" w:eastAsia="STIX-Regular" w:hAnsiTheme="majorBidi" w:cstheme="majorBidi"/>
          <w:color w:val="000000" w:themeColor="text1"/>
          <w:sz w:val="24"/>
          <w:szCs w:val="24"/>
        </w:rPr>
        <w:t xml:space="preserve">The Generalized Anxiety subscale of the German version of the Screen for Child Anxiety Related Disorders (SCARED) </w:t>
      </w:r>
      <w:r w:rsidRPr="00DA5413">
        <w:rPr>
          <w:rFonts w:asciiTheme="majorBidi" w:eastAsia="STIX-Regular" w:hAnsiTheme="majorBidi" w:cstheme="majorBidi"/>
          <w:color w:val="000000" w:themeColor="text1"/>
          <w:sz w:val="24"/>
          <w:szCs w:val="24"/>
        </w:rPr>
        <w:fldChar w:fldCharType="begin"/>
      </w:r>
      <w:r w:rsidRPr="00DA5413">
        <w:rPr>
          <w:rFonts w:asciiTheme="majorBidi" w:eastAsia="STIX-Regular" w:hAnsiTheme="majorBidi" w:cstheme="majorBidi"/>
          <w:color w:val="000000" w:themeColor="text1"/>
          <w:sz w:val="24"/>
          <w:szCs w:val="24"/>
        </w:rPr>
        <w:instrText xml:space="preserve"> ADDIN ZOTERO_ITEM CSL_CITATION {"citationID":"YuSUOtrS","properties":{"formattedCitation":"(Weitkamp et al., 2010)","plainCitation":"(Weitkamp et al., 2010)","noteIndex":0},"citationItems":[{"id":4137,"uris":["http://zotero.org/groups/4681412/items/UH3LHVXI"],"itemData":{"id":4137,"type":"article-journal","abstract":"The psychometric properties and cross-informant agreement of a German translation of the Screen for Child Anxiety Related Emotional Disorders (SCARED) were assessed in a clinical sample","container-title":"Child and Adolescent Psychiatry and Mental Health","DOI":"10.1186/1753-2000-4-19","ISSN":"1753-2000","issue":"1","journalAbbreviation":"Child Adolesc Psychiatry Ment Health","language":"en","page":"19","source":"Springer Link","title":"German Screen for Child Anxiety Related Emotional Disorders (SCARED): Reliability, Validity, and Cross-Informant Agreement in a Clinical Sample","title-short":"German Screen for Child Anxiety Related Emotional Disorders (SCARED)","volume":"4","author":[{"family":"Weitkamp","given":"Katharina"},{"family":"Romer","given":"Georg"},{"family":"Rosenthal","given":"Sandra"},{"family":"Wiegand-Grefe","given":"Silke"},{"family":"Daniels","given":"Judith"}],"issued":{"date-parts":[["2010",6,30]]}}}],"schema":"https://github.com/citation-style-language/schema/raw/master/csl-citation.json"} </w:instrText>
      </w:r>
      <w:r w:rsidRPr="00DA5413">
        <w:rPr>
          <w:rFonts w:asciiTheme="majorBidi" w:eastAsia="STIX-Regular" w:hAnsiTheme="majorBidi" w:cstheme="majorBidi"/>
          <w:color w:val="000000" w:themeColor="text1"/>
          <w:sz w:val="24"/>
          <w:szCs w:val="24"/>
        </w:rPr>
        <w:fldChar w:fldCharType="separate"/>
      </w:r>
      <w:r w:rsidRPr="00DA5413">
        <w:rPr>
          <w:rFonts w:ascii="Times New Roman" w:eastAsia="STIX-Regular" w:hAnsi="Times New Roman" w:cs="Times New Roman"/>
          <w:color w:val="000000" w:themeColor="text1"/>
          <w:sz w:val="24"/>
          <w:szCs w:val="24"/>
        </w:rPr>
        <w:t>(Weitkamp et al., 2010)</w:t>
      </w:r>
      <w:r w:rsidRPr="00DA5413">
        <w:rPr>
          <w:rFonts w:asciiTheme="majorBidi" w:eastAsia="STIX-Regular" w:hAnsiTheme="majorBidi" w:cstheme="majorBidi"/>
          <w:color w:val="000000" w:themeColor="text1"/>
          <w:sz w:val="24"/>
          <w:szCs w:val="24"/>
        </w:rPr>
        <w:t xml:space="preserve"> </w:t>
      </w:r>
      <w:r w:rsidRPr="00DA5413">
        <w:rPr>
          <w:rFonts w:asciiTheme="majorBidi" w:eastAsia="STIX-Regular" w:hAnsiTheme="majorBidi" w:cstheme="majorBidi"/>
          <w:color w:val="000000" w:themeColor="text1"/>
          <w:sz w:val="24"/>
          <w:szCs w:val="24"/>
        </w:rPr>
        <w:fldChar w:fldCharType="end"/>
      </w:r>
      <w:r w:rsidRPr="00DA5413">
        <w:rPr>
          <w:rFonts w:asciiTheme="majorBidi" w:eastAsia="STIX-Regular" w:hAnsiTheme="majorBidi" w:cstheme="majorBidi"/>
          <w:color w:val="000000" w:themeColor="text1"/>
          <w:sz w:val="24"/>
          <w:szCs w:val="24"/>
        </w:rPr>
        <w:t>consists of nine items (e.g., “I worry about what is going to happen in the future”) which are presented on a 3-point scale (0 = “not true or hardly ever true” to 2 = “very true or often true”).</w:t>
      </w:r>
      <w:r w:rsidRPr="00DA5413">
        <w:rPr>
          <w:rFonts w:asciiTheme="majorBidi" w:hAnsiTheme="majorBidi" w:cstheme="majorBidi"/>
          <w:sz w:val="24"/>
          <w:szCs w:val="24"/>
        </w:rPr>
        <w:t xml:space="preserve"> </w:t>
      </w:r>
      <w:r w:rsidRPr="00DA5413">
        <w:rPr>
          <w:rFonts w:asciiTheme="majorBidi" w:eastAsia="Times New Roman" w:hAnsiTheme="majorBidi" w:cstheme="majorBidi"/>
          <w:sz w:val="24"/>
          <w:szCs w:val="24"/>
        </w:rPr>
        <w:t>We calculated the man item rating for all further analyses, allowing for a maximum of 20% missing responses.</w:t>
      </w:r>
    </w:p>
    <w:p w:rsidR="00870601" w:rsidRPr="00DA5413" w:rsidRDefault="00870601" w:rsidP="00870601">
      <w:pPr>
        <w:autoSpaceDE w:val="0"/>
        <w:autoSpaceDN w:val="0"/>
        <w:adjustRightInd w:val="0"/>
        <w:spacing w:after="0" w:line="480" w:lineRule="auto"/>
        <w:jc w:val="both"/>
        <w:rPr>
          <w:rFonts w:asciiTheme="majorBidi" w:eastAsia="STIX-Regular" w:hAnsiTheme="majorBidi" w:cstheme="majorBidi"/>
          <w:b/>
          <w:bCs/>
          <w:i/>
          <w:iCs/>
          <w:color w:val="000000"/>
          <w:sz w:val="24"/>
          <w:szCs w:val="24"/>
        </w:rPr>
      </w:pPr>
      <w:r w:rsidRPr="00DA5413">
        <w:rPr>
          <w:rFonts w:asciiTheme="majorBidi" w:eastAsia="STIX-Regular" w:hAnsiTheme="majorBidi" w:cstheme="majorBidi"/>
          <w:b/>
          <w:bCs/>
          <w:i/>
          <w:iCs/>
          <w:color w:val="000000" w:themeColor="text1"/>
          <w:sz w:val="24"/>
          <w:szCs w:val="24"/>
        </w:rPr>
        <w:lastRenderedPageBreak/>
        <w:t xml:space="preserve">Health related quality of Life (KIDSCREEN-10) </w:t>
      </w:r>
    </w:p>
    <w:p w:rsidR="00870601" w:rsidRPr="00DA5413" w:rsidRDefault="00870601" w:rsidP="00870601">
      <w:pPr>
        <w:autoSpaceDE w:val="0"/>
        <w:autoSpaceDN w:val="0"/>
        <w:adjustRightInd w:val="0"/>
        <w:spacing w:after="0" w:line="480" w:lineRule="auto"/>
        <w:jc w:val="both"/>
        <w:rPr>
          <w:rFonts w:asciiTheme="majorBidi" w:eastAsia="STIX-Regular" w:hAnsiTheme="majorBidi" w:cstheme="majorBidi"/>
          <w:color w:val="000000"/>
          <w:sz w:val="24"/>
          <w:szCs w:val="24"/>
        </w:rPr>
      </w:pPr>
      <w:r w:rsidRPr="00DA5413">
        <w:rPr>
          <w:rFonts w:asciiTheme="majorBidi" w:eastAsia="STIX-Regular" w:hAnsiTheme="majorBidi" w:cstheme="majorBidi"/>
          <w:color w:val="000000" w:themeColor="text1"/>
          <w:sz w:val="24"/>
          <w:szCs w:val="24"/>
        </w:rPr>
        <w:t xml:space="preserve">The KIDSCREEN-10 Index </w:t>
      </w:r>
      <w:r w:rsidRPr="00DA5413">
        <w:rPr>
          <w:rFonts w:asciiTheme="majorBidi" w:eastAsia="STIX-Regular" w:hAnsiTheme="majorBidi" w:cstheme="majorBidi"/>
          <w:color w:val="000000" w:themeColor="text1"/>
          <w:sz w:val="24"/>
          <w:szCs w:val="24"/>
        </w:rPr>
        <w:fldChar w:fldCharType="begin"/>
      </w:r>
      <w:r w:rsidRPr="00DA5413">
        <w:rPr>
          <w:rFonts w:asciiTheme="majorBidi" w:eastAsia="STIX-Regular" w:hAnsiTheme="majorBidi" w:cstheme="majorBidi"/>
          <w:color w:val="000000" w:themeColor="text1"/>
          <w:sz w:val="24"/>
          <w:szCs w:val="24"/>
        </w:rPr>
        <w:instrText xml:space="preserve"> ADDIN ZOTERO_ITEM CSL_CITATION {"citationID":"fnOa4jGu","properties":{"formattedCitation":"(Ravens-Sieberer et al., 2010)","plainCitation":"(Ravens-Sieberer et al., 2010)","noteIndex":0},"citationItems":[{"id":4139,"uris":["http://zotero.org/groups/4681412/items/KVS8GHW2"],"itemData":{"id":4139,"type":"article-journal","abstract":"To assess the criterion and construct validity of the KIDSCREEN-10 well-being and health-related quality of life (HRQoL) score, a short version of the KIDSCREEN-52 and KIDSCREEN-27 instruments.","container-title":"Quality of Life Research","DOI":"10.1007/s11136-010-9706-5","ISSN":"1573-2649","issue":"10","journalAbbreviation":"Qual Life Res","language":"en","page":"1487-1500","source":"Springer Link","title":"Reliability, construct and criterion validity of the KIDSCREEN-10 score: a short measure for children and adolescents’ well-being and health-related quality of life","title-short":"Reliability, construct and criterion validity of the KIDSCREEN-10 score","volume":"19","author":[{"family":"Ravens-Sieberer","given":"Ulrike"},{"family":"Erhart","given":"Michael"},{"family":"Rajmil","given":"Luis"},{"family":"Herdman","given":"Michael"},{"family":"Auquier","given":"Pascal"},{"family":"Bruil","given":"Jeanet"},{"family":"Power","given":"Mick"},{"family":"Duer","given":"Wolfgang"},{"family":"Abel","given":"Thomas"},{"family":"Czemy","given":"Ladislav"},{"family":"Mazur","given":"Joanna"},{"family":"Czimbalmos","given":"Agnes"},{"family":"Tountas","given":"Yannis"},{"family":"Hagquist","given":"Curt"},{"family":"Kilroe","given":"Jean"},{"literal":"the European KIDSCREEN Group"}],"issued":{"date-parts":[["2010",12,1]]}}}],"schema":"https://github.com/citation-style-language/schema/raw/master/csl-citation.json"} </w:instrText>
      </w:r>
      <w:r w:rsidRPr="00DA5413">
        <w:rPr>
          <w:rFonts w:asciiTheme="majorBidi" w:eastAsia="STIX-Regular" w:hAnsiTheme="majorBidi" w:cstheme="majorBidi"/>
          <w:color w:val="000000" w:themeColor="text1"/>
          <w:sz w:val="24"/>
          <w:szCs w:val="24"/>
        </w:rPr>
        <w:fldChar w:fldCharType="separate"/>
      </w:r>
      <w:r w:rsidRPr="00DA5413">
        <w:rPr>
          <w:rFonts w:ascii="Times New Roman" w:hAnsi="Times New Roman" w:cs="Times New Roman"/>
          <w:sz w:val="24"/>
        </w:rPr>
        <w:t>(Ravens-Sieberer et al., 2010)</w:t>
      </w:r>
      <w:r w:rsidRPr="00DA5413">
        <w:rPr>
          <w:rFonts w:asciiTheme="majorBidi" w:eastAsia="STIX-Regular" w:hAnsiTheme="majorBidi" w:cstheme="majorBidi"/>
          <w:color w:val="000000" w:themeColor="text1"/>
          <w:sz w:val="24"/>
          <w:szCs w:val="24"/>
        </w:rPr>
        <w:fldChar w:fldCharType="end"/>
      </w:r>
      <w:r w:rsidRPr="00DA5413">
        <w:rPr>
          <w:rFonts w:asciiTheme="majorBidi" w:eastAsia="STIX-Regular" w:hAnsiTheme="majorBidi" w:cstheme="majorBidi"/>
          <w:color w:val="000000" w:themeColor="text1"/>
          <w:sz w:val="24"/>
          <w:szCs w:val="24"/>
        </w:rPr>
        <w:t xml:space="preserve"> assesses health-related quality of life including physical, psychological, and social aspects of quality of life in children and</w:t>
      </w:r>
      <w:r w:rsidRPr="00DA5413">
        <w:br/>
      </w:r>
      <w:r w:rsidRPr="00DA5413">
        <w:rPr>
          <w:rFonts w:asciiTheme="majorBidi" w:eastAsia="STIX-Regular" w:hAnsiTheme="majorBidi" w:cstheme="majorBidi"/>
          <w:color w:val="000000" w:themeColor="text1"/>
          <w:sz w:val="24"/>
          <w:szCs w:val="24"/>
        </w:rPr>
        <w:t xml:space="preserve">adolescents from 8 to18 years old. It consists of ten items that are answered on a 5-point scale (0 = “never” to 4 = “always” or 0 = “not at all” to 4 = “extremely”). T-transformed Rasch person parameters were calculated for each participant based on the scoring instructions provided by the authors and allowing for a maximum of 10% missing responses </w:t>
      </w:r>
      <w:r w:rsidRPr="00DA5413">
        <w:rPr>
          <w:rFonts w:asciiTheme="majorBidi" w:eastAsia="STIX-Regular" w:hAnsiTheme="majorBidi" w:cstheme="majorBidi"/>
          <w:color w:val="000000" w:themeColor="text1"/>
          <w:sz w:val="24"/>
          <w:szCs w:val="24"/>
        </w:rPr>
        <w:fldChar w:fldCharType="begin"/>
      </w:r>
      <w:r w:rsidRPr="00DA5413">
        <w:rPr>
          <w:rFonts w:asciiTheme="majorBidi" w:eastAsia="STIX-Regular" w:hAnsiTheme="majorBidi" w:cstheme="majorBidi"/>
          <w:color w:val="000000" w:themeColor="text1"/>
          <w:sz w:val="24"/>
          <w:szCs w:val="24"/>
        </w:rPr>
        <w:instrText xml:space="preserve"> ADDIN EN.CITE &lt;EndNote&gt;&lt;Cite&gt;&lt;Author&gt;Ravens-Sieberer&lt;/Author&gt;&lt;Year&gt;2010&lt;/Year&gt;&lt;RecNum&gt;53&lt;/RecNum&gt;&lt;DisplayText&gt;(Ravens-Sieberer et al., 2010)&lt;/DisplayText&gt;&lt;record&gt;&lt;rec-number&gt;53&lt;/rec-number&gt;&lt;foreign-keys&gt;&lt;key app="EN" db-id="z25x20afprpt07eptpwpzxx3wep0v2dedzvp" timestamp="1685209730"&gt;53&lt;/key&gt;&lt;/foreign-keys&gt;&lt;ref-type name="Journal Article"&gt;17&lt;/ref-type&gt;&lt;contributors&gt;&lt;authors&gt;&lt;author&gt;Ravens-Sieberer, Ulrike&lt;/author&gt;&lt;author&gt;Erhart, Michael&lt;/author&gt;&lt;author&gt;Rajmil, Luis&lt;/author&gt;&lt;author&gt;Herdman, Michael&lt;/author&gt;&lt;author&gt;Auquier, Pascal&lt;/author&gt;&lt;author&gt;Bruil, Jeanet&lt;/author&gt;&lt;author&gt;Power, Mick&lt;/author&gt;&lt;author&gt;Duer, Wolfgang&lt;/author&gt;&lt;author&gt;Abel, Thomas&lt;/author&gt;&lt;author&gt;Czemy, Ladislav&lt;/author&gt;&lt;/authors&gt;&lt;/contributors&gt;&lt;titles&gt;&lt;title&gt;Reliability, construct and criterion validity of the KIDSCREEN-10 score: a short measure for children and adolescents’ well-being and health-related quality of life&lt;/title&gt;&lt;secondary-title&gt;Quality of life research&lt;/secondary-title&gt;&lt;/titles&gt;&lt;periodical&gt;&lt;full-title&gt;Quality of life research&lt;/full-title&gt;&lt;/periodical&gt;&lt;pages&gt;1487-1500&lt;/pages&gt;&lt;volume&gt;19&lt;/volume&gt;&lt;dates&gt;&lt;year&gt;2010&lt;/year&gt;&lt;/dates&gt;&lt;isbn&gt;0962-9343&lt;/isbn&gt;&lt;urls&gt;&lt;/urls&gt;&lt;/record&gt;&lt;/Cite&gt;&lt;/EndNote&gt;</w:instrText>
      </w:r>
      <w:r w:rsidRPr="00DA5413">
        <w:rPr>
          <w:rFonts w:asciiTheme="majorBidi" w:eastAsia="STIX-Regular" w:hAnsiTheme="majorBidi" w:cstheme="majorBidi"/>
          <w:color w:val="000000" w:themeColor="text1"/>
          <w:sz w:val="24"/>
          <w:szCs w:val="24"/>
        </w:rPr>
        <w:fldChar w:fldCharType="separate"/>
      </w:r>
      <w:r w:rsidRPr="00DA5413">
        <w:rPr>
          <w:rFonts w:asciiTheme="majorBidi" w:eastAsia="STIX-Regular" w:hAnsiTheme="majorBidi" w:cstheme="majorBidi"/>
          <w:color w:val="000000" w:themeColor="text1"/>
          <w:sz w:val="24"/>
          <w:szCs w:val="24"/>
        </w:rPr>
        <w:t>(Ravens-Sieberer et al., 2010)</w:t>
      </w:r>
      <w:r w:rsidRPr="00DA5413">
        <w:rPr>
          <w:rFonts w:asciiTheme="majorBidi" w:eastAsia="STIX-Regular" w:hAnsiTheme="majorBidi" w:cstheme="majorBidi"/>
          <w:color w:val="000000" w:themeColor="text1"/>
          <w:sz w:val="24"/>
          <w:szCs w:val="24"/>
        </w:rPr>
        <w:fldChar w:fldCharType="end"/>
      </w:r>
      <w:r w:rsidRPr="00DA5413">
        <w:rPr>
          <w:rFonts w:asciiTheme="majorBidi" w:eastAsia="STIX-Regular" w:hAnsiTheme="majorBidi" w:cstheme="majorBidi"/>
          <w:color w:val="000000" w:themeColor="text1"/>
          <w:sz w:val="24"/>
          <w:szCs w:val="24"/>
        </w:rPr>
        <w:t>.</w:t>
      </w:r>
    </w:p>
    <w:p w:rsidR="00870601" w:rsidRPr="00DA5413" w:rsidRDefault="00870601" w:rsidP="00870601">
      <w:pPr>
        <w:autoSpaceDE w:val="0"/>
        <w:autoSpaceDN w:val="0"/>
        <w:adjustRightInd w:val="0"/>
        <w:spacing w:after="0" w:line="480" w:lineRule="auto"/>
        <w:jc w:val="both"/>
        <w:rPr>
          <w:rFonts w:asciiTheme="majorBidi" w:eastAsia="STIX-Regular" w:hAnsiTheme="majorBidi" w:cstheme="majorBidi"/>
          <w:b/>
          <w:bCs/>
          <w:color w:val="000000"/>
          <w:sz w:val="24"/>
          <w:szCs w:val="24"/>
        </w:rPr>
      </w:pPr>
      <w:r w:rsidRPr="00DA5413">
        <w:rPr>
          <w:rFonts w:asciiTheme="majorBidi" w:eastAsia="STIX-Regular" w:hAnsiTheme="majorBidi" w:cstheme="majorBidi"/>
          <w:b/>
          <w:bCs/>
          <w:color w:val="000000" w:themeColor="text1"/>
          <w:sz w:val="24"/>
          <w:szCs w:val="24"/>
        </w:rPr>
        <w:t>Protective Factors</w:t>
      </w:r>
    </w:p>
    <w:p w:rsidR="00870601" w:rsidRPr="00DA5413" w:rsidRDefault="00870601" w:rsidP="00870601">
      <w:pPr>
        <w:autoSpaceDE w:val="0"/>
        <w:autoSpaceDN w:val="0"/>
        <w:adjustRightInd w:val="0"/>
        <w:spacing w:after="0" w:line="480" w:lineRule="auto"/>
        <w:jc w:val="both"/>
        <w:rPr>
          <w:rFonts w:asciiTheme="majorBidi" w:eastAsia="STIX-Regular" w:hAnsiTheme="majorBidi" w:cstheme="majorBidi"/>
          <w:b/>
          <w:bCs/>
          <w:i/>
          <w:iCs/>
          <w:color w:val="000000"/>
          <w:sz w:val="24"/>
          <w:szCs w:val="24"/>
        </w:rPr>
      </w:pPr>
      <w:r w:rsidRPr="00DA5413">
        <w:rPr>
          <w:rFonts w:asciiTheme="majorBidi" w:eastAsia="STIX-Regular" w:hAnsiTheme="majorBidi" w:cstheme="majorBidi"/>
          <w:b/>
          <w:bCs/>
          <w:i/>
          <w:iCs/>
          <w:color w:val="000000" w:themeColor="text1"/>
          <w:sz w:val="24"/>
          <w:szCs w:val="24"/>
        </w:rPr>
        <w:t>Self-efficacy (ASKU)</w:t>
      </w:r>
    </w:p>
    <w:p w:rsidR="00870601" w:rsidRPr="00DA5413" w:rsidRDefault="00870601" w:rsidP="00870601">
      <w:pPr>
        <w:autoSpaceDE w:val="0"/>
        <w:autoSpaceDN w:val="0"/>
        <w:adjustRightInd w:val="0"/>
        <w:spacing w:after="0" w:line="480" w:lineRule="auto"/>
        <w:jc w:val="both"/>
        <w:rPr>
          <w:rFonts w:asciiTheme="majorBidi" w:eastAsia="STIX-Regular" w:hAnsiTheme="majorBidi" w:cstheme="majorBidi"/>
          <w:color w:val="000000"/>
          <w:sz w:val="24"/>
          <w:szCs w:val="24"/>
        </w:rPr>
      </w:pPr>
      <w:r w:rsidRPr="00DA5413">
        <w:rPr>
          <w:rFonts w:asciiTheme="majorBidi" w:eastAsia="STIX-Regular" w:hAnsiTheme="majorBidi" w:cstheme="majorBidi"/>
          <w:color w:val="000000"/>
          <w:sz w:val="24"/>
          <w:szCs w:val="24"/>
        </w:rPr>
        <w:t>Self-efficacy was assessed using the ASKU (</w:t>
      </w:r>
      <w:r w:rsidRPr="00DA5413">
        <w:rPr>
          <w:rFonts w:asciiTheme="majorBidi" w:eastAsia="STIX-Regular" w:hAnsiTheme="majorBidi" w:cstheme="majorBidi"/>
          <w:i/>
          <w:iCs/>
          <w:color w:val="000000"/>
          <w:sz w:val="24"/>
          <w:szCs w:val="24"/>
        </w:rPr>
        <w:t xml:space="preserve">Allgemeine </w:t>
      </w:r>
      <w:proofErr w:type="spellStart"/>
      <w:r w:rsidRPr="00DA5413">
        <w:rPr>
          <w:rFonts w:asciiTheme="majorBidi" w:eastAsia="STIX-Regular" w:hAnsiTheme="majorBidi" w:cstheme="majorBidi"/>
          <w:i/>
          <w:iCs/>
          <w:color w:val="000000"/>
          <w:sz w:val="24"/>
          <w:szCs w:val="24"/>
        </w:rPr>
        <w:t>Selbstwirksamkeit</w:t>
      </w:r>
      <w:proofErr w:type="spellEnd"/>
      <w:r w:rsidRPr="00DA5413">
        <w:rPr>
          <w:rFonts w:asciiTheme="majorBidi" w:eastAsia="STIX-Regular" w:hAnsiTheme="majorBidi" w:cstheme="majorBidi"/>
          <w:i/>
          <w:iCs/>
          <w:color w:val="000000"/>
          <w:sz w:val="24"/>
          <w:szCs w:val="24"/>
        </w:rPr>
        <w:t xml:space="preserve"> </w:t>
      </w:r>
      <w:proofErr w:type="spellStart"/>
      <w:r w:rsidRPr="00DA5413">
        <w:rPr>
          <w:rFonts w:asciiTheme="majorBidi" w:eastAsia="STIX-Regular" w:hAnsiTheme="majorBidi" w:cstheme="majorBidi"/>
          <w:i/>
          <w:iCs/>
          <w:color w:val="000000"/>
          <w:sz w:val="24"/>
          <w:szCs w:val="24"/>
        </w:rPr>
        <w:t>Kurzskala</w:t>
      </w:r>
      <w:proofErr w:type="spellEnd"/>
      <w:r w:rsidRPr="00DA5413">
        <w:rPr>
          <w:rFonts w:asciiTheme="majorBidi" w:eastAsia="STIX-Regular" w:hAnsiTheme="majorBidi" w:cstheme="majorBidi"/>
          <w:color w:val="000000"/>
          <w:sz w:val="24"/>
          <w:szCs w:val="24"/>
        </w:rPr>
        <w:t xml:space="preserve">; </w:t>
      </w:r>
      <w:r w:rsidRPr="00DA5413">
        <w:rPr>
          <w:rFonts w:asciiTheme="majorBidi" w:eastAsia="STIX-Regular" w:hAnsiTheme="majorBidi" w:cstheme="majorBidi"/>
          <w:color w:val="000000"/>
          <w:sz w:val="24"/>
          <w:szCs w:val="24"/>
        </w:rPr>
        <w:fldChar w:fldCharType="begin"/>
      </w:r>
      <w:r w:rsidRPr="00DA5413">
        <w:rPr>
          <w:rFonts w:asciiTheme="majorBidi" w:eastAsia="STIX-Regular" w:hAnsiTheme="majorBidi" w:cstheme="majorBidi"/>
          <w:color w:val="000000"/>
          <w:sz w:val="24"/>
          <w:szCs w:val="24"/>
        </w:rPr>
        <w:instrText xml:space="preserve"> ADDIN EN.CITE &lt;EndNote&gt;&lt;Cite Hidden="1"&gt;&lt;Author&gt;Beierlein&lt;/Author&gt;&lt;Year&gt;2012&lt;/Year&gt;&lt;RecNum&gt;103&lt;/RecNum&gt;&lt;record&gt;&lt;rec-number&gt;103&lt;/rec-number&gt;&lt;foreign-keys&gt;&lt;key app="EN" db-id="z25x20afprpt07eptpwpzxx3wep0v2dedzvp" timestamp="1686822525"&gt;103&lt;/key&gt;&lt;/foreign-keys&gt;&lt;ref-type name="Journal Article"&gt;17&lt;/ref-type&gt;&lt;contributors&gt;&lt;authors&gt;&lt;author&gt;Beierlein, Constanze&lt;/author&gt;&lt;author&gt;Kovaleva, Anastassiya&lt;/author&gt;&lt;author&gt;Kemper, Christoph J&lt;/author&gt;&lt;author&gt;Rammstedt, Beatrice&lt;/author&gt;&lt;/authors&gt;&lt;/contributors&gt;&lt;titles&gt;&lt;title&gt;Ein messinstrument zur erfassung subjektiver kompetenzerwartungen: Allgemeine selbstwirksamkeit kurzskala (ASKU)&lt;/title&gt;&lt;/titles&gt;&lt;dates&gt;&lt;year&gt;2012&lt;/year&gt;&lt;/dates&gt;&lt;urls&gt;&lt;/urls&gt;&lt;/record&gt;&lt;/Cite&gt;&lt;/EndNote&gt;</w:instrText>
      </w:r>
      <w:r w:rsidRPr="00DA5413">
        <w:rPr>
          <w:rFonts w:asciiTheme="majorBidi" w:eastAsia="STIX-Regular" w:hAnsiTheme="majorBidi" w:cstheme="majorBidi"/>
          <w:color w:val="000000"/>
          <w:sz w:val="24"/>
          <w:szCs w:val="24"/>
        </w:rPr>
        <w:fldChar w:fldCharType="end"/>
      </w:r>
      <w:r w:rsidRPr="00DA5413">
        <w:rPr>
          <w:rFonts w:asciiTheme="majorBidi" w:eastAsia="STIX-Regular" w:hAnsiTheme="majorBidi" w:cstheme="majorBidi"/>
          <w:color w:val="000000"/>
          <w:sz w:val="24"/>
          <w:szCs w:val="24"/>
        </w:rPr>
        <w:fldChar w:fldCharType="begin"/>
      </w:r>
      <w:r w:rsidRPr="00DA5413">
        <w:rPr>
          <w:rFonts w:asciiTheme="majorBidi" w:eastAsia="STIX-Regular" w:hAnsiTheme="majorBidi" w:cstheme="majorBidi"/>
          <w:color w:val="000000"/>
          <w:sz w:val="24"/>
          <w:szCs w:val="24"/>
        </w:rPr>
        <w:instrText xml:space="preserve"> ADDIN ZOTERO_ITEM CSL_CITATION {"citationID":"pacDfAeU","properties":{"formattedCitation":"(Beierlein et al., 2012)","plainCitation":"(Beierlein et al., 2012)","noteIndex":0},"citationItems":[{"id":4142,"uris":["http://zotero.org/groups/4681412/items/D58YUDZZ"],"itemData":{"id":4142,"type":"report","event-place":"Mannheim","language":"de","publisher":"Leibniz Institut für Sozialwissenschaften","publisher-place":"Mannheim","source":"Zotero","title":"Ein Messinstrument zur Erfassung subjektiver Kompetenzerwartungen","URL":"https://nbn-resolving.org/urn:nbn:de:0168-ssoar-292351","author":[{"family":"Beierlein","given":"Constanze"},{"family":"Kovaleva","given":"Anastassyia"},{"family":"Kemper","given":"Christoph J"},{"family":"Rammstedt","given":"Beatrice"}],"issued":{"date-parts":[["2012"]]}}}],"schema":"https://github.com/citation-style-language/schema/raw/master/csl-citation.json"} </w:instrText>
      </w:r>
      <w:r w:rsidRPr="00DA5413">
        <w:rPr>
          <w:rFonts w:asciiTheme="majorBidi" w:eastAsia="STIX-Regular" w:hAnsiTheme="majorBidi" w:cstheme="majorBidi"/>
          <w:color w:val="000000"/>
          <w:sz w:val="24"/>
          <w:szCs w:val="24"/>
        </w:rPr>
        <w:fldChar w:fldCharType="separate"/>
      </w:r>
      <w:proofErr w:type="spellStart"/>
      <w:r w:rsidRPr="00DA5413">
        <w:rPr>
          <w:rFonts w:ascii="Times New Roman" w:hAnsi="Times New Roman" w:cs="Times New Roman"/>
          <w:sz w:val="24"/>
        </w:rPr>
        <w:t>Beierlein</w:t>
      </w:r>
      <w:proofErr w:type="spellEnd"/>
      <w:r w:rsidRPr="00DA5413">
        <w:rPr>
          <w:rFonts w:ascii="Times New Roman" w:hAnsi="Times New Roman" w:cs="Times New Roman"/>
          <w:sz w:val="24"/>
        </w:rPr>
        <w:t xml:space="preserve"> et al., 2012)</w:t>
      </w:r>
      <w:r w:rsidRPr="00DA5413">
        <w:rPr>
          <w:rFonts w:asciiTheme="majorBidi" w:eastAsia="STIX-Regular" w:hAnsiTheme="majorBidi" w:cstheme="majorBidi"/>
          <w:color w:val="000000"/>
          <w:sz w:val="24"/>
          <w:szCs w:val="24"/>
        </w:rPr>
        <w:fldChar w:fldCharType="end"/>
      </w:r>
      <w:r w:rsidRPr="00DA5413">
        <w:rPr>
          <w:rFonts w:asciiTheme="majorBidi" w:eastAsia="STIX-Regular" w:hAnsiTheme="majorBidi" w:cstheme="majorBidi"/>
          <w:color w:val="000000"/>
          <w:sz w:val="24"/>
          <w:szCs w:val="24"/>
        </w:rPr>
        <w:t>, which</w:t>
      </w:r>
      <w:r w:rsidRPr="00DA5413">
        <w:rPr>
          <w:rFonts w:asciiTheme="majorBidi" w:hAnsiTheme="majorBidi" w:cstheme="majorBidi"/>
          <w:color w:val="000000"/>
          <w:sz w:val="24"/>
          <w:szCs w:val="24"/>
          <w:shd w:val="clear" w:color="auto" w:fill="FFFFFF"/>
        </w:rPr>
        <w:t xml:space="preserve"> consists of 3 items measuring individual competence expectations in dealing with difficulties and obstacles in daily life (e.g. </w:t>
      </w:r>
      <w:r w:rsidRPr="00DA5413">
        <w:rPr>
          <w:rStyle w:val="property-value"/>
          <w:rFonts w:asciiTheme="majorBidi" w:hAnsiTheme="majorBidi" w:cstheme="majorBidi"/>
          <w:color w:val="000000"/>
          <w:sz w:val="24"/>
          <w:szCs w:val="24"/>
        </w:rPr>
        <w:t xml:space="preserve">I am able to solve most problems on my own.) </w:t>
      </w:r>
      <w:r w:rsidRPr="00DA5413">
        <w:rPr>
          <w:rFonts w:asciiTheme="majorBidi" w:hAnsiTheme="majorBidi" w:cstheme="majorBidi"/>
          <w:color w:val="000000"/>
          <w:sz w:val="24"/>
          <w:szCs w:val="24"/>
          <w:shd w:val="clear" w:color="auto" w:fill="FFFFFF"/>
        </w:rPr>
        <w:t xml:space="preserve">on a 5-point Likert scale. To obtain a global self-efficacy index, responses are averaged (range between 1 -5) with higher scores indicating higher self-efficacy. </w:t>
      </w:r>
    </w:p>
    <w:p w:rsidR="00870601" w:rsidRPr="00DA5413" w:rsidRDefault="00870601" w:rsidP="00870601">
      <w:pPr>
        <w:autoSpaceDE w:val="0"/>
        <w:autoSpaceDN w:val="0"/>
        <w:adjustRightInd w:val="0"/>
        <w:spacing w:after="0" w:line="480" w:lineRule="auto"/>
        <w:jc w:val="both"/>
        <w:rPr>
          <w:rFonts w:asciiTheme="majorBidi" w:eastAsia="STIX-Regular" w:hAnsiTheme="majorBidi" w:cstheme="majorBidi"/>
          <w:b/>
          <w:bCs/>
          <w:i/>
          <w:iCs/>
          <w:color w:val="000000"/>
          <w:sz w:val="24"/>
          <w:szCs w:val="24"/>
        </w:rPr>
      </w:pPr>
      <w:r w:rsidRPr="00DA5413">
        <w:rPr>
          <w:rFonts w:asciiTheme="majorBidi" w:eastAsia="STIX-Regular" w:hAnsiTheme="majorBidi" w:cstheme="majorBidi"/>
          <w:b/>
          <w:bCs/>
          <w:i/>
          <w:iCs/>
          <w:color w:val="000000" w:themeColor="text1"/>
          <w:sz w:val="24"/>
          <w:szCs w:val="24"/>
        </w:rPr>
        <w:t>Expressive flexibility (CAFE)</w:t>
      </w:r>
    </w:p>
    <w:p w:rsidR="00870601" w:rsidRPr="001E5E8E" w:rsidRDefault="00870601" w:rsidP="00870601">
      <w:pPr>
        <w:autoSpaceDE w:val="0"/>
        <w:autoSpaceDN w:val="0"/>
        <w:adjustRightInd w:val="0"/>
        <w:spacing w:after="0" w:line="480" w:lineRule="auto"/>
        <w:jc w:val="both"/>
        <w:rPr>
          <w:rFonts w:asciiTheme="majorBidi" w:eastAsia="STIX-Regular" w:hAnsiTheme="majorBidi" w:cstheme="majorBidi"/>
          <w:color w:val="000000"/>
          <w:sz w:val="24"/>
          <w:szCs w:val="24"/>
        </w:rPr>
      </w:pPr>
      <w:r w:rsidRPr="00DA5413">
        <w:rPr>
          <w:rFonts w:asciiTheme="majorBidi" w:eastAsia="STIX-Regular" w:hAnsiTheme="majorBidi" w:cstheme="majorBidi"/>
          <w:color w:val="000000" w:themeColor="text1"/>
          <w:sz w:val="24"/>
          <w:szCs w:val="24"/>
        </w:rPr>
        <w:t xml:space="preserve">Six items of the child and adolescent flexible expressiveness scale (CAFE; </w:t>
      </w:r>
      <w:r w:rsidRPr="00DA5413">
        <w:rPr>
          <w:rFonts w:asciiTheme="majorBidi" w:eastAsia="STIX-Regular" w:hAnsiTheme="majorBidi" w:cstheme="majorBidi"/>
          <w:color w:val="000000" w:themeColor="text1"/>
          <w:sz w:val="24"/>
          <w:szCs w:val="24"/>
        </w:rPr>
        <w:fldChar w:fldCharType="begin"/>
      </w:r>
      <w:r w:rsidRPr="00DA5413">
        <w:rPr>
          <w:rFonts w:asciiTheme="majorBidi" w:eastAsia="STIX-Regular" w:hAnsiTheme="majorBidi" w:cstheme="majorBidi"/>
          <w:color w:val="000000" w:themeColor="text1"/>
          <w:sz w:val="24"/>
          <w:szCs w:val="24"/>
        </w:rPr>
        <w:instrText xml:space="preserve"> ADDIN ZOTERO_ITEM CSL_CITATION {"citationID":"gjlcspwM","properties":{"formattedCitation":"(Wang &amp; Hawk, 2020a)","plainCitation":"(Wang &amp; Hawk, 2020a)","noteIndex":0},"citationItems":[{"id":2838,"uris":["http://zotero.org/groups/4681412/items/7EPCMF6D"],"itemData":{"id":2838,"type":"article-journal","abstract":"Expressive flexibility, or the ease with which one can switch between enhancing and suppressing emotional behavior in line with situational demands, appears to be an adaptive skill for promoting psychological well-being for adults. However, this construct has rarely been explored among children and adolescents. To facilitate such investigations, the present study developed and validated a scenario-based, self-reported measurement tool that tests youth’s expressive flexibility, namely the Child and Adolescent Flexible Expressiveness (CAFE) Scale. Results from Study 1 (N = 549) and Study 2 (N = 248) supported a two-factor structure (expressive enhancement and expressive suppression), identifying eligible items through exploratory and confirmatory factor analyses. The measurement invariance of the scale was also evidenced via a series of multigroup tests across sex and age groups. Additionally, both subscales showed adequate internal consistencies, and the CAFE scores related to most theoretically similar measures (emotion expressivity and internal emotion regulation) and clinical outcome variables (e.g., depression, problem behavior), as expected. Study 3 (N = 199) further compared CAFE scores to children’s observed emotion expressivity in a standardized laboratory task. Results indicated that CAFE enhancement and suppression scores significantly predicted respective performances in the task. Finally, Study 4 (N = 48) demonstrated adequate test–retest reliability of the CAFE Scale by retesting a subsample of participants from Study 1. Generally, the CAFE Scale appears to be a reliable and valid measurement in the area of emotion regulation, which allows convenient clinical assessment of children’s and adolescents’ expressive flexibility. (PsycInfo Database Record (c) 2020 APA, all rights reserved)","archive_location":"2020-02637-001","container-title":"Psychological Assessment","DOI":"10.1037/pas0000795","ISSN":"1040-3590","issue":"4","journalAbbreviation":"Psychological Assessment","note":"publisher: American Psychological Association","page":"358-373","source":"EBSCOhost","title":"Development and validation of the Child and Adolescent Flexible Expressiveness (CAFE) Scale","volume":"32","author":[{"family":"Wang","given":"Yingqian"},{"family":"Hawk","given":"Skyler T."}],"issued":{"date-parts":[["2020",4]]}}}],"schema":"https://github.com/citation-style-language/schema/raw/master/csl-citation.json"} </w:instrText>
      </w:r>
      <w:r w:rsidRPr="00DA5413">
        <w:rPr>
          <w:rFonts w:asciiTheme="majorBidi" w:eastAsia="STIX-Regular" w:hAnsiTheme="majorBidi" w:cstheme="majorBidi"/>
          <w:color w:val="000000" w:themeColor="text1"/>
          <w:sz w:val="24"/>
          <w:szCs w:val="24"/>
        </w:rPr>
        <w:fldChar w:fldCharType="separate"/>
      </w:r>
      <w:r w:rsidRPr="00DA5413">
        <w:rPr>
          <w:rFonts w:ascii="Times New Roman" w:hAnsi="Times New Roman" w:cs="Times New Roman"/>
          <w:sz w:val="24"/>
        </w:rPr>
        <w:t>Wang &amp; Hawk, 2020a)</w:t>
      </w:r>
      <w:r w:rsidRPr="00DA5413">
        <w:rPr>
          <w:rFonts w:asciiTheme="majorBidi" w:eastAsia="STIX-Regular" w:hAnsiTheme="majorBidi" w:cstheme="majorBidi"/>
          <w:color w:val="000000" w:themeColor="text1"/>
          <w:sz w:val="24"/>
          <w:szCs w:val="24"/>
        </w:rPr>
        <w:fldChar w:fldCharType="end"/>
      </w:r>
      <w:r w:rsidRPr="00DA5413">
        <w:rPr>
          <w:rFonts w:asciiTheme="majorBidi" w:eastAsia="STIX-Regular" w:hAnsiTheme="majorBidi" w:cstheme="majorBidi"/>
          <w:color w:val="000000" w:themeColor="text1"/>
          <w:sz w:val="24"/>
          <w:szCs w:val="24"/>
        </w:rPr>
        <w:t xml:space="preserve"> </w:t>
      </w:r>
      <w:r w:rsidRPr="00DA5413">
        <w:rPr>
          <w:rFonts w:asciiTheme="majorBidi" w:eastAsia="STIX-Regular" w:hAnsiTheme="majorBidi" w:cstheme="majorBidi"/>
          <w:color w:val="000000" w:themeColor="text1"/>
          <w:sz w:val="24"/>
          <w:szCs w:val="24"/>
        </w:rPr>
        <w:fldChar w:fldCharType="begin"/>
      </w:r>
      <w:r w:rsidRPr="00DA5413">
        <w:rPr>
          <w:rFonts w:asciiTheme="majorBidi" w:eastAsia="STIX-Regular" w:hAnsiTheme="majorBidi" w:cstheme="majorBidi"/>
          <w:color w:val="000000" w:themeColor="text1"/>
          <w:sz w:val="24"/>
          <w:szCs w:val="24"/>
        </w:rPr>
        <w:instrText xml:space="preserve"> ADDIN EN.CITE &lt;EndNote&gt;&lt;Cite Hidden="1"&gt;&lt;Author&gt;Wang&lt;/Author&gt;&lt;Year&gt;2020&lt;/Year&gt;&lt;RecNum&gt;65&lt;/RecNum&gt;&lt;record&gt;&lt;rec-number&gt;65&lt;/rec-number&gt;&lt;foreign-keys&gt;&lt;key app="EN" db-id="z25x20afprpt07eptpwpzxx3wep0v2dedzvp" timestamp="1686152848"&gt;65&lt;/key&gt;&lt;/foreign-keys&gt;&lt;ref-type name="Journal Article"&gt;17&lt;/ref-type&gt;&lt;contributors&gt;&lt;authors&gt;&lt;author&gt;Wang, Yingqian&lt;/author&gt;&lt;author&gt;Hawk, Skyler T&lt;/author&gt;&lt;/authors&gt;&lt;/contributors&gt;&lt;titles&gt;&lt;title&gt;Development and validation of the Child and Adolescent Flexible Expressiveness (CAFE) Scale&lt;/title&gt;&lt;secondary-title&gt;Psychological Assessment&lt;/secondary-title&gt;&lt;/titles&gt;&lt;periodical&gt;&lt;full-title&gt;Psychological Assessment&lt;/full-title&gt;&lt;/periodical&gt;&lt;pages&gt;358&lt;/pages&gt;&lt;volume&gt;32&lt;/volume&gt;&lt;number&gt;4&lt;/number&gt;&lt;dates&gt;&lt;year&gt;2020&lt;/year&gt;&lt;/dates&gt;&lt;isbn&gt;1939-134X&lt;/isbn&gt;&lt;urls&gt;&lt;/urls&gt;&lt;/record&gt;&lt;/Cite&gt;&lt;/EndNote&gt;</w:instrText>
      </w:r>
      <w:r w:rsidRPr="00DA5413">
        <w:rPr>
          <w:rFonts w:asciiTheme="majorBidi" w:eastAsia="STIX-Regular" w:hAnsiTheme="majorBidi" w:cstheme="majorBidi"/>
          <w:color w:val="000000" w:themeColor="text1"/>
          <w:sz w:val="24"/>
          <w:szCs w:val="24"/>
        </w:rPr>
        <w:fldChar w:fldCharType="end"/>
      </w:r>
      <w:r w:rsidRPr="00DA5413">
        <w:rPr>
          <w:rFonts w:asciiTheme="majorBidi" w:eastAsia="STIX-Regular" w:hAnsiTheme="majorBidi" w:cstheme="majorBidi"/>
          <w:color w:val="000000" w:themeColor="text1"/>
          <w:sz w:val="24"/>
          <w:szCs w:val="24"/>
        </w:rPr>
        <w:t>were used to assess expressive flexibility. Due to time constraints,</w:t>
      </w:r>
      <w:r w:rsidRPr="55965DAC">
        <w:rPr>
          <w:rFonts w:asciiTheme="majorBidi" w:eastAsia="STIX-Regular" w:hAnsiTheme="majorBidi" w:cstheme="majorBidi"/>
          <w:color w:val="000000" w:themeColor="text1"/>
          <w:sz w:val="24"/>
          <w:szCs w:val="24"/>
        </w:rPr>
        <w:t xml:space="preserve"> we </w:t>
      </w:r>
      <w:r>
        <w:rPr>
          <w:rFonts w:asciiTheme="majorBidi" w:eastAsia="STIX-Regular" w:hAnsiTheme="majorBidi" w:cstheme="majorBidi"/>
          <w:color w:val="000000" w:themeColor="text1"/>
          <w:sz w:val="24"/>
          <w:szCs w:val="24"/>
        </w:rPr>
        <w:t xml:space="preserve">could not </w:t>
      </w:r>
      <w:r w:rsidRPr="55965DAC">
        <w:rPr>
          <w:rFonts w:asciiTheme="majorBidi" w:eastAsia="STIX-Regular" w:hAnsiTheme="majorBidi" w:cstheme="majorBidi"/>
          <w:color w:val="000000" w:themeColor="text1"/>
          <w:sz w:val="24"/>
          <w:szCs w:val="24"/>
        </w:rPr>
        <w:t xml:space="preserve">include the complete scale. Thus, we chose the six items with the highest factor loading. The CAFE is a scenario-based questionnaire assessing the ability to flexibly suppress emotion expression </w:t>
      </w:r>
      <w:r>
        <w:rPr>
          <w:rFonts w:asciiTheme="majorBidi" w:eastAsia="STIX-Regular" w:hAnsiTheme="majorBidi" w:cstheme="majorBidi"/>
          <w:color w:val="000000" w:themeColor="text1"/>
          <w:sz w:val="24"/>
          <w:szCs w:val="24"/>
        </w:rPr>
        <w:t xml:space="preserve">or </w:t>
      </w:r>
      <w:r w:rsidRPr="55965DAC">
        <w:rPr>
          <w:rFonts w:asciiTheme="majorBidi" w:eastAsia="STIX-Regular" w:hAnsiTheme="majorBidi" w:cstheme="majorBidi"/>
          <w:color w:val="000000" w:themeColor="text1"/>
          <w:sz w:val="24"/>
          <w:szCs w:val="24"/>
        </w:rPr>
        <w:t xml:space="preserve">enhance emotion expression. Participants are asked to indicate their agreement on each item on a </w:t>
      </w:r>
      <w:r>
        <w:rPr>
          <w:rFonts w:asciiTheme="majorBidi" w:eastAsia="STIX-Regular" w:hAnsiTheme="majorBidi" w:cstheme="majorBidi"/>
          <w:color w:val="000000" w:themeColor="text1"/>
          <w:sz w:val="24"/>
          <w:szCs w:val="24"/>
        </w:rPr>
        <w:t>5</w:t>
      </w:r>
      <w:r w:rsidRPr="55965DAC">
        <w:rPr>
          <w:rFonts w:asciiTheme="majorBidi" w:eastAsia="STIX-Regular" w:hAnsiTheme="majorBidi" w:cstheme="majorBidi"/>
          <w:color w:val="000000" w:themeColor="text1"/>
          <w:sz w:val="24"/>
          <w:szCs w:val="24"/>
        </w:rPr>
        <w:t xml:space="preserve">-point </w:t>
      </w:r>
      <w:r>
        <w:rPr>
          <w:rFonts w:asciiTheme="majorBidi" w:eastAsia="STIX-Regular" w:hAnsiTheme="majorBidi" w:cstheme="majorBidi"/>
          <w:color w:val="000000" w:themeColor="text1"/>
          <w:sz w:val="24"/>
          <w:szCs w:val="24"/>
        </w:rPr>
        <w:t>L</w:t>
      </w:r>
      <w:r w:rsidRPr="55965DAC">
        <w:rPr>
          <w:rFonts w:asciiTheme="majorBidi" w:eastAsia="STIX-Regular" w:hAnsiTheme="majorBidi" w:cstheme="majorBidi"/>
          <w:color w:val="000000" w:themeColor="text1"/>
          <w:sz w:val="24"/>
          <w:szCs w:val="24"/>
        </w:rPr>
        <w:t>ikert scale. Enhancement and suppression scores were calculated by summing item scores of each subscale. A balanced expressive flexibility score was calculated by subtracting the absolute value of the difference between the two subscale scores from their sum, namely Expressive Flexibility = (Enhancement + Suppression)</w:t>
      </w:r>
      <w:r>
        <w:rPr>
          <w:rFonts w:asciiTheme="majorBidi" w:eastAsia="STIX-Regular" w:hAnsiTheme="majorBidi" w:cstheme="majorBidi"/>
          <w:color w:val="000000" w:themeColor="text1"/>
          <w:sz w:val="24"/>
          <w:szCs w:val="24"/>
        </w:rPr>
        <w:t xml:space="preserve"> </w:t>
      </w:r>
      <w:r w:rsidRPr="55965DAC">
        <w:rPr>
          <w:rFonts w:asciiTheme="majorBidi" w:eastAsia="STIX-Regular" w:hAnsiTheme="majorBidi" w:cstheme="majorBidi"/>
          <w:color w:val="000000" w:themeColor="text1"/>
          <w:sz w:val="24"/>
          <w:szCs w:val="24"/>
        </w:rPr>
        <w:t>−</w:t>
      </w:r>
      <w:r>
        <w:rPr>
          <w:rFonts w:asciiTheme="majorBidi" w:eastAsia="STIX-Regular" w:hAnsiTheme="majorBidi" w:cstheme="majorBidi"/>
          <w:color w:val="000000" w:themeColor="text1"/>
          <w:sz w:val="24"/>
          <w:szCs w:val="24"/>
        </w:rPr>
        <w:t xml:space="preserve"> </w:t>
      </w:r>
      <w:r w:rsidRPr="55965DAC">
        <w:rPr>
          <w:rFonts w:asciiTheme="majorBidi" w:eastAsia="STIX-Regular" w:hAnsiTheme="majorBidi" w:cstheme="majorBidi"/>
          <w:color w:val="000000" w:themeColor="text1"/>
          <w:sz w:val="24"/>
          <w:szCs w:val="24"/>
        </w:rPr>
        <w:t xml:space="preserve">|Enhancement – Suppression]. This </w:t>
      </w:r>
      <w:r w:rsidRPr="55965DAC">
        <w:rPr>
          <w:rFonts w:asciiTheme="majorBidi" w:eastAsia="STIX-Regular" w:hAnsiTheme="majorBidi" w:cstheme="majorBidi"/>
          <w:color w:val="000000" w:themeColor="text1"/>
          <w:sz w:val="24"/>
          <w:szCs w:val="24"/>
        </w:rPr>
        <w:lastRenderedPageBreak/>
        <w:t>formula assures that extremely high scores on only one form of expressive regulation, but not the other, would still yield lower overall scores.</w:t>
      </w:r>
    </w:p>
    <w:p w:rsidR="00294262" w:rsidRPr="00294262" w:rsidRDefault="00294262" w:rsidP="00294262">
      <w:pPr>
        <w:spacing w:line="480" w:lineRule="auto"/>
        <w:jc w:val="both"/>
        <w:rPr>
          <w:rFonts w:asciiTheme="majorBidi" w:eastAsia="STIX-Regular" w:hAnsiTheme="majorBidi" w:cstheme="majorBidi"/>
          <w:b/>
          <w:bCs/>
          <w:color w:val="000000" w:themeColor="text1"/>
          <w:sz w:val="24"/>
          <w:szCs w:val="24"/>
        </w:rPr>
      </w:pPr>
      <w:r w:rsidRPr="00294262">
        <w:rPr>
          <w:rFonts w:asciiTheme="majorBidi" w:eastAsia="STIX-Regular" w:hAnsiTheme="majorBidi" w:cstheme="majorBidi"/>
          <w:b/>
          <w:bCs/>
          <w:color w:val="000000" w:themeColor="text1"/>
          <w:sz w:val="24"/>
          <w:szCs w:val="24"/>
        </w:rPr>
        <w:t>Informed Consent</w:t>
      </w:r>
    </w:p>
    <w:p w:rsidR="00294262" w:rsidRPr="00294262" w:rsidRDefault="00294262" w:rsidP="00294262">
      <w:pPr>
        <w:spacing w:line="480" w:lineRule="auto"/>
        <w:jc w:val="both"/>
        <w:rPr>
          <w:rFonts w:asciiTheme="majorBidi" w:eastAsia="STIX-Regular" w:hAnsiTheme="majorBidi" w:cstheme="majorBidi"/>
          <w:color w:val="000000" w:themeColor="text1"/>
          <w:sz w:val="24"/>
          <w:szCs w:val="24"/>
        </w:rPr>
      </w:pPr>
      <w:r w:rsidRPr="00294262">
        <w:rPr>
          <w:rFonts w:asciiTheme="majorBidi" w:eastAsia="STIX-Regular" w:hAnsiTheme="majorBidi" w:cstheme="majorBidi"/>
          <w:color w:val="000000" w:themeColor="text1"/>
          <w:sz w:val="24"/>
          <w:szCs w:val="24"/>
        </w:rPr>
        <w:t xml:space="preserve">A member of our research team visited each participating school and informed pupils about the study. A detailed study information and an informed consent form was handed out to each pupil (pupil and parent version). </w:t>
      </w:r>
    </w:p>
    <w:p w:rsidR="00294262" w:rsidRDefault="00294262" w:rsidP="00294262">
      <w:pPr>
        <w:spacing w:line="480" w:lineRule="auto"/>
        <w:jc w:val="both"/>
        <w:rPr>
          <w:rFonts w:asciiTheme="majorBidi" w:eastAsia="STIX-Regular" w:hAnsiTheme="majorBidi" w:cstheme="majorBidi"/>
          <w:b/>
          <w:bCs/>
          <w:color w:val="000000" w:themeColor="text1"/>
          <w:sz w:val="24"/>
          <w:szCs w:val="24"/>
        </w:rPr>
      </w:pPr>
      <w:r>
        <w:rPr>
          <w:rFonts w:asciiTheme="majorBidi" w:eastAsia="STIX-Regular" w:hAnsiTheme="majorBidi" w:cstheme="majorBidi"/>
          <w:b/>
          <w:bCs/>
          <w:color w:val="000000" w:themeColor="text1"/>
          <w:sz w:val="24"/>
          <w:szCs w:val="24"/>
        </w:rPr>
        <w:t xml:space="preserve">Onsite </w:t>
      </w:r>
      <w:r w:rsidRPr="00294262">
        <w:rPr>
          <w:rFonts w:asciiTheme="majorBidi" w:eastAsia="STIX-Regular" w:hAnsiTheme="majorBidi" w:cstheme="majorBidi"/>
          <w:b/>
          <w:bCs/>
          <w:color w:val="000000" w:themeColor="text1"/>
          <w:sz w:val="24"/>
          <w:szCs w:val="24"/>
        </w:rPr>
        <w:t xml:space="preserve">Assessment </w:t>
      </w:r>
    </w:p>
    <w:p w:rsidR="00294262" w:rsidRPr="00694225" w:rsidRDefault="00294262" w:rsidP="00694225">
      <w:pPr>
        <w:spacing w:line="480" w:lineRule="auto"/>
        <w:jc w:val="both"/>
        <w:rPr>
          <w:rFonts w:asciiTheme="majorBidi" w:eastAsia="STIX-Regular" w:hAnsiTheme="majorBidi" w:cstheme="majorBidi"/>
          <w:color w:val="000000" w:themeColor="text1"/>
          <w:sz w:val="24"/>
          <w:szCs w:val="24"/>
        </w:rPr>
      </w:pPr>
      <w:r w:rsidRPr="00294262">
        <w:rPr>
          <w:rFonts w:asciiTheme="majorBidi" w:eastAsia="STIX-Regular" w:hAnsiTheme="majorBidi" w:cstheme="majorBidi"/>
          <w:color w:val="000000" w:themeColor="text1"/>
          <w:sz w:val="24"/>
          <w:szCs w:val="24"/>
        </w:rPr>
        <w:t>Two members of our research team visited each school for assessment. Pupils, who had returned the informed consent forms, and wished to participate filled out the questionnaire package (online version or paper pencil version) during one school lesson. Completion took about 25-40 minutes. During assessment, a member of the research team was present to answer questions regarding the questionnaire. For details on data entry see Supplementary Information.</w:t>
      </w:r>
      <w:bookmarkStart w:id="0" w:name="_GoBack"/>
      <w:bookmarkEnd w:id="0"/>
    </w:p>
    <w:p w:rsidR="00870601" w:rsidRPr="001E5E8E" w:rsidRDefault="00870601" w:rsidP="00870601">
      <w:pPr>
        <w:autoSpaceDE w:val="0"/>
        <w:autoSpaceDN w:val="0"/>
        <w:adjustRightInd w:val="0"/>
        <w:spacing w:after="0" w:line="480" w:lineRule="auto"/>
        <w:jc w:val="both"/>
        <w:rPr>
          <w:rFonts w:asciiTheme="majorBidi" w:eastAsia="STIX-Regular" w:hAnsiTheme="majorBidi" w:cstheme="majorBidi"/>
          <w:b/>
          <w:bCs/>
          <w:color w:val="000000"/>
          <w:sz w:val="24"/>
          <w:szCs w:val="24"/>
        </w:rPr>
      </w:pPr>
      <w:r w:rsidRPr="55965DAC">
        <w:rPr>
          <w:rFonts w:asciiTheme="majorBidi" w:eastAsia="STIX-Regular" w:hAnsiTheme="majorBidi" w:cstheme="majorBidi"/>
          <w:b/>
          <w:bCs/>
          <w:color w:val="000000" w:themeColor="text1"/>
          <w:sz w:val="24"/>
          <w:szCs w:val="24"/>
        </w:rPr>
        <w:t xml:space="preserve">Data </w:t>
      </w:r>
      <w:r>
        <w:rPr>
          <w:rFonts w:asciiTheme="majorBidi" w:eastAsia="STIX-Regular" w:hAnsiTheme="majorBidi" w:cstheme="majorBidi"/>
          <w:b/>
          <w:bCs/>
          <w:color w:val="000000" w:themeColor="text1"/>
          <w:sz w:val="24"/>
          <w:szCs w:val="24"/>
        </w:rPr>
        <w:t>entry</w:t>
      </w:r>
      <w:r w:rsidRPr="55965DAC">
        <w:rPr>
          <w:rFonts w:asciiTheme="majorBidi" w:eastAsia="STIX-Regular" w:hAnsiTheme="majorBidi" w:cstheme="majorBidi"/>
          <w:b/>
          <w:bCs/>
          <w:color w:val="000000" w:themeColor="text1"/>
          <w:sz w:val="24"/>
          <w:szCs w:val="24"/>
        </w:rPr>
        <w:t xml:space="preserve"> </w:t>
      </w:r>
    </w:p>
    <w:p w:rsidR="00007C68" w:rsidRDefault="00870601" w:rsidP="00007C68">
      <w:pPr>
        <w:autoSpaceDE w:val="0"/>
        <w:autoSpaceDN w:val="0"/>
        <w:adjustRightInd w:val="0"/>
        <w:spacing w:after="0" w:line="480" w:lineRule="auto"/>
        <w:jc w:val="both"/>
        <w:rPr>
          <w:rFonts w:asciiTheme="majorBidi" w:eastAsia="Times New Roman" w:hAnsiTheme="majorBidi" w:cstheme="majorBidi"/>
          <w:sz w:val="24"/>
          <w:szCs w:val="24"/>
        </w:rPr>
      </w:pPr>
      <w:r w:rsidRPr="55965DAC">
        <w:rPr>
          <w:rFonts w:asciiTheme="majorBidi" w:hAnsiTheme="majorBidi" w:cstheme="majorBidi"/>
          <w:sz w:val="24"/>
          <w:szCs w:val="24"/>
        </w:rPr>
        <w:t xml:space="preserve">For the online version of the questionnaire package, measures were collected via the online platform </w:t>
      </w:r>
      <w:proofErr w:type="spellStart"/>
      <w:r w:rsidRPr="55965DAC">
        <w:rPr>
          <w:rFonts w:asciiTheme="majorBidi" w:hAnsiTheme="majorBidi" w:cstheme="majorBidi"/>
          <w:sz w:val="24"/>
          <w:szCs w:val="24"/>
        </w:rPr>
        <w:t>SoSci</w:t>
      </w:r>
      <w:proofErr w:type="spellEnd"/>
      <w:r w:rsidRPr="55965DAC">
        <w:rPr>
          <w:rFonts w:asciiTheme="majorBidi" w:hAnsiTheme="majorBidi" w:cstheme="majorBidi"/>
          <w:sz w:val="24"/>
          <w:szCs w:val="24"/>
        </w:rPr>
        <w:t xml:space="preserve"> Survey </w:t>
      </w:r>
      <w:r w:rsidRPr="00007C68">
        <w:rPr>
          <w:rFonts w:asciiTheme="majorBidi" w:hAnsiTheme="majorBidi" w:cstheme="majorBidi"/>
          <w:b/>
          <w:bCs/>
          <w:sz w:val="24"/>
          <w:szCs w:val="24"/>
        </w:rPr>
        <w:fldChar w:fldCharType="begin"/>
      </w:r>
      <w:r w:rsidRPr="00007C68">
        <w:rPr>
          <w:rFonts w:asciiTheme="majorBidi" w:hAnsiTheme="majorBidi" w:cstheme="majorBidi"/>
          <w:sz w:val="24"/>
          <w:szCs w:val="24"/>
        </w:rPr>
        <w:instrText xml:space="preserve"> ADDIN ZOTERO_ITEM CSL_CITATION {"citationID":"od5SRb2Y","properties":{"formattedCitation":"(Leiner, 2019)","plainCitation":"(Leiner, 2019)","noteIndex":0},"citationItems":[{"id":"TadCXVwp/PnvycoEg","uris":["http://zotero.org/users/4131578/items/TPTPEC3Z",["http://zotero.org/users/4131578/items/TPTPEC3Z"]],"itemData":{"id":18915,"type":"book","title":"SoSci Survey (Version 2.5. 00-i1142)[Computer software]","author":[{"family":"Leiner","given":"Dominik J"}],"issued":{"date-parts":[["2019"]]}}}],"schema":"https://github.com/citation-style-language/schema/raw/master/csl-citation.json"} </w:instrText>
      </w:r>
      <w:r w:rsidRPr="00007C68">
        <w:rPr>
          <w:rFonts w:asciiTheme="majorBidi" w:hAnsiTheme="majorBidi" w:cstheme="majorBidi"/>
          <w:b/>
          <w:bCs/>
          <w:sz w:val="24"/>
          <w:szCs w:val="24"/>
        </w:rPr>
        <w:fldChar w:fldCharType="separate"/>
      </w:r>
      <w:r w:rsidRPr="00007C68">
        <w:rPr>
          <w:rFonts w:asciiTheme="majorBidi" w:hAnsiTheme="majorBidi" w:cstheme="majorBidi"/>
          <w:sz w:val="24"/>
          <w:szCs w:val="24"/>
        </w:rPr>
        <w:t>(</w:t>
      </w:r>
      <w:proofErr w:type="spellStart"/>
      <w:r w:rsidRPr="00007C68">
        <w:rPr>
          <w:rFonts w:asciiTheme="majorBidi" w:hAnsiTheme="majorBidi" w:cstheme="majorBidi"/>
          <w:sz w:val="24"/>
          <w:szCs w:val="24"/>
        </w:rPr>
        <w:t>Leiner</w:t>
      </w:r>
      <w:proofErr w:type="spellEnd"/>
      <w:r w:rsidRPr="00007C68">
        <w:rPr>
          <w:rFonts w:asciiTheme="majorBidi" w:hAnsiTheme="majorBidi" w:cstheme="majorBidi"/>
          <w:sz w:val="24"/>
          <w:szCs w:val="24"/>
        </w:rPr>
        <w:t>, 2019)</w:t>
      </w:r>
      <w:r w:rsidRPr="00007C68">
        <w:rPr>
          <w:rFonts w:asciiTheme="majorBidi" w:hAnsiTheme="majorBidi" w:cstheme="majorBidi"/>
          <w:b/>
          <w:bCs/>
          <w:sz w:val="24"/>
          <w:szCs w:val="24"/>
        </w:rPr>
        <w:fldChar w:fldCharType="end"/>
      </w:r>
      <w:r w:rsidRPr="00007C68">
        <w:rPr>
          <w:rFonts w:asciiTheme="majorBidi" w:hAnsiTheme="majorBidi" w:cstheme="majorBidi"/>
          <w:sz w:val="24"/>
          <w:szCs w:val="24"/>
        </w:rPr>
        <w:t>.</w:t>
      </w:r>
      <w:r w:rsidRPr="55965DAC">
        <w:rPr>
          <w:rFonts w:asciiTheme="majorBidi" w:hAnsiTheme="majorBidi" w:cstheme="majorBidi"/>
          <w:sz w:val="24"/>
          <w:szCs w:val="24"/>
        </w:rPr>
        <w:t xml:space="preserve"> </w:t>
      </w:r>
      <w:r w:rsidRPr="55965DAC">
        <w:rPr>
          <w:rFonts w:asciiTheme="majorBidi" w:eastAsia="STIX-Regular" w:hAnsiTheme="majorBidi" w:cstheme="majorBidi"/>
          <w:color w:val="000000" w:themeColor="text1"/>
          <w:sz w:val="24"/>
          <w:szCs w:val="24"/>
        </w:rPr>
        <w:t xml:space="preserve">Data entry of the paper-pencil questionnaires was conducted separately by two different student assistants in order to control for possible data entry errors. </w:t>
      </w:r>
      <w:r w:rsidRPr="55965DAC">
        <w:rPr>
          <w:rFonts w:asciiTheme="majorBidi" w:eastAsia="Times New Roman" w:hAnsiTheme="majorBidi" w:cstheme="majorBidi"/>
          <w:sz w:val="24"/>
          <w:szCs w:val="24"/>
        </w:rPr>
        <w:t xml:space="preserve">If there was a mismatch between the two versions, a member of the research team checked the items in the original questionnaire and corrected each error. Finally, online data and paper pencil data were integrated into one data set. </w:t>
      </w:r>
    </w:p>
    <w:p w:rsidR="00007C68" w:rsidRDefault="00007C68">
      <w:pPr>
        <w:rPr>
          <w:rFonts w:ascii="Times New Roman" w:eastAsia="Times New Roman" w:hAnsi="Times New Roman" w:cs="Times New Roman"/>
          <w:b/>
          <w:bCs/>
          <w:kern w:val="36"/>
          <w:sz w:val="24"/>
          <w:szCs w:val="24"/>
          <w:lang w:eastAsia="de-CH"/>
        </w:rPr>
      </w:pPr>
      <w:r>
        <w:rPr>
          <w:rFonts w:ascii="Times New Roman" w:eastAsia="Times New Roman" w:hAnsi="Times New Roman" w:cs="Times New Roman"/>
          <w:b/>
          <w:bCs/>
          <w:kern w:val="36"/>
          <w:sz w:val="24"/>
          <w:szCs w:val="24"/>
          <w:lang w:eastAsia="de-CH"/>
        </w:rPr>
        <w:br w:type="page"/>
      </w:r>
    </w:p>
    <w:p w:rsidR="00007C68" w:rsidRPr="00007C68" w:rsidRDefault="00007C68" w:rsidP="00007C68">
      <w:pPr>
        <w:spacing w:after="0" w:line="276" w:lineRule="auto"/>
        <w:jc w:val="both"/>
        <w:outlineLvl w:val="0"/>
        <w:rPr>
          <w:rFonts w:ascii="Times New Roman" w:eastAsia="Times New Roman" w:hAnsi="Times New Roman" w:cs="Times New Roman"/>
          <w:b/>
          <w:bCs/>
          <w:i/>
          <w:kern w:val="36"/>
          <w:sz w:val="24"/>
          <w:szCs w:val="24"/>
          <w:lang w:eastAsia="de-CH"/>
        </w:rPr>
      </w:pPr>
      <w:r w:rsidRPr="00007C68">
        <w:rPr>
          <w:rFonts w:ascii="Times New Roman" w:eastAsia="Times New Roman" w:hAnsi="Times New Roman" w:cs="Times New Roman"/>
          <w:b/>
          <w:bCs/>
          <w:kern w:val="36"/>
          <w:sz w:val="24"/>
          <w:szCs w:val="24"/>
          <w:lang w:eastAsia="de-CH"/>
        </w:rPr>
        <w:lastRenderedPageBreak/>
        <w:t xml:space="preserve">Table S1. </w:t>
      </w:r>
      <w:r w:rsidRPr="00007C68">
        <w:rPr>
          <w:rFonts w:ascii="Times New Roman" w:eastAsia="Times New Roman" w:hAnsi="Times New Roman" w:cs="Times New Roman"/>
          <w:bCs/>
          <w:kern w:val="36"/>
          <w:sz w:val="24"/>
          <w:szCs w:val="24"/>
          <w:lang w:eastAsia="de-CH"/>
        </w:rPr>
        <w:t>Descriptive statistics</w:t>
      </w:r>
    </w:p>
    <w:tbl>
      <w:tblPr>
        <w:tblW w:w="5000" w:type="pct"/>
        <w:tblCellMar>
          <w:top w:w="15" w:type="dxa"/>
          <w:left w:w="15" w:type="dxa"/>
          <w:bottom w:w="15" w:type="dxa"/>
          <w:right w:w="15" w:type="dxa"/>
        </w:tblCellMar>
        <w:tblLook w:val="04A0" w:firstRow="1" w:lastRow="0" w:firstColumn="1" w:lastColumn="0" w:noHBand="0" w:noVBand="1"/>
      </w:tblPr>
      <w:tblGrid>
        <w:gridCol w:w="4678"/>
        <w:gridCol w:w="992"/>
        <w:gridCol w:w="1134"/>
        <w:gridCol w:w="709"/>
        <w:gridCol w:w="991"/>
        <w:gridCol w:w="568"/>
      </w:tblGrid>
      <w:tr w:rsidR="00007C68" w:rsidRPr="00007C68" w:rsidTr="00007C68">
        <w:tc>
          <w:tcPr>
            <w:tcW w:w="2578" w:type="pct"/>
            <w:tcBorders>
              <w:top w:val="single" w:sz="4" w:space="0" w:color="auto"/>
              <w:bottom w:val="single" w:sz="4" w:space="0" w:color="auto"/>
            </w:tcBorders>
            <w:shd w:val="clear" w:color="auto" w:fill="FFFFFF"/>
            <w:vAlign w:val="center"/>
            <w:hideMark/>
          </w:tcPr>
          <w:p w:rsidR="00007C68" w:rsidRPr="00007C68" w:rsidRDefault="00007C68" w:rsidP="0019702F">
            <w:pPr>
              <w:spacing w:before="240" w:after="0" w:line="240" w:lineRule="auto"/>
              <w:jc w:val="center"/>
              <w:rPr>
                <w:rFonts w:ascii="Times New Roman" w:eastAsia="Times New Roman" w:hAnsi="Times New Roman" w:cs="Times New Roman"/>
                <w:b/>
                <w:bCs/>
                <w:sz w:val="24"/>
                <w:szCs w:val="24"/>
                <w:lang w:eastAsia="de-DE" w:bidi="he-IL"/>
              </w:rPr>
            </w:pPr>
            <w:r w:rsidRPr="00007C68">
              <w:rPr>
                <w:rFonts w:ascii="Times New Roman" w:eastAsia="Times New Roman" w:hAnsi="Times New Roman" w:cs="Times New Roman"/>
                <w:b/>
                <w:bCs/>
                <w:sz w:val="24"/>
                <w:szCs w:val="24"/>
                <w:lang w:eastAsia="de-DE" w:bidi="he-IL"/>
              </w:rPr>
              <w:t>Variable</w:t>
            </w:r>
          </w:p>
        </w:tc>
        <w:tc>
          <w:tcPr>
            <w:tcW w:w="547" w:type="pct"/>
            <w:tcBorders>
              <w:top w:val="single" w:sz="4" w:space="0" w:color="auto"/>
              <w:bottom w:val="single" w:sz="4" w:space="0" w:color="auto"/>
            </w:tcBorders>
            <w:shd w:val="clear" w:color="auto" w:fill="FFFFFF"/>
            <w:vAlign w:val="center"/>
            <w:hideMark/>
          </w:tcPr>
          <w:p w:rsidR="00007C68" w:rsidRPr="00007C68" w:rsidRDefault="00007C68" w:rsidP="0019702F">
            <w:pPr>
              <w:spacing w:before="240" w:after="0" w:line="240" w:lineRule="auto"/>
              <w:jc w:val="center"/>
              <w:rPr>
                <w:rFonts w:ascii="Times New Roman" w:eastAsia="Times New Roman" w:hAnsi="Times New Roman" w:cs="Times New Roman"/>
                <w:b/>
                <w:bCs/>
                <w:sz w:val="24"/>
                <w:szCs w:val="24"/>
                <w:lang w:eastAsia="de-DE" w:bidi="he-IL"/>
              </w:rPr>
            </w:pPr>
            <w:r w:rsidRPr="00007C68">
              <w:rPr>
                <w:rFonts w:ascii="Times New Roman" w:eastAsia="Times New Roman" w:hAnsi="Times New Roman" w:cs="Times New Roman"/>
                <w:b/>
                <w:bCs/>
                <w:sz w:val="24"/>
                <w:szCs w:val="24"/>
                <w:lang w:eastAsia="de-DE" w:bidi="he-IL"/>
              </w:rPr>
              <w:t>N</w:t>
            </w:r>
          </w:p>
        </w:tc>
        <w:tc>
          <w:tcPr>
            <w:tcW w:w="625" w:type="pct"/>
            <w:tcBorders>
              <w:top w:val="single" w:sz="4" w:space="0" w:color="auto"/>
              <w:bottom w:val="single" w:sz="4" w:space="0" w:color="auto"/>
            </w:tcBorders>
            <w:shd w:val="clear" w:color="auto" w:fill="FFFFFF"/>
            <w:vAlign w:val="center"/>
            <w:hideMark/>
          </w:tcPr>
          <w:p w:rsidR="00007C68" w:rsidRPr="00007C68" w:rsidRDefault="00007C68" w:rsidP="0019702F">
            <w:pPr>
              <w:spacing w:before="240" w:after="0" w:line="240" w:lineRule="auto"/>
              <w:jc w:val="center"/>
              <w:rPr>
                <w:rFonts w:ascii="Times New Roman" w:eastAsia="Times New Roman" w:hAnsi="Times New Roman" w:cs="Times New Roman"/>
                <w:b/>
                <w:bCs/>
                <w:sz w:val="24"/>
                <w:szCs w:val="24"/>
                <w:lang w:eastAsia="de-DE" w:bidi="he-IL"/>
              </w:rPr>
            </w:pPr>
            <w:r w:rsidRPr="00007C68">
              <w:rPr>
                <w:rFonts w:ascii="Times New Roman" w:eastAsia="Times New Roman" w:hAnsi="Times New Roman" w:cs="Times New Roman"/>
                <w:b/>
                <w:bCs/>
                <w:sz w:val="24"/>
                <w:szCs w:val="24"/>
                <w:lang w:eastAsia="de-DE" w:bidi="he-IL"/>
              </w:rPr>
              <w:t>Mean</w:t>
            </w:r>
          </w:p>
        </w:tc>
        <w:tc>
          <w:tcPr>
            <w:tcW w:w="391" w:type="pct"/>
            <w:tcBorders>
              <w:top w:val="single" w:sz="4" w:space="0" w:color="auto"/>
              <w:bottom w:val="single" w:sz="4" w:space="0" w:color="auto"/>
            </w:tcBorders>
            <w:shd w:val="clear" w:color="auto" w:fill="FFFFFF"/>
            <w:vAlign w:val="center"/>
            <w:hideMark/>
          </w:tcPr>
          <w:p w:rsidR="00007C68" w:rsidRPr="00007C68" w:rsidRDefault="00007C68" w:rsidP="0019702F">
            <w:pPr>
              <w:spacing w:before="240" w:after="0" w:line="240" w:lineRule="auto"/>
              <w:jc w:val="center"/>
              <w:rPr>
                <w:rFonts w:ascii="Times New Roman" w:eastAsia="Times New Roman" w:hAnsi="Times New Roman" w:cs="Times New Roman"/>
                <w:b/>
                <w:bCs/>
                <w:sz w:val="24"/>
                <w:szCs w:val="24"/>
                <w:lang w:eastAsia="de-DE" w:bidi="he-IL"/>
              </w:rPr>
            </w:pPr>
            <w:r w:rsidRPr="00007C68">
              <w:rPr>
                <w:rFonts w:ascii="Times New Roman" w:eastAsia="Times New Roman" w:hAnsi="Times New Roman" w:cs="Times New Roman"/>
                <w:b/>
                <w:bCs/>
                <w:sz w:val="24"/>
                <w:szCs w:val="24"/>
                <w:lang w:eastAsia="de-DE" w:bidi="he-IL"/>
              </w:rPr>
              <w:t>SD</w:t>
            </w:r>
          </w:p>
        </w:tc>
        <w:tc>
          <w:tcPr>
            <w:tcW w:w="546" w:type="pct"/>
            <w:tcBorders>
              <w:top w:val="single" w:sz="4" w:space="0" w:color="auto"/>
              <w:bottom w:val="single" w:sz="4" w:space="0" w:color="auto"/>
            </w:tcBorders>
            <w:shd w:val="clear" w:color="auto" w:fill="FFFFFF"/>
            <w:vAlign w:val="center"/>
            <w:hideMark/>
          </w:tcPr>
          <w:p w:rsidR="00007C68" w:rsidRPr="00007C68" w:rsidRDefault="00007C68" w:rsidP="0019702F">
            <w:pPr>
              <w:spacing w:before="240" w:after="0" w:line="240" w:lineRule="auto"/>
              <w:jc w:val="center"/>
              <w:rPr>
                <w:rFonts w:ascii="Times New Roman" w:eastAsia="Times New Roman" w:hAnsi="Times New Roman" w:cs="Times New Roman"/>
                <w:b/>
                <w:bCs/>
                <w:sz w:val="24"/>
                <w:szCs w:val="24"/>
                <w:lang w:eastAsia="de-DE" w:bidi="he-IL"/>
              </w:rPr>
            </w:pPr>
            <w:r w:rsidRPr="00007C68">
              <w:rPr>
                <w:rFonts w:ascii="Times New Roman" w:eastAsia="Times New Roman" w:hAnsi="Times New Roman" w:cs="Times New Roman"/>
                <w:b/>
                <w:bCs/>
                <w:sz w:val="24"/>
                <w:szCs w:val="24"/>
                <w:lang w:eastAsia="de-DE" w:bidi="he-IL"/>
              </w:rPr>
              <w:t>Min</w:t>
            </w:r>
          </w:p>
        </w:tc>
        <w:tc>
          <w:tcPr>
            <w:tcW w:w="313" w:type="pct"/>
            <w:tcBorders>
              <w:top w:val="single" w:sz="4" w:space="0" w:color="auto"/>
              <w:bottom w:val="single" w:sz="4" w:space="0" w:color="auto"/>
            </w:tcBorders>
            <w:shd w:val="clear" w:color="auto" w:fill="FFFFFF"/>
            <w:vAlign w:val="center"/>
            <w:hideMark/>
          </w:tcPr>
          <w:p w:rsidR="00007C68" w:rsidRPr="00007C68" w:rsidRDefault="00007C68" w:rsidP="0019702F">
            <w:pPr>
              <w:spacing w:before="240" w:after="0" w:line="240" w:lineRule="auto"/>
              <w:jc w:val="center"/>
              <w:rPr>
                <w:rFonts w:ascii="Times New Roman" w:eastAsia="Times New Roman" w:hAnsi="Times New Roman" w:cs="Times New Roman"/>
                <w:b/>
                <w:bCs/>
                <w:sz w:val="24"/>
                <w:szCs w:val="24"/>
                <w:lang w:eastAsia="de-DE" w:bidi="he-IL"/>
              </w:rPr>
            </w:pPr>
            <w:r w:rsidRPr="00007C68">
              <w:rPr>
                <w:rFonts w:ascii="Times New Roman" w:eastAsia="Times New Roman" w:hAnsi="Times New Roman" w:cs="Times New Roman"/>
                <w:b/>
                <w:bCs/>
                <w:sz w:val="24"/>
                <w:szCs w:val="24"/>
                <w:lang w:eastAsia="de-DE" w:bidi="he-IL"/>
              </w:rPr>
              <w:t>Max</w:t>
            </w:r>
          </w:p>
        </w:tc>
      </w:tr>
      <w:tr w:rsidR="00007C68" w:rsidRPr="00007C68" w:rsidTr="00007C68">
        <w:tc>
          <w:tcPr>
            <w:tcW w:w="2578" w:type="pct"/>
            <w:tcBorders>
              <w:top w:val="single" w:sz="4" w:space="0" w:color="auto"/>
            </w:tcBorders>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 xml:space="preserve">Sex </w:t>
            </w:r>
            <w:r w:rsidRPr="00007C68">
              <w:rPr>
                <w:rFonts w:ascii="Times New Roman" w:eastAsia="Times New Roman" w:hAnsi="Times New Roman" w:cs="Times New Roman"/>
                <w:sz w:val="24"/>
                <w:szCs w:val="24"/>
                <w:lang w:val="en" w:eastAsia="de-DE" w:bidi="he-IL"/>
              </w:rPr>
              <w:t>♀</w:t>
            </w:r>
            <w:r w:rsidRPr="00007C68">
              <w:rPr>
                <w:rFonts w:ascii="Times New Roman" w:eastAsia="Times New Roman" w:hAnsi="Times New Roman" w:cs="Times New Roman"/>
                <w:sz w:val="24"/>
                <w:szCs w:val="24"/>
                <w:lang w:eastAsia="de-DE" w:bidi="he-IL"/>
              </w:rPr>
              <w:t>: 2275/</w:t>
            </w:r>
            <w:r w:rsidRPr="00007C68">
              <w:rPr>
                <w:rFonts w:ascii="Times New Roman" w:eastAsia="Times New Roman" w:hAnsi="Times New Roman" w:cs="Times New Roman"/>
                <w:b/>
                <w:bCs/>
                <w:sz w:val="24"/>
                <w:szCs w:val="24"/>
                <w:lang w:val="en" w:eastAsia="de-DE" w:bidi="he-IL"/>
              </w:rPr>
              <w:t xml:space="preserve"> ♂</w:t>
            </w:r>
            <w:r w:rsidRPr="00007C68">
              <w:rPr>
                <w:rFonts w:ascii="Times New Roman" w:eastAsia="Times New Roman" w:hAnsi="Times New Roman" w:cs="Times New Roman"/>
                <w:sz w:val="24"/>
                <w:szCs w:val="24"/>
                <w:lang w:eastAsia="de-DE" w:bidi="he-IL"/>
              </w:rPr>
              <w:t>: 1635 / Diverse: 76</w:t>
            </w:r>
          </w:p>
        </w:tc>
        <w:tc>
          <w:tcPr>
            <w:tcW w:w="547" w:type="pct"/>
            <w:tcBorders>
              <w:top w:val="single" w:sz="4" w:space="0" w:color="auto"/>
            </w:tcBorders>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3986</w:t>
            </w:r>
          </w:p>
        </w:tc>
        <w:tc>
          <w:tcPr>
            <w:tcW w:w="1875" w:type="pct"/>
            <w:gridSpan w:val="4"/>
            <w:tcBorders>
              <w:top w:val="single" w:sz="4" w:space="0" w:color="auto"/>
            </w:tcBorders>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Age</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3991</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14.15</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1.01</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18</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SES</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3887</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6.25</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2.04</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Climate – Subj. Distress</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3980</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1.51</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1.02</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Climate - Sadness</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3976</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1.04</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1.08</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Climate - Helplessness</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3962</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0.90</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1.14</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Climate - Anxiety</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3971</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1.18</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1.18</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Climate - Anger</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3960</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1.16</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1.27</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Climate - Guilt</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3964</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0.99</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1.06</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Climate - Desperation</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3963</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0.92</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1.12</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Climate – Impact on psychosocial functioning</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3983</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1.91</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0.96</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5</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War– Subj. Distress</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3964</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1.81</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1.09</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War - Sadness</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3973</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1.68</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1.23</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War - Helplessness</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3961</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1.01</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1.19</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War - Anxiety</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3969</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1.66</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1.28</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War - Anger</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3959</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1.83</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1.42</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War - Guilt</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3961</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0.24</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0.65</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War - Desperation</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3964</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1.03</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1.14</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War – Impact on psychosocial functioning</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3973</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1.02</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1.05</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Pandemic – Subj. Distress</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3981</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2.60</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1.21</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Pandemic - Sadness</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3978</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1.67</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1.35</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Pandemic - Helplessness</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3968</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1.50</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1.38</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Pandemic - Anxiety</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3967</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1.36</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1.31</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Pandemic - Anger</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3968</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1.48</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1.43</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Pandemic - Guilt</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3967</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0.38</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0.82</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Pandemic - Desperation</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3970</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1.62</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1.40</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Pandemic – Impact on psychosocial functioning</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3975</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1.04</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1.06</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w:t>
            </w:r>
          </w:p>
        </w:tc>
      </w:tr>
      <w:tr w:rsidR="00007C68" w:rsidRPr="00007C68" w:rsidTr="00007C68">
        <w:tc>
          <w:tcPr>
            <w:tcW w:w="2578" w:type="pct"/>
            <w:vAlign w:val="center"/>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Distress – Individual Stressors</w:t>
            </w:r>
          </w:p>
        </w:tc>
        <w:tc>
          <w:tcPr>
            <w:tcW w:w="547" w:type="pct"/>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4001</w:t>
            </w:r>
          </w:p>
        </w:tc>
        <w:tc>
          <w:tcPr>
            <w:tcW w:w="625" w:type="pct"/>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9.11</w:t>
            </w:r>
          </w:p>
        </w:tc>
        <w:tc>
          <w:tcPr>
            <w:tcW w:w="391" w:type="pct"/>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6.06</w:t>
            </w:r>
          </w:p>
        </w:tc>
        <w:tc>
          <w:tcPr>
            <w:tcW w:w="546" w:type="pct"/>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24</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Self-efficacy</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3935</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3.45</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0.89</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5</w:t>
            </w:r>
          </w:p>
        </w:tc>
      </w:tr>
      <w:tr w:rsidR="00007C68" w:rsidRPr="00007C68" w:rsidTr="00007C68">
        <w:tc>
          <w:tcPr>
            <w:tcW w:w="2578" w:type="pct"/>
            <w:vAlign w:val="center"/>
            <w:hideMark/>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Expressive flexibility</w:t>
            </w:r>
          </w:p>
        </w:tc>
        <w:tc>
          <w:tcPr>
            <w:tcW w:w="547"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3887</w:t>
            </w:r>
          </w:p>
        </w:tc>
        <w:tc>
          <w:tcPr>
            <w:tcW w:w="625"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13.03</w:t>
            </w:r>
          </w:p>
        </w:tc>
        <w:tc>
          <w:tcPr>
            <w:tcW w:w="391"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5.08</w:t>
            </w:r>
          </w:p>
        </w:tc>
        <w:tc>
          <w:tcPr>
            <w:tcW w:w="546"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hideMark/>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24</w:t>
            </w:r>
          </w:p>
        </w:tc>
      </w:tr>
      <w:tr w:rsidR="00007C68" w:rsidRPr="00007C68" w:rsidTr="00007C68">
        <w:tc>
          <w:tcPr>
            <w:tcW w:w="2578" w:type="pct"/>
            <w:vAlign w:val="center"/>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proofErr w:type="spellStart"/>
            <w:r w:rsidRPr="00007C68">
              <w:rPr>
                <w:rFonts w:ascii="Times New Roman" w:eastAsia="Times New Roman" w:hAnsi="Times New Roman" w:cs="Times New Roman"/>
                <w:sz w:val="24"/>
                <w:szCs w:val="24"/>
                <w:lang w:eastAsia="de-DE" w:bidi="he-IL"/>
              </w:rPr>
              <w:t>HRQoL</w:t>
            </w:r>
            <w:proofErr w:type="spellEnd"/>
          </w:p>
        </w:tc>
        <w:tc>
          <w:tcPr>
            <w:tcW w:w="547" w:type="pct"/>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3916</w:t>
            </w:r>
          </w:p>
        </w:tc>
        <w:tc>
          <w:tcPr>
            <w:tcW w:w="625" w:type="pct"/>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45.57</w:t>
            </w:r>
          </w:p>
        </w:tc>
        <w:tc>
          <w:tcPr>
            <w:tcW w:w="391" w:type="pct"/>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11.10</w:t>
            </w:r>
          </w:p>
        </w:tc>
        <w:tc>
          <w:tcPr>
            <w:tcW w:w="546" w:type="pct"/>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84</w:t>
            </w:r>
          </w:p>
        </w:tc>
      </w:tr>
      <w:tr w:rsidR="00007C68" w:rsidRPr="00007C68" w:rsidTr="00007C68">
        <w:tc>
          <w:tcPr>
            <w:tcW w:w="2578" w:type="pct"/>
            <w:vAlign w:val="center"/>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Depression</w:t>
            </w:r>
          </w:p>
        </w:tc>
        <w:tc>
          <w:tcPr>
            <w:tcW w:w="547" w:type="pct"/>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3932</w:t>
            </w:r>
          </w:p>
        </w:tc>
        <w:tc>
          <w:tcPr>
            <w:tcW w:w="625" w:type="pct"/>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1.01</w:t>
            </w:r>
          </w:p>
        </w:tc>
        <w:tc>
          <w:tcPr>
            <w:tcW w:w="391" w:type="pct"/>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0.76</w:t>
            </w:r>
          </w:p>
        </w:tc>
        <w:tc>
          <w:tcPr>
            <w:tcW w:w="546" w:type="pct"/>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w:t>
            </w:r>
          </w:p>
        </w:tc>
      </w:tr>
      <w:tr w:rsidR="00007C68" w:rsidRPr="00007C68" w:rsidTr="00007C68">
        <w:tc>
          <w:tcPr>
            <w:tcW w:w="2578" w:type="pct"/>
            <w:tcBorders>
              <w:bottom w:val="single" w:sz="4" w:space="0" w:color="auto"/>
            </w:tcBorders>
            <w:vAlign w:val="center"/>
          </w:tcPr>
          <w:p w:rsidR="00007C68" w:rsidRPr="00007C68" w:rsidRDefault="00007C68" w:rsidP="0019702F">
            <w:pPr>
              <w:spacing w:after="0" w:line="240" w:lineRule="auto"/>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Anxiety</w:t>
            </w:r>
          </w:p>
        </w:tc>
        <w:tc>
          <w:tcPr>
            <w:tcW w:w="547" w:type="pct"/>
            <w:tcBorders>
              <w:bottom w:val="single" w:sz="4" w:space="0" w:color="auto"/>
            </w:tcBorders>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3954</w:t>
            </w:r>
          </w:p>
        </w:tc>
        <w:tc>
          <w:tcPr>
            <w:tcW w:w="625" w:type="pct"/>
            <w:tcBorders>
              <w:bottom w:val="single" w:sz="4" w:space="0" w:color="auto"/>
            </w:tcBorders>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1.03</w:t>
            </w:r>
          </w:p>
        </w:tc>
        <w:tc>
          <w:tcPr>
            <w:tcW w:w="391" w:type="pct"/>
            <w:tcBorders>
              <w:bottom w:val="single" w:sz="4" w:space="0" w:color="auto"/>
            </w:tcBorders>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0.56</w:t>
            </w:r>
          </w:p>
        </w:tc>
        <w:tc>
          <w:tcPr>
            <w:tcW w:w="546" w:type="pct"/>
            <w:tcBorders>
              <w:bottom w:val="single" w:sz="4" w:space="0" w:color="auto"/>
            </w:tcBorders>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0</w:t>
            </w:r>
          </w:p>
        </w:tc>
        <w:tc>
          <w:tcPr>
            <w:tcW w:w="313" w:type="pct"/>
            <w:tcBorders>
              <w:bottom w:val="single" w:sz="4" w:space="0" w:color="auto"/>
            </w:tcBorders>
            <w:vAlign w:val="center"/>
          </w:tcPr>
          <w:p w:rsidR="00007C68" w:rsidRPr="00007C68" w:rsidRDefault="00007C68" w:rsidP="0019702F">
            <w:pPr>
              <w:spacing w:after="0" w:line="240" w:lineRule="auto"/>
              <w:jc w:val="center"/>
              <w:rPr>
                <w:rFonts w:ascii="Times New Roman" w:eastAsia="Times New Roman" w:hAnsi="Times New Roman" w:cs="Times New Roman"/>
                <w:sz w:val="24"/>
                <w:szCs w:val="24"/>
                <w:lang w:eastAsia="de-DE" w:bidi="he-IL"/>
              </w:rPr>
            </w:pPr>
            <w:r w:rsidRPr="00007C68">
              <w:rPr>
                <w:rFonts w:ascii="Times New Roman" w:eastAsia="Times New Roman" w:hAnsi="Times New Roman" w:cs="Times New Roman"/>
                <w:sz w:val="24"/>
                <w:szCs w:val="24"/>
                <w:lang w:eastAsia="de-DE" w:bidi="he-IL"/>
              </w:rPr>
              <w:t>2</w:t>
            </w:r>
          </w:p>
        </w:tc>
      </w:tr>
    </w:tbl>
    <w:p w:rsidR="00007C68" w:rsidRPr="00007C68" w:rsidRDefault="00007C68" w:rsidP="00007C68">
      <w:pPr>
        <w:spacing w:after="100" w:afterAutospacing="1" w:line="276" w:lineRule="auto"/>
        <w:jc w:val="both"/>
        <w:outlineLvl w:val="0"/>
        <w:rPr>
          <w:rFonts w:ascii="Times New Roman" w:eastAsia="Times New Roman" w:hAnsi="Times New Roman" w:cs="Times New Roman"/>
          <w:bCs/>
          <w:kern w:val="36"/>
          <w:sz w:val="24"/>
          <w:szCs w:val="24"/>
          <w:lang w:eastAsia="de-CH"/>
        </w:rPr>
      </w:pPr>
      <w:r w:rsidRPr="00007C68">
        <w:rPr>
          <w:rFonts w:ascii="Times New Roman" w:eastAsia="Times New Roman" w:hAnsi="Times New Roman" w:cs="Times New Roman"/>
          <w:bCs/>
          <w:i/>
          <w:iCs/>
          <w:kern w:val="36"/>
          <w:sz w:val="24"/>
          <w:szCs w:val="24"/>
          <w:lang w:eastAsia="de-CH"/>
        </w:rPr>
        <w:t>Note:</w:t>
      </w:r>
      <w:r w:rsidRPr="00007C68">
        <w:rPr>
          <w:rFonts w:ascii="Times New Roman" w:eastAsia="Times New Roman" w:hAnsi="Times New Roman" w:cs="Times New Roman"/>
          <w:bCs/>
          <w:kern w:val="36"/>
          <w:sz w:val="24"/>
          <w:szCs w:val="24"/>
          <w:vertAlign w:val="superscript"/>
          <w:lang w:eastAsia="de-CH"/>
        </w:rPr>
        <w:t xml:space="preserve"> </w:t>
      </w:r>
      <w:r w:rsidRPr="00007C68">
        <w:rPr>
          <w:rFonts w:ascii="Times New Roman" w:eastAsia="Times New Roman" w:hAnsi="Times New Roman" w:cs="Times New Roman"/>
          <w:bCs/>
          <w:kern w:val="36"/>
          <w:sz w:val="24"/>
          <w:szCs w:val="24"/>
          <w:lang w:eastAsia="de-CH"/>
        </w:rPr>
        <w:t xml:space="preserve">SD = Standard Deviation, Min = Minimum, Max = Maximum, SES = Socioeconomic Status, </w:t>
      </w:r>
      <w:proofErr w:type="spellStart"/>
      <w:r w:rsidRPr="00007C68">
        <w:rPr>
          <w:rFonts w:ascii="Times New Roman" w:eastAsia="Times New Roman" w:hAnsi="Times New Roman" w:cs="Times New Roman"/>
          <w:bCs/>
          <w:kern w:val="36"/>
          <w:sz w:val="24"/>
          <w:szCs w:val="24"/>
          <w:lang w:eastAsia="de-CH"/>
        </w:rPr>
        <w:t>HRQoL</w:t>
      </w:r>
      <w:proofErr w:type="spellEnd"/>
      <w:r w:rsidRPr="00007C68">
        <w:rPr>
          <w:rFonts w:ascii="Times New Roman" w:eastAsia="Times New Roman" w:hAnsi="Times New Roman" w:cs="Times New Roman"/>
          <w:bCs/>
          <w:kern w:val="36"/>
          <w:sz w:val="24"/>
          <w:szCs w:val="24"/>
          <w:lang w:eastAsia="de-CH"/>
        </w:rPr>
        <w:t xml:space="preserve"> = Health-related quality of life.</w:t>
      </w:r>
    </w:p>
    <w:p w:rsidR="00721A94" w:rsidRPr="00007C68" w:rsidRDefault="00694225">
      <w:pPr>
        <w:rPr>
          <w:sz w:val="24"/>
          <w:szCs w:val="24"/>
        </w:rPr>
      </w:pPr>
    </w:p>
    <w:sectPr w:rsidR="00721A94" w:rsidRPr="00007C6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TIX-Regular">
    <w:altName w:val="MS Gothic"/>
    <w:panose1 w:val="00000000000000000000"/>
    <w:charset w:val="80"/>
    <w:family w:val="roman"/>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01"/>
    <w:rsid w:val="00007C68"/>
    <w:rsid w:val="00294262"/>
    <w:rsid w:val="004F2CFB"/>
    <w:rsid w:val="00694225"/>
    <w:rsid w:val="0078223C"/>
    <w:rsid w:val="00821B5D"/>
    <w:rsid w:val="00870601"/>
    <w:rsid w:val="00AC1983"/>
  </w:rsids>
  <m:mathPr>
    <m:mathFont m:val="Cambria Math"/>
    <m:brkBin m:val="before"/>
    <m:brkBinSub m:val="--"/>
    <m:smallFrac m:val="0"/>
    <m:dispDef/>
    <m:lMargin m:val="0"/>
    <m:rMargin m:val="0"/>
    <m:defJc m:val="centerGroup"/>
    <m:wrapIndent m:val="1440"/>
    <m:intLim m:val="subSup"/>
    <m:naryLim m:val="undOvr"/>
  </m:mathPr>
  <w:themeFontLang w:val="de-DE"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904DC"/>
  <w15:chartTrackingRefBased/>
  <w15:docId w15:val="{C0D9D33D-3ED0-42A4-814A-5DEEEB600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870601"/>
    <w:rPr>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HTMLVorformatiert">
    <w:name w:val="HTML Preformatted"/>
    <w:basedOn w:val="Standard"/>
    <w:link w:val="HTMLVorformatiertZchn"/>
    <w:uiPriority w:val="99"/>
    <w:unhideWhenUsed/>
    <w:rsid w:val="00870601"/>
    <w:pPr>
      <w:spacing w:after="0"/>
    </w:pPr>
    <w:rPr>
      <w:rFonts w:ascii="Consolas" w:eastAsiaTheme="minorEastAsia" w:hAnsi="Consolas"/>
      <w:sz w:val="20"/>
      <w:szCs w:val="20"/>
    </w:rPr>
  </w:style>
  <w:style w:type="character" w:customStyle="1" w:styleId="HTMLVorformatiertZchn">
    <w:name w:val="HTML Vorformatiert Zchn"/>
    <w:basedOn w:val="Absatz-Standardschriftart"/>
    <w:link w:val="HTMLVorformatiert"/>
    <w:uiPriority w:val="99"/>
    <w:rsid w:val="00870601"/>
    <w:rPr>
      <w:rFonts w:ascii="Consolas" w:eastAsiaTheme="minorEastAsia" w:hAnsi="Consolas"/>
      <w:sz w:val="20"/>
      <w:szCs w:val="20"/>
      <w:lang w:val="en-US"/>
    </w:rPr>
  </w:style>
  <w:style w:type="character" w:customStyle="1" w:styleId="property-value">
    <w:name w:val="property-value"/>
    <w:basedOn w:val="Absatz-Standardschriftart"/>
    <w:rsid w:val="008706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5982BD-2DFF-4CE8-8DA7-786E7E283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3271</Words>
  <Characters>20613</Characters>
  <Application>Microsoft Office Word</Application>
  <DocSecurity>0</DocSecurity>
  <Lines>171</Lines>
  <Paragraphs>47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Roxanne Sopp</dc:creator>
  <cp:keywords/>
  <dc:description/>
  <cp:lastModifiedBy>Marie Roxanne Sopp</cp:lastModifiedBy>
  <cp:revision>4</cp:revision>
  <dcterms:created xsi:type="dcterms:W3CDTF">2023-06-29T11:27:00Z</dcterms:created>
  <dcterms:modified xsi:type="dcterms:W3CDTF">2023-07-01T16:57:00Z</dcterms:modified>
</cp:coreProperties>
</file>