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XSpec="center" w:tblpY="-1439"/>
        <w:tblW w:w="11186" w:type="dxa"/>
        <w:jc w:val="center"/>
        <w:tblBorders>
          <w:top w:val="single" w:color="auto" w:sz="24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3"/>
        <w:gridCol w:w="1725"/>
        <w:gridCol w:w="1606"/>
        <w:gridCol w:w="1015"/>
        <w:gridCol w:w="1711"/>
        <w:gridCol w:w="1903"/>
        <w:gridCol w:w="921"/>
        <w:gridCol w:w="12"/>
      </w:tblGrid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" w:hRule="atLeast"/>
          <w:jc w:val="center"/>
        </w:trPr>
        <w:tc>
          <w:tcPr>
            <w:tcW w:w="11186" w:type="dxa"/>
            <w:gridSpan w:val="8"/>
            <w:tcBorders>
              <w:top w:val="nil"/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Table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instrText xml:space="preserve"> = 1 \* ROMAN \* MERGEFORMAT </w:instrTex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 Basic characteristics and preoperative, operative duration, and hospital stay data of the two groups.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" w:hRule="atLeast"/>
          <w:jc w:val="center"/>
        </w:trPr>
        <w:tc>
          <w:tcPr>
            <w:tcW w:w="2293" w:type="dxa"/>
            <w:vMerge w:val="restart"/>
            <w:tcBorders>
              <w:top w:val="single" w:color="auto" w:sz="12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Patient Characteristics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6" w:type="dxa"/>
            <w:gridSpan w:val="3"/>
            <w:tcBorders>
              <w:top w:val="single" w:color="auto" w:sz="12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Original dataset</w:t>
            </w:r>
          </w:p>
        </w:tc>
        <w:tc>
          <w:tcPr>
            <w:tcW w:w="4546" w:type="dxa"/>
            <w:gridSpan w:val="4"/>
            <w:tcBorders>
              <w:top w:val="single" w:color="auto" w:sz="12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Propensity score-matched dataset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312" w:hRule="atLeast"/>
          <w:jc w:val="center"/>
        </w:trPr>
        <w:tc>
          <w:tcPr>
            <w:tcW w:w="2293" w:type="dxa"/>
            <w:vMerge w:val="continue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IF group </w:t>
            </w:r>
          </w:p>
        </w:tc>
        <w:tc>
          <w:tcPr>
            <w:tcW w:w="1606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LCHA group </w:t>
            </w:r>
          </w:p>
        </w:tc>
        <w:tc>
          <w:tcPr>
            <w:tcW w:w="1015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p.overall</w:t>
            </w:r>
          </w:p>
        </w:tc>
        <w:tc>
          <w:tcPr>
            <w:tcW w:w="1711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IF group </w:t>
            </w:r>
          </w:p>
        </w:tc>
        <w:tc>
          <w:tcPr>
            <w:tcW w:w="1903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LCHA group </w:t>
            </w:r>
          </w:p>
        </w:tc>
        <w:tc>
          <w:tcPr>
            <w:tcW w:w="921" w:type="dxa"/>
            <w:tcBorders>
              <w:top w:val="single" w:color="auto" w:sz="18" w:space="0"/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p.overall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N = 120      </w:t>
            </w:r>
          </w:p>
        </w:tc>
        <w:tc>
          <w:tcPr>
            <w:tcW w:w="1606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N = 121      </w:t>
            </w:r>
          </w:p>
        </w:tc>
        <w:tc>
          <w:tcPr>
            <w:tcW w:w="1015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N = 77      </w:t>
            </w:r>
          </w:p>
        </w:tc>
        <w:tc>
          <w:tcPr>
            <w:tcW w:w="1903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N = 77      </w:t>
            </w:r>
          </w:p>
        </w:tc>
        <w:tc>
          <w:tcPr>
            <w:tcW w:w="921" w:type="dxa"/>
            <w:tcBorders>
              <w:top w:val="single" w:color="auto" w:sz="1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413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Sex, n (%)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0.183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Male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36(30.0 %)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32 (26.4 %)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22 (28.6 %)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14 (18.2 %)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Female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84 (70.0 %)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89 (73.6 %)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55 (71.4 %)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63 (81.8 %)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Age, years,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81.0 (78.0, 84.2)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83.0 (81.0, 88.0)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82.0 (79.0,85.)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82.0 (80.0, 85.0)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512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BMI (kg/m2),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32.9 (29.6, 37.5)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33.1 (28.8, 37.2)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0.818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32.5 (29.7,37.2)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32.3(28.8, 36.2)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Side: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0.605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Left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59 (49.2 %)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64 (53.3 %)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36 (46.8 %)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44 (57.9 %)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Right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61 (50.8 %)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56 (46.7 %)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41 (53.2 %)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32 (42.1 %)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1252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Numbers of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comorbidities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, n (%)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0.366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0.644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0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15 (12.8 %)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15 (12.4 %)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 (7.89 %)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7 (9.09 %)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1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38 (32.5 %)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38 (31.4 %)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24 (31.6 %)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27 (35.1 %)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2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39 (33.3 %)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31 (25.6 %)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27 (35.5 %)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20 (26.0 %)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Symbol" w:hAnsi="Symbol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Symbol" w:char="F0B3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25 (21.4 %)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37 (30.6 %)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19 (25.0 %)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23 (29.9 %)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ASA class, n (%)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ASA 2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26 (21.8 %)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 (9.2 %)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 (7.8 %)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 (14.3 %)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ASA 3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83 (69.7 %)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88 (73.3 %)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63 (81.8 %)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60 (77.9 %)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ASA 4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 (8.4 %)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21 (17.5 %)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 (10.4 %)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 (7.8 %)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Anesthesia, n (%)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0.091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0.452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Regional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98 (81.7 %)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109 (90.1 %)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66 (85.7 %)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70 (90.9 %)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General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22 (18.3 %)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12 (9.9 %)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 (14.3 %)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7 (9.1 %)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1863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Time from injury to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surgery, h,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110 (70.2, 155)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114 (87.0, 158)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111 (74.0, 154)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112 (87.0, 158)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0.714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Operative duration, 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min,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100 (90.0, 120)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95.0 (80.0, 120)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0.233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100 (90.0, 125)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95.0 (85.0, 115)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0.263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Hospital stay, d,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19.0 (16.0, 22.2)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20.0 (18.0, 23.0)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19.0 (16.0,23)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20.0 (19.0, 22.0)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0.052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863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Evaluate heart failure based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on NT-proBNP, n (%)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0.727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0.851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Non-heart failure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102 (87.2 %)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100 (84.7 %)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64 (85.3 %)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63 (82.9 %)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Heart failure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15 (12.8 %)   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18 (15.3 %)   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 (14.7 %)  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13 (17.1 %)  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LVEF (%),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63.0 (60.6, 66.0)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64.8 (61.0, 67.1)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63.2 (61.1,66.0)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64.2 (60.1, 67.0)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0.567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Blood Cr (u mol/l),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66.0 (55.5, 85.5)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70.0(56.0, 88.0)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0.699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68.0(58.0,87.0)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66.0 (56.0, 84.0)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0.342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52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BUN (m mol/l),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6.7 (5.40, 7.85)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6.70 (5.4, 8.2)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0.908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6.90(5.50,8.0)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6.45 (5.10, 7.93)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Total protein (g/l)</w:t>
            </w:r>
          </w:p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Median (IQR), mean (SD)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59.3 (56.3, 63.6)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60.0 (57.0, 64.1)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0.609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59.8 (5.08) 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60.9 (5.22) 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Albumin (g/l),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33.5 (31.6, 35.6)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33.0 (30.1, 35.1)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0.153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33.2 (31.2,35.0)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33.3 (30.2, 35.6)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0.793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52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ALT (U/L),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13.0 (10.0, 17.0)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12.0 (10.0,18.0)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0.816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13.0 (10.0,18.)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12.0 (9.0, 16.0)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0.592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37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AST (U/L),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19.0 (16.0, 23.0)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18.0 (15.0, 21.0)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0.185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19.0 (16.0,24)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18.0 (15.0, 21.0)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0.139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PT(s),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11.2 (10.7, 12.1)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11.3 (10.8, 12.0)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0.484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11.3 (10.7,12.1)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11.2 (10.7, 11.7)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1252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Plasma FIB (g/l),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3.47 (2.94,4.78)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3.84 (3.20,4.76)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0.044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3.61 (3.03,4.90)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3.92 (3.13, 4.80)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0.475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11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APTT(s),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29.7 (26.5,35.7)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28.8 (25.7,34.7)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0.396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29.8 (26.9,37.1)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27.8 (25.6, 32.7)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TT(s), median (IQR)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16.2 (15.0, 17.1)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15.9 (15.0, 16.9)</w:t>
            </w:r>
          </w:p>
        </w:tc>
        <w:tc>
          <w:tcPr>
            <w:tcW w:w="1015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0.440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16.0 (14.9, 17.4)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15.7 (14.8, 17.0)</w:t>
            </w:r>
          </w:p>
        </w:tc>
        <w:tc>
          <w:tcPr>
            <w:tcW w:w="92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0.869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24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12" w:type="dxa"/>
          <w:trHeight w:val="626" w:hRule="atLeast"/>
          <w:jc w:val="center"/>
        </w:trPr>
        <w:tc>
          <w:tcPr>
            <w:tcW w:w="2293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INR,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median (IQR)</w:t>
            </w:r>
          </w:p>
        </w:tc>
        <w:tc>
          <w:tcPr>
            <w:tcW w:w="1725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0.98(0.94,1.1)</w:t>
            </w:r>
          </w:p>
        </w:tc>
        <w:tc>
          <w:tcPr>
            <w:tcW w:w="1606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0.99(0.95,1.1)</w:t>
            </w:r>
          </w:p>
        </w:tc>
        <w:tc>
          <w:tcPr>
            <w:tcW w:w="1015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0.248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711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0.99(0.95,1.05)</w:t>
            </w:r>
          </w:p>
        </w:tc>
        <w:tc>
          <w:tcPr>
            <w:tcW w:w="1903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0.98(0.94,1.05)</w:t>
            </w:r>
          </w:p>
        </w:tc>
        <w:tc>
          <w:tcPr>
            <w:tcW w:w="921" w:type="dxa"/>
            <w:tcBorders>
              <w:bottom w:val="single" w:color="auto" w:sz="18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0.528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Notes: Frequencies (%) or medians (IQR);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Chi-square test;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Mann–Whitney U test;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Wilcoxon rank sum test;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independent samples t-test.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:lang w:bidi="ar"/>
          <w14:textFill>
            <w14:solidFill>
              <w14:schemeClr w14:val="tx1"/>
            </w14:solidFill>
          </w14:textFill>
        </w:rPr>
        <w:t>e</w:t>
      </w:r>
      <w:r>
        <w:rPr>
          <w:rFonts w:ascii="STIX-Regular" w:hAnsi="STIX-Regular"/>
          <w:color w:val="000000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Charlson comorbidity index.</w:t>
      </w:r>
    </w:p>
    <w:p>
      <w:pPr>
        <w:keepNext w:val="0"/>
        <w:keepLines w:val="0"/>
        <w:widowControl w:val="0"/>
        <w:suppressLineNumbers w:val="0"/>
        <w:spacing w:before="120" w:beforeAutospacing="0" w:after="120" w:afterAutospacing="0" w:line="480" w:lineRule="auto"/>
        <w:ind w:left="0" w:right="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Abbreviations: BMI, body mass index; ASA, American Society of Anesthesiologists; NT-proBNP, N-terminal pro-B-type natriuretic peptide; LVEF, left ventricular ejection fraction; BUN, blood urea nitrogen; ALT, serum alanine aminotransferase; AST, serum aspartate aminotransferase; PT, prothrombin time; FIB, fibrinogen; APTT, activated partial thromboplastin time; TT, plasma thrombin time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INR ,International Normalized Ratio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bookmarkStart w:id="0" w:name="_GoBack"/>
      <w:bookmarkEnd w:id="0"/>
    </w:p>
    <w:sectPr>
      <w:pgSz w:w="11906" w:h="16838"/>
      <w:pgMar w:top="1440" w:right="1440" w:bottom="1440" w:left="1440" w:header="850" w:footer="994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STIX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2NDY3MDKyMDA0MDVQ0lEKTi0uzszPAykwrgUA9sQe2CwAAAA="/>
    <w:docVar w:name="commondata" w:val="eyJoZGlkIjoiOTMzNDYzZWRmYjUzMDg4MmJhZDI3MGIzN2M4Mjc3OGIifQ=="/>
  </w:docVars>
  <w:rsids>
    <w:rsidRoot w:val="00753E7B"/>
    <w:rsid w:val="003B3EF4"/>
    <w:rsid w:val="003F5968"/>
    <w:rsid w:val="004040FA"/>
    <w:rsid w:val="00454CDA"/>
    <w:rsid w:val="006A3356"/>
    <w:rsid w:val="00715C54"/>
    <w:rsid w:val="00753E7B"/>
    <w:rsid w:val="007E2B5A"/>
    <w:rsid w:val="00882053"/>
    <w:rsid w:val="009538F6"/>
    <w:rsid w:val="009A6DBF"/>
    <w:rsid w:val="00AF4CDE"/>
    <w:rsid w:val="00D0707E"/>
    <w:rsid w:val="00D64B8D"/>
    <w:rsid w:val="00EF19F7"/>
    <w:rsid w:val="00F41551"/>
    <w:rsid w:val="00FE0F4F"/>
    <w:rsid w:val="15AF7257"/>
    <w:rsid w:val="318A49A8"/>
    <w:rsid w:val="3CF4361D"/>
    <w:rsid w:val="6F2D6397"/>
    <w:rsid w:val="71EB0C5F"/>
    <w:rsid w:val="7541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2"/>
    <w:unhideWhenUsed/>
    <w:qFormat/>
    <w:uiPriority w:val="0"/>
    <w:pPr>
      <w:keepNext/>
      <w:keepLines/>
      <w:spacing w:before="280" w:after="290" w:line="372" w:lineRule="auto"/>
      <w:outlineLvl w:val="4"/>
    </w:pPr>
    <w:rPr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uiPriority w:val="99"/>
    <w:rPr>
      <w:color w:val="800080"/>
      <w:u w:val="none"/>
    </w:rPr>
  </w:style>
  <w:style w:type="character" w:styleId="10">
    <w:name w:val="line number"/>
    <w:basedOn w:val="8"/>
    <w:semiHidden/>
    <w:unhideWhenUsed/>
    <w:uiPriority w:val="99"/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标题 5 字符"/>
    <w:basedOn w:val="8"/>
    <w:link w:val="2"/>
    <w:uiPriority w:val="0"/>
    <w:rPr>
      <w:rFonts w:eastAsiaTheme="minorEastAsia"/>
      <w:kern w:val="2"/>
      <w:sz w:val="24"/>
      <w:szCs w:val="24"/>
      <w:lang w:eastAsia="zh-CN"/>
    </w:rPr>
  </w:style>
  <w:style w:type="character" w:customStyle="1" w:styleId="13">
    <w:name w:val="批注文字 字符"/>
    <w:basedOn w:val="8"/>
    <w:link w:val="3"/>
    <w:qFormat/>
    <w:uiPriority w:val="0"/>
    <w:rPr>
      <w:rFonts w:eastAsiaTheme="minorEastAsia"/>
      <w:kern w:val="2"/>
      <w:sz w:val="21"/>
      <w:szCs w:val="24"/>
      <w:lang w:eastAsia="zh-CN"/>
    </w:rPr>
  </w:style>
  <w:style w:type="character" w:customStyle="1" w:styleId="14">
    <w:name w:val="批注框文本 字符"/>
    <w:basedOn w:val="8"/>
    <w:link w:val="4"/>
    <w:semiHidden/>
    <w:uiPriority w:val="99"/>
    <w:rPr>
      <w:rFonts w:ascii="Segoe UI" w:hAnsi="Segoe UI" w:cs="Segoe UI" w:eastAsiaTheme="minorEastAsia"/>
      <w:kern w:val="2"/>
      <w:sz w:val="18"/>
      <w:szCs w:val="18"/>
      <w:lang w:eastAsia="zh-CN"/>
    </w:rPr>
  </w:style>
  <w:style w:type="paragraph" w:customStyle="1" w:styleId="15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8"/>
    <w:link w:val="6"/>
    <w:uiPriority w:val="99"/>
    <w:rPr>
      <w:kern w:val="2"/>
      <w:sz w:val="18"/>
      <w:szCs w:val="18"/>
      <w:lang w:eastAsia="zh-CN"/>
    </w:rPr>
  </w:style>
  <w:style w:type="character" w:customStyle="1" w:styleId="17">
    <w:name w:val="页脚 字符"/>
    <w:basedOn w:val="8"/>
    <w:link w:val="5"/>
    <w:uiPriority w:val="99"/>
    <w:rPr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633</Words>
  <Characters>3099</Characters>
  <Lines>34</Lines>
  <Paragraphs>9</Paragraphs>
  <TotalTime>5</TotalTime>
  <ScaleCrop>false</ScaleCrop>
  <LinksUpToDate>false</LinksUpToDate>
  <CharactersWithSpaces>4588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2023-06-04T00:55:00Z</dcterms:created>
  <dc:creator>Author</dc:creator>
  <cp:lastModifiedBy>邓焱</cp:lastModifiedBy>
  <dcterms:modified xsi:type="dcterms:W3CDTF">2023-07-23T10:47:45Z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0600d1f6-80df-49b0-9c45-42cd1ffd090c</vt:lpwstr>
  </property>
  <property fmtid="{D5CDD505-2E9C-101B-9397-08002B2CF9AE}" pid="3" name="KSOProductBuildVer">
    <vt:lpwstr>2052-11.1.0.14309</vt:lpwstr>
  </property>
  <property fmtid="{D5CDD505-2E9C-101B-9397-08002B2CF9AE}" pid="4" name="ICV">
    <vt:lpwstr>2CD5DB6E4AA14D9296A26D7B48F4D714_12</vt:lpwstr>
  </property>
</Properties>
</file>