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F79016" w14:textId="77777777" w:rsidR="006C7872" w:rsidRDefault="006C7872" w:rsidP="006C7872">
      <w:pPr>
        <w:tabs>
          <w:tab w:val="left" w:pos="1725"/>
        </w:tabs>
        <w:rPr>
          <w:rFonts w:ascii="Arial" w:hAnsi="Arial" w:cs="Arial"/>
          <w:b/>
          <w:bCs/>
          <w:sz w:val="20"/>
          <w:szCs w:val="20"/>
        </w:rPr>
      </w:pPr>
      <w:r>
        <w:rPr>
          <w:rFonts w:ascii="Arial" w:hAnsi="Arial" w:cs="Arial"/>
          <w:b/>
          <w:bCs/>
          <w:sz w:val="20"/>
          <w:szCs w:val="20"/>
        </w:rPr>
        <w:t>Supplemental Table 1. Associations between self-reported household exposures and COVID-19 outcomes in the second wave (2021) of the Tufts Equity in Health, Wealth, and Civic Engagement Study</w:t>
      </w:r>
    </w:p>
    <w:tbl>
      <w:tblPr>
        <w:tblStyle w:val="TableGrid"/>
        <w:tblW w:w="12840" w:type="dxa"/>
        <w:tblInd w:w="0" w:type="dxa"/>
        <w:tblLayout w:type="fixed"/>
        <w:tblLook w:val="04A0" w:firstRow="1" w:lastRow="0" w:firstColumn="1" w:lastColumn="0" w:noHBand="0" w:noVBand="1"/>
      </w:tblPr>
      <w:tblGrid>
        <w:gridCol w:w="3822"/>
        <w:gridCol w:w="3006"/>
        <w:gridCol w:w="3006"/>
        <w:gridCol w:w="3006"/>
      </w:tblGrid>
      <w:tr w:rsidR="006C7872" w14:paraId="09DA9E4B" w14:textId="77777777" w:rsidTr="006C7872">
        <w:trPr>
          <w:trHeight w:val="628"/>
        </w:trPr>
        <w:tc>
          <w:tcPr>
            <w:tcW w:w="3824" w:type="dxa"/>
            <w:tcBorders>
              <w:top w:val="single" w:sz="4" w:space="0" w:color="auto"/>
              <w:left w:val="nil"/>
              <w:bottom w:val="single" w:sz="4" w:space="0" w:color="auto"/>
              <w:right w:val="nil"/>
            </w:tcBorders>
            <w:hideMark/>
          </w:tcPr>
          <w:p w14:paraId="045F4D4D" w14:textId="77777777" w:rsidR="006C7872" w:rsidRDefault="006C7872">
            <w:pPr>
              <w:tabs>
                <w:tab w:val="left" w:pos="1725"/>
              </w:tabs>
              <w:rPr>
                <w:rFonts w:ascii="Arial" w:hAnsi="Arial" w:cs="Arial"/>
                <w:b/>
                <w:bCs/>
                <w:sz w:val="20"/>
                <w:szCs w:val="20"/>
              </w:rPr>
            </w:pPr>
            <w:r>
              <w:rPr>
                <w:rFonts w:ascii="Arial" w:hAnsi="Arial" w:cs="Arial"/>
                <w:b/>
                <w:bCs/>
                <w:sz w:val="20"/>
                <w:szCs w:val="20"/>
              </w:rPr>
              <w:t>Exposure</w:t>
            </w:r>
          </w:p>
        </w:tc>
        <w:tc>
          <w:tcPr>
            <w:tcW w:w="3006" w:type="dxa"/>
            <w:tcBorders>
              <w:top w:val="single" w:sz="4" w:space="0" w:color="auto"/>
              <w:left w:val="nil"/>
              <w:bottom w:val="single" w:sz="4" w:space="0" w:color="auto"/>
              <w:right w:val="nil"/>
            </w:tcBorders>
            <w:hideMark/>
          </w:tcPr>
          <w:p w14:paraId="57252404" w14:textId="77777777" w:rsidR="006C7872" w:rsidRDefault="006C7872">
            <w:pPr>
              <w:tabs>
                <w:tab w:val="left" w:pos="1725"/>
              </w:tabs>
              <w:jc w:val="center"/>
              <w:rPr>
                <w:rFonts w:ascii="Arial" w:hAnsi="Arial" w:cs="Arial"/>
                <w:b/>
                <w:bCs/>
                <w:sz w:val="20"/>
                <w:szCs w:val="20"/>
              </w:rPr>
            </w:pPr>
            <w:r>
              <w:rPr>
                <w:rFonts w:ascii="Arial" w:hAnsi="Arial" w:cs="Arial"/>
                <w:b/>
                <w:bCs/>
                <w:sz w:val="20"/>
                <w:szCs w:val="20"/>
              </w:rPr>
              <w:t>Probable or actual COVID-19 diagnosis</w:t>
            </w:r>
          </w:p>
          <w:p w14:paraId="46E38B43" w14:textId="77777777" w:rsidR="006C7872" w:rsidRDefault="006C7872">
            <w:pPr>
              <w:tabs>
                <w:tab w:val="left" w:pos="1725"/>
              </w:tabs>
              <w:jc w:val="center"/>
              <w:rPr>
                <w:rFonts w:ascii="Arial" w:hAnsi="Arial" w:cs="Arial"/>
                <w:sz w:val="20"/>
                <w:szCs w:val="20"/>
                <w:vertAlign w:val="superscript"/>
              </w:rPr>
            </w:pPr>
            <w:r>
              <w:rPr>
                <w:rFonts w:ascii="Arial" w:hAnsi="Arial" w:cs="Arial"/>
                <w:sz w:val="20"/>
                <w:szCs w:val="20"/>
              </w:rPr>
              <w:t>Unadjusted OR (95% CI; p)</w:t>
            </w:r>
            <w:r>
              <w:rPr>
                <w:rFonts w:ascii="Arial" w:hAnsi="Arial" w:cs="Arial"/>
                <w:sz w:val="20"/>
                <w:szCs w:val="20"/>
                <w:vertAlign w:val="superscript"/>
              </w:rPr>
              <w:t>1</w:t>
            </w:r>
          </w:p>
          <w:p w14:paraId="22627311" w14:textId="77777777" w:rsidR="006C7872" w:rsidRDefault="006C7872">
            <w:pPr>
              <w:tabs>
                <w:tab w:val="left" w:pos="1725"/>
              </w:tabs>
              <w:jc w:val="center"/>
              <w:rPr>
                <w:rFonts w:ascii="Arial" w:hAnsi="Arial" w:cs="Arial"/>
                <w:sz w:val="20"/>
                <w:szCs w:val="20"/>
                <w:vertAlign w:val="superscript"/>
              </w:rPr>
            </w:pPr>
            <w:r>
              <w:rPr>
                <w:rFonts w:ascii="Arial" w:hAnsi="Arial" w:cs="Arial"/>
                <w:sz w:val="20"/>
                <w:szCs w:val="20"/>
              </w:rPr>
              <w:t>Adjusted 1 OR (95% CI; p)</w:t>
            </w:r>
            <w:r>
              <w:rPr>
                <w:rFonts w:ascii="Arial" w:hAnsi="Arial" w:cs="Arial"/>
                <w:sz w:val="20"/>
                <w:szCs w:val="20"/>
                <w:vertAlign w:val="superscript"/>
              </w:rPr>
              <w:t>2</w:t>
            </w:r>
          </w:p>
          <w:p w14:paraId="35E511F7" w14:textId="77777777" w:rsidR="006C7872" w:rsidRDefault="006C7872">
            <w:pPr>
              <w:tabs>
                <w:tab w:val="left" w:pos="1725"/>
              </w:tabs>
              <w:jc w:val="center"/>
              <w:rPr>
                <w:rFonts w:ascii="Arial" w:hAnsi="Arial" w:cs="Arial"/>
                <w:sz w:val="20"/>
                <w:szCs w:val="20"/>
              </w:rPr>
            </w:pPr>
            <w:r>
              <w:rPr>
                <w:rFonts w:ascii="Arial" w:hAnsi="Arial" w:cs="Arial"/>
                <w:sz w:val="20"/>
                <w:szCs w:val="20"/>
              </w:rPr>
              <w:t>Adjusted 2 OR (95% CI; p)</w:t>
            </w:r>
            <w:r>
              <w:rPr>
                <w:rFonts w:ascii="Arial" w:hAnsi="Arial" w:cs="Arial"/>
                <w:sz w:val="20"/>
                <w:szCs w:val="20"/>
                <w:vertAlign w:val="superscript"/>
              </w:rPr>
              <w:t>3</w:t>
            </w:r>
          </w:p>
        </w:tc>
        <w:tc>
          <w:tcPr>
            <w:tcW w:w="3006" w:type="dxa"/>
            <w:tcBorders>
              <w:top w:val="single" w:sz="4" w:space="0" w:color="auto"/>
              <w:left w:val="nil"/>
              <w:bottom w:val="single" w:sz="4" w:space="0" w:color="auto"/>
              <w:right w:val="nil"/>
            </w:tcBorders>
          </w:tcPr>
          <w:p w14:paraId="2FEF12D0" w14:textId="77777777" w:rsidR="006C7872" w:rsidRDefault="006C7872">
            <w:pPr>
              <w:tabs>
                <w:tab w:val="left" w:pos="1725"/>
              </w:tabs>
              <w:jc w:val="center"/>
              <w:rPr>
                <w:rFonts w:ascii="Arial" w:hAnsi="Arial" w:cs="Arial"/>
                <w:b/>
                <w:bCs/>
                <w:sz w:val="20"/>
                <w:szCs w:val="20"/>
              </w:rPr>
            </w:pPr>
            <w:r>
              <w:rPr>
                <w:rFonts w:ascii="Arial" w:hAnsi="Arial" w:cs="Arial"/>
                <w:b/>
                <w:bCs/>
                <w:sz w:val="20"/>
                <w:szCs w:val="20"/>
              </w:rPr>
              <w:t xml:space="preserve">COVID-19 diagnosis </w:t>
            </w:r>
          </w:p>
          <w:p w14:paraId="01B1867D" w14:textId="77777777" w:rsidR="006C7872" w:rsidRDefault="006C7872">
            <w:pPr>
              <w:tabs>
                <w:tab w:val="left" w:pos="1725"/>
              </w:tabs>
              <w:jc w:val="center"/>
              <w:rPr>
                <w:rFonts w:ascii="Arial" w:hAnsi="Arial" w:cs="Arial"/>
                <w:b/>
                <w:bCs/>
                <w:sz w:val="20"/>
                <w:szCs w:val="20"/>
              </w:rPr>
            </w:pPr>
          </w:p>
          <w:p w14:paraId="1281237C" w14:textId="77777777" w:rsidR="006C7872" w:rsidRDefault="006C7872">
            <w:pPr>
              <w:tabs>
                <w:tab w:val="left" w:pos="1725"/>
              </w:tabs>
              <w:jc w:val="center"/>
              <w:rPr>
                <w:rFonts w:ascii="Arial" w:hAnsi="Arial" w:cs="Arial"/>
                <w:sz w:val="20"/>
                <w:szCs w:val="20"/>
                <w:vertAlign w:val="superscript"/>
              </w:rPr>
            </w:pPr>
            <w:r>
              <w:rPr>
                <w:rFonts w:ascii="Arial" w:hAnsi="Arial" w:cs="Arial"/>
                <w:sz w:val="20"/>
                <w:szCs w:val="20"/>
              </w:rPr>
              <w:t>Unadjusted OR (95% CI; p)</w:t>
            </w:r>
          </w:p>
          <w:p w14:paraId="7F3AF6C1" w14:textId="77777777" w:rsidR="006C7872" w:rsidRDefault="006C7872">
            <w:pPr>
              <w:tabs>
                <w:tab w:val="left" w:pos="1725"/>
              </w:tabs>
              <w:jc w:val="center"/>
              <w:rPr>
                <w:rFonts w:ascii="Arial" w:hAnsi="Arial" w:cs="Arial"/>
                <w:sz w:val="20"/>
                <w:szCs w:val="20"/>
                <w:vertAlign w:val="superscript"/>
              </w:rPr>
            </w:pPr>
            <w:r>
              <w:rPr>
                <w:rFonts w:ascii="Arial" w:hAnsi="Arial" w:cs="Arial"/>
                <w:sz w:val="20"/>
                <w:szCs w:val="20"/>
              </w:rPr>
              <w:t>Adjusted 1 OR (95% CI; p)</w:t>
            </w:r>
          </w:p>
          <w:p w14:paraId="14194F7D" w14:textId="77777777" w:rsidR="006C7872" w:rsidRDefault="006C7872">
            <w:pPr>
              <w:tabs>
                <w:tab w:val="left" w:pos="1725"/>
              </w:tabs>
              <w:jc w:val="center"/>
              <w:rPr>
                <w:rFonts w:ascii="Arial" w:hAnsi="Arial" w:cs="Arial"/>
                <w:sz w:val="20"/>
                <w:szCs w:val="20"/>
              </w:rPr>
            </w:pPr>
            <w:r>
              <w:rPr>
                <w:rFonts w:ascii="Arial" w:hAnsi="Arial" w:cs="Arial"/>
                <w:sz w:val="20"/>
                <w:szCs w:val="20"/>
              </w:rPr>
              <w:t>Adjusted 2 OR (95% CI; p)</w:t>
            </w:r>
          </w:p>
        </w:tc>
        <w:tc>
          <w:tcPr>
            <w:tcW w:w="3006" w:type="dxa"/>
            <w:tcBorders>
              <w:top w:val="single" w:sz="4" w:space="0" w:color="auto"/>
              <w:left w:val="nil"/>
              <w:bottom w:val="single" w:sz="4" w:space="0" w:color="auto"/>
              <w:right w:val="nil"/>
            </w:tcBorders>
            <w:hideMark/>
          </w:tcPr>
          <w:p w14:paraId="2A0B2E2D" w14:textId="77777777" w:rsidR="006C7872" w:rsidRDefault="006C7872">
            <w:pPr>
              <w:tabs>
                <w:tab w:val="left" w:pos="1725"/>
              </w:tabs>
              <w:jc w:val="center"/>
              <w:rPr>
                <w:rFonts w:ascii="Arial" w:hAnsi="Arial" w:cs="Arial"/>
                <w:sz w:val="20"/>
                <w:szCs w:val="20"/>
                <w:vertAlign w:val="superscript"/>
              </w:rPr>
            </w:pPr>
            <w:r>
              <w:rPr>
                <w:rFonts w:ascii="Arial" w:hAnsi="Arial" w:cs="Arial"/>
                <w:b/>
                <w:bCs/>
                <w:sz w:val="20"/>
                <w:szCs w:val="20"/>
              </w:rPr>
              <w:t xml:space="preserve">Vaccinated/definitely willing to vaccinate for COVID-19 </w:t>
            </w:r>
            <w:r>
              <w:rPr>
                <w:rFonts w:ascii="Arial" w:hAnsi="Arial" w:cs="Arial"/>
                <w:sz w:val="20"/>
                <w:szCs w:val="20"/>
              </w:rPr>
              <w:t>Unadjusted OR (95% CI; p)</w:t>
            </w:r>
          </w:p>
          <w:p w14:paraId="09F73DEE" w14:textId="77777777" w:rsidR="006C7872" w:rsidRDefault="006C7872">
            <w:pPr>
              <w:tabs>
                <w:tab w:val="left" w:pos="1725"/>
              </w:tabs>
              <w:jc w:val="center"/>
              <w:rPr>
                <w:rFonts w:ascii="Arial" w:hAnsi="Arial" w:cs="Arial"/>
                <w:sz w:val="20"/>
                <w:szCs w:val="20"/>
                <w:vertAlign w:val="superscript"/>
              </w:rPr>
            </w:pPr>
            <w:r>
              <w:rPr>
                <w:rFonts w:ascii="Arial" w:hAnsi="Arial" w:cs="Arial"/>
                <w:sz w:val="20"/>
                <w:szCs w:val="20"/>
              </w:rPr>
              <w:t>Adjusted 1 OR (95% CI; p)</w:t>
            </w:r>
          </w:p>
          <w:p w14:paraId="6D0F952C" w14:textId="77777777" w:rsidR="006C7872" w:rsidRDefault="006C7872">
            <w:pPr>
              <w:tabs>
                <w:tab w:val="left" w:pos="1725"/>
              </w:tabs>
              <w:jc w:val="center"/>
              <w:rPr>
                <w:rFonts w:ascii="Arial" w:hAnsi="Arial" w:cs="Arial"/>
                <w:sz w:val="20"/>
                <w:szCs w:val="20"/>
              </w:rPr>
            </w:pPr>
            <w:r>
              <w:rPr>
                <w:rFonts w:ascii="Arial" w:hAnsi="Arial" w:cs="Arial"/>
                <w:sz w:val="20"/>
                <w:szCs w:val="20"/>
              </w:rPr>
              <w:t>Adjusted 2 OR (95% CI; p)</w:t>
            </w:r>
          </w:p>
        </w:tc>
      </w:tr>
      <w:tr w:rsidR="006C7872" w14:paraId="24EC5E64" w14:textId="77777777" w:rsidTr="006C7872">
        <w:trPr>
          <w:trHeight w:val="364"/>
        </w:trPr>
        <w:tc>
          <w:tcPr>
            <w:tcW w:w="3824" w:type="dxa"/>
            <w:tcBorders>
              <w:top w:val="single" w:sz="4" w:space="0" w:color="auto"/>
              <w:left w:val="nil"/>
              <w:bottom w:val="nil"/>
              <w:right w:val="nil"/>
            </w:tcBorders>
            <w:hideMark/>
          </w:tcPr>
          <w:p w14:paraId="22F7468A" w14:textId="77777777" w:rsidR="006C7872" w:rsidRDefault="006C7872">
            <w:pPr>
              <w:tabs>
                <w:tab w:val="left" w:pos="1725"/>
              </w:tabs>
              <w:rPr>
                <w:rFonts w:ascii="Arial" w:hAnsi="Arial" w:cs="Arial"/>
                <w:sz w:val="20"/>
                <w:szCs w:val="20"/>
              </w:rPr>
            </w:pPr>
            <w:r>
              <w:rPr>
                <w:rFonts w:ascii="Arial" w:hAnsi="Arial" w:cs="Arial"/>
                <w:sz w:val="20"/>
                <w:szCs w:val="20"/>
              </w:rPr>
              <w:t>Visible water damage or mold, or musty or moldy smell</w:t>
            </w:r>
          </w:p>
        </w:tc>
        <w:tc>
          <w:tcPr>
            <w:tcW w:w="3006" w:type="dxa"/>
            <w:tcBorders>
              <w:top w:val="single" w:sz="4" w:space="0" w:color="auto"/>
              <w:left w:val="nil"/>
              <w:bottom w:val="nil"/>
              <w:right w:val="nil"/>
            </w:tcBorders>
            <w:vAlign w:val="bottom"/>
            <w:hideMark/>
          </w:tcPr>
          <w:p w14:paraId="0359E4D1"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1.36 (0.97, 1.90) </w:t>
            </w:r>
          </w:p>
          <w:p w14:paraId="2AABE0BF"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1.35 (0.95, 1.91) </w:t>
            </w:r>
          </w:p>
          <w:p w14:paraId="1ED9C96B" w14:textId="77777777" w:rsidR="006C7872" w:rsidRDefault="006C7872">
            <w:pPr>
              <w:tabs>
                <w:tab w:val="left" w:pos="1725"/>
              </w:tabs>
              <w:jc w:val="center"/>
              <w:rPr>
                <w:rFonts w:ascii="Arial" w:hAnsi="Arial" w:cs="Arial"/>
                <w:sz w:val="20"/>
                <w:szCs w:val="20"/>
              </w:rPr>
            </w:pPr>
            <w:r>
              <w:rPr>
                <w:rFonts w:ascii="Arial" w:hAnsi="Arial" w:cs="Arial"/>
                <w:sz w:val="20"/>
                <w:szCs w:val="20"/>
              </w:rPr>
              <w:t>1.34 (0.95, 1.89)</w:t>
            </w:r>
          </w:p>
        </w:tc>
        <w:tc>
          <w:tcPr>
            <w:tcW w:w="3006" w:type="dxa"/>
            <w:tcBorders>
              <w:top w:val="single" w:sz="4" w:space="0" w:color="auto"/>
              <w:left w:val="nil"/>
              <w:bottom w:val="nil"/>
              <w:right w:val="nil"/>
            </w:tcBorders>
            <w:vAlign w:val="bottom"/>
            <w:hideMark/>
          </w:tcPr>
          <w:p w14:paraId="2410D308"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1.09 (0.71, 1.66) </w:t>
            </w:r>
          </w:p>
          <w:p w14:paraId="347CA67C"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1.12 (0.72, 1.74) </w:t>
            </w:r>
          </w:p>
          <w:p w14:paraId="2D0BAEF3"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1.14 (0.74, 1.75)</w:t>
            </w:r>
          </w:p>
        </w:tc>
        <w:tc>
          <w:tcPr>
            <w:tcW w:w="3006" w:type="dxa"/>
            <w:tcBorders>
              <w:top w:val="single" w:sz="4" w:space="0" w:color="auto"/>
              <w:left w:val="nil"/>
              <w:bottom w:val="nil"/>
              <w:right w:val="nil"/>
            </w:tcBorders>
            <w:vAlign w:val="bottom"/>
            <w:hideMark/>
          </w:tcPr>
          <w:p w14:paraId="34437A31"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0.64 (0.47, 0.87)* </w:t>
            </w:r>
          </w:p>
          <w:p w14:paraId="1BB38272"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0.73 (0.53, 1.02) </w:t>
            </w:r>
          </w:p>
          <w:p w14:paraId="509FFE52"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0.74 (0.53, 1.03)</w:t>
            </w:r>
          </w:p>
        </w:tc>
      </w:tr>
      <w:tr w:rsidR="006C7872" w14:paraId="4762E563" w14:textId="77777777" w:rsidTr="006C7872">
        <w:trPr>
          <w:trHeight w:val="364"/>
        </w:trPr>
        <w:tc>
          <w:tcPr>
            <w:tcW w:w="3824" w:type="dxa"/>
            <w:tcBorders>
              <w:top w:val="nil"/>
              <w:left w:val="nil"/>
              <w:bottom w:val="nil"/>
              <w:right w:val="nil"/>
            </w:tcBorders>
            <w:hideMark/>
          </w:tcPr>
          <w:p w14:paraId="1AEDEA90" w14:textId="77777777" w:rsidR="006C7872" w:rsidRDefault="006C7872">
            <w:pPr>
              <w:tabs>
                <w:tab w:val="left" w:pos="1725"/>
              </w:tabs>
              <w:rPr>
                <w:rFonts w:ascii="Arial" w:hAnsi="Arial" w:cs="Arial"/>
                <w:sz w:val="20"/>
                <w:szCs w:val="20"/>
              </w:rPr>
            </w:pPr>
            <w:r>
              <w:rPr>
                <w:rFonts w:ascii="Arial" w:hAnsi="Arial" w:cs="Arial"/>
                <w:sz w:val="20"/>
                <w:szCs w:val="20"/>
              </w:rPr>
              <w:t>Smoking inside the home</w:t>
            </w:r>
          </w:p>
        </w:tc>
        <w:tc>
          <w:tcPr>
            <w:tcW w:w="3006" w:type="dxa"/>
            <w:tcBorders>
              <w:top w:val="nil"/>
              <w:left w:val="nil"/>
              <w:bottom w:val="nil"/>
              <w:right w:val="nil"/>
            </w:tcBorders>
            <w:vAlign w:val="bottom"/>
            <w:hideMark/>
          </w:tcPr>
          <w:p w14:paraId="344C4DB0"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0.57 (0.30, 1.09) </w:t>
            </w:r>
          </w:p>
          <w:p w14:paraId="6E4D1554"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0.63 (0.32, 1.22) </w:t>
            </w:r>
          </w:p>
          <w:p w14:paraId="1E3820CB" w14:textId="77777777" w:rsidR="006C7872" w:rsidRDefault="006C7872">
            <w:pPr>
              <w:tabs>
                <w:tab w:val="left" w:pos="1725"/>
              </w:tabs>
              <w:jc w:val="center"/>
              <w:rPr>
                <w:rFonts w:ascii="Arial" w:hAnsi="Arial" w:cs="Arial"/>
                <w:sz w:val="20"/>
                <w:szCs w:val="20"/>
              </w:rPr>
            </w:pPr>
            <w:r>
              <w:rPr>
                <w:rFonts w:ascii="Arial" w:hAnsi="Arial" w:cs="Arial"/>
                <w:sz w:val="20"/>
                <w:szCs w:val="20"/>
              </w:rPr>
              <w:t>0.61 (0.31, 1.19)</w:t>
            </w:r>
          </w:p>
        </w:tc>
        <w:tc>
          <w:tcPr>
            <w:tcW w:w="3006" w:type="dxa"/>
            <w:tcBorders>
              <w:top w:val="nil"/>
              <w:left w:val="nil"/>
              <w:bottom w:val="nil"/>
              <w:right w:val="nil"/>
            </w:tcBorders>
            <w:vAlign w:val="bottom"/>
            <w:hideMark/>
          </w:tcPr>
          <w:p w14:paraId="6A4EC729"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0.50 (0.18, 1.40) </w:t>
            </w:r>
          </w:p>
          <w:p w14:paraId="6B3B71AB"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0.58 (0.23, 1.50) </w:t>
            </w:r>
          </w:p>
          <w:p w14:paraId="62849E09"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0.62 (0.22, 1.73)</w:t>
            </w:r>
          </w:p>
        </w:tc>
        <w:tc>
          <w:tcPr>
            <w:tcW w:w="3006" w:type="dxa"/>
            <w:tcBorders>
              <w:top w:val="nil"/>
              <w:left w:val="nil"/>
              <w:bottom w:val="nil"/>
              <w:right w:val="nil"/>
            </w:tcBorders>
            <w:vAlign w:val="bottom"/>
            <w:hideMark/>
          </w:tcPr>
          <w:p w14:paraId="14AFB549"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0.32 (0.21, 0.49)* </w:t>
            </w:r>
          </w:p>
          <w:p w14:paraId="33CA6838"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0.49 (0.31, 0.78)* </w:t>
            </w:r>
          </w:p>
          <w:p w14:paraId="770CF6BF"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0.40 (0.25, 0.63)*</w:t>
            </w:r>
          </w:p>
        </w:tc>
      </w:tr>
      <w:tr w:rsidR="006C7872" w14:paraId="7838ABB0" w14:textId="77777777" w:rsidTr="006C7872">
        <w:trPr>
          <w:trHeight w:val="364"/>
        </w:trPr>
        <w:tc>
          <w:tcPr>
            <w:tcW w:w="3824" w:type="dxa"/>
            <w:tcBorders>
              <w:top w:val="single" w:sz="4" w:space="0" w:color="auto"/>
              <w:left w:val="nil"/>
              <w:bottom w:val="nil"/>
              <w:right w:val="nil"/>
            </w:tcBorders>
            <w:hideMark/>
          </w:tcPr>
          <w:p w14:paraId="3806E54D" w14:textId="77777777" w:rsidR="006C7872" w:rsidRDefault="006C7872">
            <w:pPr>
              <w:tabs>
                <w:tab w:val="left" w:pos="1725"/>
              </w:tabs>
              <w:rPr>
                <w:rFonts w:ascii="Arial" w:hAnsi="Arial" w:cs="Arial"/>
                <w:sz w:val="20"/>
                <w:szCs w:val="20"/>
              </w:rPr>
            </w:pPr>
            <w:r>
              <w:rPr>
                <w:rFonts w:ascii="Arial" w:hAnsi="Arial" w:cs="Arial"/>
                <w:sz w:val="20"/>
                <w:szCs w:val="20"/>
              </w:rPr>
              <w:t>Negative impact: Poor outdoor air quality</w:t>
            </w:r>
          </w:p>
        </w:tc>
        <w:tc>
          <w:tcPr>
            <w:tcW w:w="3006" w:type="dxa"/>
            <w:tcBorders>
              <w:top w:val="single" w:sz="4" w:space="0" w:color="auto"/>
              <w:left w:val="nil"/>
              <w:bottom w:val="nil"/>
              <w:right w:val="nil"/>
            </w:tcBorders>
            <w:vAlign w:val="bottom"/>
            <w:hideMark/>
          </w:tcPr>
          <w:p w14:paraId="7B9788BF"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1.14 (0.71, 1.84) </w:t>
            </w:r>
          </w:p>
          <w:p w14:paraId="7F65F60D"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1.19 (0.72, 1.96) </w:t>
            </w:r>
          </w:p>
          <w:p w14:paraId="059D5BDE" w14:textId="77777777" w:rsidR="006C7872" w:rsidRDefault="006C7872">
            <w:pPr>
              <w:tabs>
                <w:tab w:val="left" w:pos="1725"/>
              </w:tabs>
              <w:jc w:val="center"/>
              <w:rPr>
                <w:rFonts w:ascii="Arial" w:hAnsi="Arial" w:cs="Arial"/>
                <w:sz w:val="20"/>
                <w:szCs w:val="20"/>
              </w:rPr>
            </w:pPr>
            <w:r>
              <w:rPr>
                <w:rFonts w:ascii="Arial" w:hAnsi="Arial" w:cs="Arial"/>
                <w:sz w:val="20"/>
                <w:szCs w:val="20"/>
              </w:rPr>
              <w:t>1.14 (0.70, 1.88)</w:t>
            </w:r>
          </w:p>
        </w:tc>
        <w:tc>
          <w:tcPr>
            <w:tcW w:w="3006" w:type="dxa"/>
            <w:tcBorders>
              <w:top w:val="single" w:sz="4" w:space="0" w:color="auto"/>
              <w:left w:val="nil"/>
              <w:bottom w:val="nil"/>
              <w:right w:val="nil"/>
            </w:tcBorders>
            <w:vAlign w:val="bottom"/>
            <w:hideMark/>
          </w:tcPr>
          <w:p w14:paraId="00DA12F8"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0.86 (0.45, 1.64) </w:t>
            </w:r>
          </w:p>
          <w:p w14:paraId="491653DD"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0.79 (0.40, 1.56) </w:t>
            </w:r>
          </w:p>
          <w:p w14:paraId="789C1FB9"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0.78 (0.40, 1.53)</w:t>
            </w:r>
          </w:p>
        </w:tc>
        <w:tc>
          <w:tcPr>
            <w:tcW w:w="3006" w:type="dxa"/>
            <w:tcBorders>
              <w:top w:val="single" w:sz="4" w:space="0" w:color="auto"/>
              <w:left w:val="nil"/>
              <w:bottom w:val="nil"/>
              <w:right w:val="nil"/>
            </w:tcBorders>
            <w:vAlign w:val="bottom"/>
            <w:hideMark/>
          </w:tcPr>
          <w:p w14:paraId="1879EABB"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0.99 (0.64, 1.54) </w:t>
            </w:r>
          </w:p>
          <w:p w14:paraId="182EB86A"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0.79 (0.49, 1.28) </w:t>
            </w:r>
          </w:p>
          <w:p w14:paraId="536581FD"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0.83 (0.51, 1.35)</w:t>
            </w:r>
          </w:p>
        </w:tc>
      </w:tr>
      <w:tr w:rsidR="006C7872" w14:paraId="45692F6C" w14:textId="77777777" w:rsidTr="006C7872">
        <w:trPr>
          <w:trHeight w:val="364"/>
        </w:trPr>
        <w:tc>
          <w:tcPr>
            <w:tcW w:w="3824" w:type="dxa"/>
            <w:tcBorders>
              <w:top w:val="nil"/>
              <w:left w:val="nil"/>
              <w:bottom w:val="nil"/>
              <w:right w:val="nil"/>
            </w:tcBorders>
            <w:hideMark/>
          </w:tcPr>
          <w:p w14:paraId="311F648B" w14:textId="77777777" w:rsidR="006C7872" w:rsidRDefault="006C7872">
            <w:pPr>
              <w:tabs>
                <w:tab w:val="left" w:pos="1725"/>
              </w:tabs>
              <w:rPr>
                <w:rFonts w:ascii="Arial" w:hAnsi="Arial" w:cs="Arial"/>
                <w:sz w:val="20"/>
                <w:szCs w:val="20"/>
              </w:rPr>
            </w:pPr>
            <w:r>
              <w:rPr>
                <w:rFonts w:ascii="Arial" w:hAnsi="Arial" w:cs="Arial"/>
                <w:sz w:val="20"/>
                <w:szCs w:val="20"/>
              </w:rPr>
              <w:t>Negative impact: Poor indoor air quality</w:t>
            </w:r>
          </w:p>
        </w:tc>
        <w:tc>
          <w:tcPr>
            <w:tcW w:w="3006" w:type="dxa"/>
            <w:tcBorders>
              <w:top w:val="nil"/>
              <w:left w:val="nil"/>
              <w:bottom w:val="nil"/>
              <w:right w:val="nil"/>
            </w:tcBorders>
            <w:vAlign w:val="bottom"/>
            <w:hideMark/>
          </w:tcPr>
          <w:p w14:paraId="1C60E7AA"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1.33 (0.81, 2.18) </w:t>
            </w:r>
          </w:p>
          <w:p w14:paraId="4CA41CF4"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1.51 (0.92, 2.49) </w:t>
            </w:r>
          </w:p>
          <w:p w14:paraId="4EF79F52" w14:textId="77777777" w:rsidR="006C7872" w:rsidRDefault="006C7872">
            <w:pPr>
              <w:tabs>
                <w:tab w:val="left" w:pos="1725"/>
              </w:tabs>
              <w:jc w:val="center"/>
              <w:rPr>
                <w:rFonts w:ascii="Arial" w:hAnsi="Arial" w:cs="Arial"/>
                <w:sz w:val="20"/>
                <w:szCs w:val="20"/>
              </w:rPr>
            </w:pPr>
            <w:r>
              <w:rPr>
                <w:rFonts w:ascii="Arial" w:hAnsi="Arial" w:cs="Arial"/>
                <w:sz w:val="20"/>
                <w:szCs w:val="20"/>
              </w:rPr>
              <w:t>1.47 (0.90, 2.40)</w:t>
            </w:r>
          </w:p>
        </w:tc>
        <w:tc>
          <w:tcPr>
            <w:tcW w:w="3006" w:type="dxa"/>
            <w:tcBorders>
              <w:top w:val="nil"/>
              <w:left w:val="nil"/>
              <w:bottom w:val="nil"/>
              <w:right w:val="nil"/>
            </w:tcBorders>
            <w:vAlign w:val="bottom"/>
            <w:hideMark/>
          </w:tcPr>
          <w:p w14:paraId="0CA7EF19"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0.95 (0.52, 1.71) </w:t>
            </w:r>
          </w:p>
          <w:p w14:paraId="218C518C"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1.09 (0.58, 2.05) </w:t>
            </w:r>
          </w:p>
          <w:p w14:paraId="1F213BEE"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1.09 (0.59, 1.99)</w:t>
            </w:r>
          </w:p>
        </w:tc>
        <w:tc>
          <w:tcPr>
            <w:tcW w:w="3006" w:type="dxa"/>
            <w:tcBorders>
              <w:top w:val="nil"/>
              <w:left w:val="nil"/>
              <w:bottom w:val="nil"/>
              <w:right w:val="nil"/>
            </w:tcBorders>
            <w:vAlign w:val="bottom"/>
            <w:hideMark/>
          </w:tcPr>
          <w:p w14:paraId="5904EBA8"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0.71 (0.45, 1.12) </w:t>
            </w:r>
          </w:p>
          <w:p w14:paraId="2CD16FD6" w14:textId="77777777" w:rsidR="006C7872" w:rsidRDefault="006C7872">
            <w:pPr>
              <w:tabs>
                <w:tab w:val="left" w:pos="1725"/>
              </w:tabs>
              <w:jc w:val="center"/>
              <w:rPr>
                <w:rFonts w:ascii="Arial" w:hAnsi="Arial" w:cs="Arial"/>
                <w:sz w:val="20"/>
                <w:szCs w:val="20"/>
              </w:rPr>
            </w:pPr>
            <w:r>
              <w:rPr>
                <w:rFonts w:ascii="Arial" w:hAnsi="Arial" w:cs="Arial"/>
                <w:sz w:val="20"/>
                <w:szCs w:val="20"/>
              </w:rPr>
              <w:t>0.73 (0.45, 1.20)</w:t>
            </w:r>
          </w:p>
          <w:p w14:paraId="79BC3C7B"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0.78 (0.47, 1.30)</w:t>
            </w:r>
          </w:p>
        </w:tc>
      </w:tr>
      <w:tr w:rsidR="006C7872" w14:paraId="6C12F02C" w14:textId="77777777" w:rsidTr="006C7872">
        <w:trPr>
          <w:trHeight w:val="106"/>
        </w:trPr>
        <w:tc>
          <w:tcPr>
            <w:tcW w:w="3824" w:type="dxa"/>
            <w:tcBorders>
              <w:top w:val="nil"/>
              <w:left w:val="nil"/>
              <w:bottom w:val="nil"/>
              <w:right w:val="nil"/>
            </w:tcBorders>
            <w:hideMark/>
          </w:tcPr>
          <w:p w14:paraId="6F4D1C12" w14:textId="77777777" w:rsidR="006C7872" w:rsidRDefault="006C7872">
            <w:pPr>
              <w:tabs>
                <w:tab w:val="left" w:pos="1725"/>
              </w:tabs>
              <w:rPr>
                <w:rFonts w:ascii="Arial" w:hAnsi="Arial" w:cs="Arial"/>
                <w:sz w:val="20"/>
                <w:szCs w:val="20"/>
              </w:rPr>
            </w:pPr>
            <w:r>
              <w:rPr>
                <w:rFonts w:ascii="Arial" w:hAnsi="Arial" w:cs="Arial"/>
                <w:sz w:val="20"/>
                <w:szCs w:val="20"/>
              </w:rPr>
              <w:t>Negative impact: Poor indoor temperature</w:t>
            </w:r>
          </w:p>
        </w:tc>
        <w:tc>
          <w:tcPr>
            <w:tcW w:w="3006" w:type="dxa"/>
            <w:tcBorders>
              <w:top w:val="nil"/>
              <w:left w:val="nil"/>
              <w:bottom w:val="nil"/>
              <w:right w:val="nil"/>
            </w:tcBorders>
            <w:vAlign w:val="bottom"/>
            <w:hideMark/>
          </w:tcPr>
          <w:p w14:paraId="7C3AD692"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1.26 (0.71, 2.25) </w:t>
            </w:r>
          </w:p>
          <w:p w14:paraId="78469EF0"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1.18 (0.65, 2.13) </w:t>
            </w:r>
          </w:p>
          <w:p w14:paraId="484C5FCA" w14:textId="77777777" w:rsidR="006C7872" w:rsidRDefault="006C7872">
            <w:pPr>
              <w:tabs>
                <w:tab w:val="left" w:pos="1725"/>
              </w:tabs>
              <w:jc w:val="center"/>
              <w:rPr>
                <w:rFonts w:ascii="Arial" w:hAnsi="Arial" w:cs="Arial"/>
                <w:sz w:val="20"/>
                <w:szCs w:val="20"/>
              </w:rPr>
            </w:pPr>
            <w:r>
              <w:rPr>
                <w:rFonts w:ascii="Arial" w:hAnsi="Arial" w:cs="Arial"/>
                <w:sz w:val="20"/>
                <w:szCs w:val="20"/>
              </w:rPr>
              <w:t>1.22 (0.68, 2.16)</w:t>
            </w:r>
          </w:p>
        </w:tc>
        <w:tc>
          <w:tcPr>
            <w:tcW w:w="3006" w:type="dxa"/>
            <w:tcBorders>
              <w:top w:val="nil"/>
              <w:left w:val="nil"/>
              <w:bottom w:val="nil"/>
              <w:right w:val="nil"/>
            </w:tcBorders>
            <w:vAlign w:val="bottom"/>
            <w:hideMark/>
          </w:tcPr>
          <w:p w14:paraId="350392F0" w14:textId="77777777" w:rsidR="006C7872" w:rsidRDefault="006C7872">
            <w:pPr>
              <w:tabs>
                <w:tab w:val="left" w:pos="1725"/>
              </w:tabs>
              <w:jc w:val="center"/>
              <w:rPr>
                <w:rFonts w:ascii="Arial" w:hAnsi="Arial" w:cs="Arial"/>
                <w:sz w:val="20"/>
                <w:szCs w:val="20"/>
              </w:rPr>
            </w:pPr>
            <w:r>
              <w:rPr>
                <w:rFonts w:ascii="Arial" w:hAnsi="Arial" w:cs="Arial"/>
                <w:sz w:val="20"/>
                <w:szCs w:val="20"/>
              </w:rPr>
              <w:t>1.48 (0.73, 2.98)</w:t>
            </w:r>
          </w:p>
          <w:p w14:paraId="6528D0C2"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1.52 (0.74, 3.10) </w:t>
            </w:r>
          </w:p>
          <w:p w14:paraId="69DD9EEE"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1.52 (0.76, 3.04)</w:t>
            </w:r>
          </w:p>
        </w:tc>
        <w:tc>
          <w:tcPr>
            <w:tcW w:w="3006" w:type="dxa"/>
            <w:tcBorders>
              <w:top w:val="nil"/>
              <w:left w:val="nil"/>
              <w:bottom w:val="nil"/>
              <w:right w:val="nil"/>
            </w:tcBorders>
            <w:vAlign w:val="bottom"/>
            <w:hideMark/>
          </w:tcPr>
          <w:p w14:paraId="76270559"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0.87 (0.48, 1.55) </w:t>
            </w:r>
          </w:p>
          <w:p w14:paraId="52050EF5"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1.08 (0.58, 2.04) </w:t>
            </w:r>
          </w:p>
          <w:p w14:paraId="271BAEF0"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1.13 (0.61, 2.12)</w:t>
            </w:r>
          </w:p>
        </w:tc>
      </w:tr>
      <w:tr w:rsidR="006C7872" w14:paraId="2BBA8D1C" w14:textId="77777777" w:rsidTr="006C7872">
        <w:trPr>
          <w:trHeight w:val="364"/>
        </w:trPr>
        <w:tc>
          <w:tcPr>
            <w:tcW w:w="3824" w:type="dxa"/>
            <w:tcBorders>
              <w:top w:val="nil"/>
              <w:left w:val="nil"/>
              <w:bottom w:val="nil"/>
              <w:right w:val="nil"/>
            </w:tcBorders>
            <w:hideMark/>
          </w:tcPr>
          <w:p w14:paraId="2D94B0A9" w14:textId="77777777" w:rsidR="006C7872" w:rsidRDefault="006C7872">
            <w:pPr>
              <w:tabs>
                <w:tab w:val="left" w:pos="1725"/>
              </w:tabs>
              <w:rPr>
                <w:rFonts w:ascii="Arial" w:hAnsi="Arial" w:cs="Arial"/>
                <w:sz w:val="20"/>
                <w:szCs w:val="20"/>
              </w:rPr>
            </w:pPr>
            <w:r>
              <w:rPr>
                <w:rFonts w:ascii="Arial" w:hAnsi="Arial" w:cs="Arial"/>
                <w:sz w:val="20"/>
                <w:szCs w:val="20"/>
              </w:rPr>
              <w:t>Negative impact: Poor water quality</w:t>
            </w:r>
          </w:p>
        </w:tc>
        <w:tc>
          <w:tcPr>
            <w:tcW w:w="3006" w:type="dxa"/>
            <w:tcBorders>
              <w:top w:val="nil"/>
              <w:left w:val="nil"/>
              <w:bottom w:val="nil"/>
              <w:right w:val="nil"/>
            </w:tcBorders>
            <w:vAlign w:val="bottom"/>
            <w:hideMark/>
          </w:tcPr>
          <w:p w14:paraId="3C4A13CB"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1.26 (0.70, 2.27) </w:t>
            </w:r>
          </w:p>
          <w:p w14:paraId="00E628C5"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1.35 (0.75, 2.43) </w:t>
            </w:r>
          </w:p>
          <w:p w14:paraId="18B6AEC3" w14:textId="77777777" w:rsidR="006C7872" w:rsidRDefault="006C7872">
            <w:pPr>
              <w:tabs>
                <w:tab w:val="left" w:pos="1725"/>
              </w:tabs>
              <w:jc w:val="center"/>
              <w:rPr>
                <w:rFonts w:ascii="Arial" w:hAnsi="Arial" w:cs="Arial"/>
                <w:sz w:val="20"/>
                <w:szCs w:val="20"/>
              </w:rPr>
            </w:pPr>
            <w:r>
              <w:rPr>
                <w:rFonts w:ascii="Arial" w:hAnsi="Arial" w:cs="Arial"/>
                <w:sz w:val="20"/>
                <w:szCs w:val="20"/>
              </w:rPr>
              <w:t>1.36 (0.76, 2.43)</w:t>
            </w:r>
          </w:p>
        </w:tc>
        <w:tc>
          <w:tcPr>
            <w:tcW w:w="3006" w:type="dxa"/>
            <w:tcBorders>
              <w:top w:val="nil"/>
              <w:left w:val="nil"/>
              <w:bottom w:val="nil"/>
              <w:right w:val="nil"/>
            </w:tcBorders>
            <w:vAlign w:val="bottom"/>
            <w:hideMark/>
          </w:tcPr>
          <w:p w14:paraId="335B343A"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0.67 (0.27, 1.66) </w:t>
            </w:r>
          </w:p>
          <w:p w14:paraId="4CEF5BB1" w14:textId="77777777" w:rsidR="006C7872" w:rsidRDefault="006C7872">
            <w:pPr>
              <w:tabs>
                <w:tab w:val="left" w:pos="1725"/>
              </w:tabs>
              <w:jc w:val="center"/>
              <w:rPr>
                <w:rFonts w:ascii="Arial" w:hAnsi="Arial" w:cs="Arial"/>
                <w:sz w:val="20"/>
                <w:szCs w:val="20"/>
              </w:rPr>
            </w:pPr>
            <w:r>
              <w:rPr>
                <w:rFonts w:ascii="Arial" w:hAnsi="Arial" w:cs="Arial"/>
                <w:sz w:val="20"/>
                <w:szCs w:val="20"/>
              </w:rPr>
              <w:t>0.72 (0.29, 1.82)</w:t>
            </w:r>
          </w:p>
          <w:p w14:paraId="159D637E"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0.70 (0.28, 1.76)</w:t>
            </w:r>
          </w:p>
        </w:tc>
        <w:tc>
          <w:tcPr>
            <w:tcW w:w="3006" w:type="dxa"/>
            <w:tcBorders>
              <w:top w:val="nil"/>
              <w:left w:val="nil"/>
              <w:bottom w:val="nil"/>
              <w:right w:val="nil"/>
            </w:tcBorders>
            <w:vAlign w:val="bottom"/>
            <w:hideMark/>
          </w:tcPr>
          <w:p w14:paraId="51FE8DD2"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0.45 (0.26, 0.78)* </w:t>
            </w:r>
          </w:p>
          <w:p w14:paraId="2D93A235" w14:textId="77777777" w:rsidR="006C7872" w:rsidRDefault="006C7872">
            <w:pPr>
              <w:tabs>
                <w:tab w:val="left" w:pos="1725"/>
              </w:tabs>
              <w:jc w:val="center"/>
              <w:rPr>
                <w:rFonts w:ascii="Arial" w:hAnsi="Arial" w:cs="Arial"/>
                <w:sz w:val="20"/>
                <w:szCs w:val="20"/>
              </w:rPr>
            </w:pPr>
            <w:r>
              <w:rPr>
                <w:rFonts w:ascii="Arial" w:hAnsi="Arial" w:cs="Arial"/>
                <w:sz w:val="20"/>
                <w:szCs w:val="20"/>
              </w:rPr>
              <w:t>0.37 (0.20, 0.68)*</w:t>
            </w:r>
          </w:p>
          <w:p w14:paraId="13C29AD5"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 xml:space="preserve"> 0.42 (0.21, 0.85)*</w:t>
            </w:r>
          </w:p>
        </w:tc>
      </w:tr>
      <w:tr w:rsidR="006C7872" w14:paraId="533B923D" w14:textId="77777777" w:rsidTr="006C7872">
        <w:trPr>
          <w:trHeight w:val="364"/>
        </w:trPr>
        <w:tc>
          <w:tcPr>
            <w:tcW w:w="3824" w:type="dxa"/>
            <w:tcBorders>
              <w:top w:val="nil"/>
              <w:left w:val="nil"/>
              <w:bottom w:val="nil"/>
              <w:right w:val="nil"/>
            </w:tcBorders>
            <w:hideMark/>
          </w:tcPr>
          <w:p w14:paraId="2EC439B3" w14:textId="77777777" w:rsidR="006C7872" w:rsidRDefault="006C7872">
            <w:pPr>
              <w:tabs>
                <w:tab w:val="left" w:pos="1725"/>
              </w:tabs>
              <w:rPr>
                <w:rFonts w:ascii="Arial" w:hAnsi="Arial" w:cs="Arial"/>
                <w:sz w:val="20"/>
                <w:szCs w:val="20"/>
              </w:rPr>
            </w:pPr>
            <w:r>
              <w:rPr>
                <w:rFonts w:ascii="Arial" w:hAnsi="Arial" w:cs="Arial"/>
                <w:sz w:val="20"/>
                <w:szCs w:val="20"/>
              </w:rPr>
              <w:t>Negative impact: Poor physical condition</w:t>
            </w:r>
          </w:p>
        </w:tc>
        <w:tc>
          <w:tcPr>
            <w:tcW w:w="3006" w:type="dxa"/>
            <w:tcBorders>
              <w:top w:val="nil"/>
              <w:left w:val="nil"/>
              <w:bottom w:val="nil"/>
              <w:right w:val="nil"/>
            </w:tcBorders>
            <w:vAlign w:val="bottom"/>
            <w:hideMark/>
          </w:tcPr>
          <w:p w14:paraId="38E6494A"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1.69 (0.99, 2.90) </w:t>
            </w:r>
          </w:p>
          <w:p w14:paraId="75967DBC"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1.78 (0.99, 3.17) </w:t>
            </w:r>
          </w:p>
          <w:p w14:paraId="29629E0B" w14:textId="77777777" w:rsidR="006C7872" w:rsidRDefault="006C7872">
            <w:pPr>
              <w:tabs>
                <w:tab w:val="left" w:pos="1725"/>
              </w:tabs>
              <w:jc w:val="center"/>
              <w:rPr>
                <w:rFonts w:ascii="Arial" w:hAnsi="Arial" w:cs="Arial"/>
                <w:sz w:val="20"/>
                <w:szCs w:val="20"/>
              </w:rPr>
            </w:pPr>
            <w:r>
              <w:rPr>
                <w:rFonts w:ascii="Arial" w:hAnsi="Arial" w:cs="Arial"/>
                <w:sz w:val="20"/>
                <w:szCs w:val="20"/>
              </w:rPr>
              <w:t>1.75 (0.99, 3.10)</w:t>
            </w:r>
          </w:p>
        </w:tc>
        <w:tc>
          <w:tcPr>
            <w:tcW w:w="3006" w:type="dxa"/>
            <w:tcBorders>
              <w:top w:val="nil"/>
              <w:left w:val="nil"/>
              <w:bottom w:val="nil"/>
              <w:right w:val="nil"/>
            </w:tcBorders>
            <w:vAlign w:val="bottom"/>
            <w:hideMark/>
          </w:tcPr>
          <w:p w14:paraId="4755D281"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1.95 (1.02, 3.72)* </w:t>
            </w:r>
          </w:p>
          <w:p w14:paraId="427975C8"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2.42 (1.22, 4.79)* </w:t>
            </w:r>
          </w:p>
          <w:p w14:paraId="48A8481B"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2.32 (1.17, 4.59)*</w:t>
            </w:r>
          </w:p>
        </w:tc>
        <w:tc>
          <w:tcPr>
            <w:tcW w:w="3006" w:type="dxa"/>
            <w:tcBorders>
              <w:top w:val="nil"/>
              <w:left w:val="nil"/>
              <w:bottom w:val="nil"/>
              <w:right w:val="nil"/>
            </w:tcBorders>
            <w:vAlign w:val="bottom"/>
            <w:hideMark/>
          </w:tcPr>
          <w:p w14:paraId="7AE31476"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0.52 (0.31, 0.87)* </w:t>
            </w:r>
          </w:p>
          <w:p w14:paraId="7494FF34"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0.76 (0.40, 1.43) </w:t>
            </w:r>
          </w:p>
          <w:p w14:paraId="130F7657"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0.71 (0.37, 1.34)</w:t>
            </w:r>
          </w:p>
        </w:tc>
      </w:tr>
      <w:tr w:rsidR="006C7872" w14:paraId="3481DACC" w14:textId="77777777" w:rsidTr="006C7872">
        <w:trPr>
          <w:trHeight w:val="364"/>
        </w:trPr>
        <w:tc>
          <w:tcPr>
            <w:tcW w:w="3824" w:type="dxa"/>
            <w:tcBorders>
              <w:top w:val="nil"/>
              <w:left w:val="nil"/>
              <w:bottom w:val="nil"/>
              <w:right w:val="nil"/>
            </w:tcBorders>
            <w:hideMark/>
          </w:tcPr>
          <w:p w14:paraId="2F661590" w14:textId="77777777" w:rsidR="006C7872" w:rsidRDefault="006C7872">
            <w:pPr>
              <w:tabs>
                <w:tab w:val="left" w:pos="1725"/>
              </w:tabs>
              <w:rPr>
                <w:rFonts w:ascii="Arial" w:hAnsi="Arial" w:cs="Arial"/>
                <w:sz w:val="20"/>
                <w:szCs w:val="20"/>
              </w:rPr>
            </w:pPr>
            <w:r>
              <w:rPr>
                <w:rFonts w:ascii="Arial" w:hAnsi="Arial" w:cs="Arial"/>
                <w:sz w:val="20"/>
                <w:szCs w:val="20"/>
              </w:rPr>
              <w:t>Negative impact: Presence of pests</w:t>
            </w:r>
          </w:p>
        </w:tc>
        <w:tc>
          <w:tcPr>
            <w:tcW w:w="3006" w:type="dxa"/>
            <w:tcBorders>
              <w:top w:val="nil"/>
              <w:left w:val="nil"/>
              <w:bottom w:val="nil"/>
              <w:right w:val="nil"/>
            </w:tcBorders>
            <w:vAlign w:val="bottom"/>
            <w:hideMark/>
          </w:tcPr>
          <w:p w14:paraId="7A560243"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1.40 (0.83, 2.35) </w:t>
            </w:r>
          </w:p>
          <w:p w14:paraId="50A1B315"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1.44 (0.86, 2.40) </w:t>
            </w:r>
          </w:p>
          <w:p w14:paraId="66601873" w14:textId="77777777" w:rsidR="006C7872" w:rsidRDefault="006C7872">
            <w:pPr>
              <w:tabs>
                <w:tab w:val="left" w:pos="1725"/>
              </w:tabs>
              <w:jc w:val="center"/>
              <w:rPr>
                <w:rFonts w:ascii="Arial" w:hAnsi="Arial" w:cs="Arial"/>
                <w:sz w:val="20"/>
                <w:szCs w:val="20"/>
              </w:rPr>
            </w:pPr>
            <w:r>
              <w:rPr>
                <w:rFonts w:ascii="Arial" w:hAnsi="Arial" w:cs="Arial"/>
                <w:sz w:val="20"/>
                <w:szCs w:val="20"/>
              </w:rPr>
              <w:t>1.42 (0.86, 2.35)</w:t>
            </w:r>
          </w:p>
        </w:tc>
        <w:tc>
          <w:tcPr>
            <w:tcW w:w="3006" w:type="dxa"/>
            <w:tcBorders>
              <w:top w:val="nil"/>
              <w:left w:val="nil"/>
              <w:bottom w:val="nil"/>
              <w:right w:val="nil"/>
            </w:tcBorders>
            <w:vAlign w:val="bottom"/>
            <w:hideMark/>
          </w:tcPr>
          <w:p w14:paraId="0F96DC3B"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0.94 (0.51, 1.73) </w:t>
            </w:r>
          </w:p>
          <w:p w14:paraId="298B7EDA"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1.01 (0.54, 1.87) </w:t>
            </w:r>
          </w:p>
          <w:p w14:paraId="678E4C9B"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0.99 (0.54, 1.81)</w:t>
            </w:r>
          </w:p>
        </w:tc>
        <w:tc>
          <w:tcPr>
            <w:tcW w:w="3006" w:type="dxa"/>
            <w:tcBorders>
              <w:top w:val="nil"/>
              <w:left w:val="nil"/>
              <w:bottom w:val="nil"/>
              <w:right w:val="nil"/>
            </w:tcBorders>
            <w:vAlign w:val="bottom"/>
            <w:hideMark/>
          </w:tcPr>
          <w:p w14:paraId="591DC739" w14:textId="77777777" w:rsidR="006C7872" w:rsidRDefault="006C7872">
            <w:pPr>
              <w:tabs>
                <w:tab w:val="left" w:pos="1725"/>
              </w:tabs>
              <w:jc w:val="center"/>
              <w:rPr>
                <w:rFonts w:ascii="Arial" w:hAnsi="Arial" w:cs="Arial"/>
                <w:sz w:val="20"/>
                <w:szCs w:val="20"/>
              </w:rPr>
            </w:pPr>
            <w:r>
              <w:rPr>
                <w:rFonts w:ascii="Arial" w:hAnsi="Arial" w:cs="Arial"/>
                <w:sz w:val="20"/>
                <w:szCs w:val="20"/>
              </w:rPr>
              <w:t>0.70 (0.44, 1.11)</w:t>
            </w:r>
          </w:p>
          <w:p w14:paraId="6670CBA4" w14:textId="77777777" w:rsidR="006C7872" w:rsidRDefault="006C7872">
            <w:pPr>
              <w:tabs>
                <w:tab w:val="left" w:pos="1725"/>
              </w:tabs>
              <w:jc w:val="center"/>
              <w:rPr>
                <w:rFonts w:ascii="Arial" w:hAnsi="Arial" w:cs="Arial"/>
                <w:sz w:val="20"/>
                <w:szCs w:val="20"/>
              </w:rPr>
            </w:pPr>
            <w:r>
              <w:rPr>
                <w:rFonts w:ascii="Arial" w:hAnsi="Arial" w:cs="Arial"/>
                <w:sz w:val="20"/>
                <w:szCs w:val="20"/>
              </w:rPr>
              <w:t>0.83 (0.52, 1.32)</w:t>
            </w:r>
          </w:p>
          <w:p w14:paraId="10414F0A"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0.93 (0.56, 1.52)</w:t>
            </w:r>
          </w:p>
        </w:tc>
      </w:tr>
      <w:tr w:rsidR="006C7872" w14:paraId="2D747E16" w14:textId="77777777" w:rsidTr="006C7872">
        <w:trPr>
          <w:trHeight w:val="364"/>
        </w:trPr>
        <w:tc>
          <w:tcPr>
            <w:tcW w:w="3824" w:type="dxa"/>
            <w:tcBorders>
              <w:top w:val="nil"/>
              <w:left w:val="nil"/>
              <w:bottom w:val="nil"/>
              <w:right w:val="nil"/>
            </w:tcBorders>
            <w:hideMark/>
          </w:tcPr>
          <w:p w14:paraId="74B3855E" w14:textId="77777777" w:rsidR="006C7872" w:rsidRDefault="006C7872">
            <w:pPr>
              <w:tabs>
                <w:tab w:val="left" w:pos="1725"/>
              </w:tabs>
              <w:rPr>
                <w:rFonts w:ascii="Arial" w:hAnsi="Arial" w:cs="Arial"/>
                <w:sz w:val="20"/>
                <w:szCs w:val="20"/>
              </w:rPr>
            </w:pPr>
            <w:r>
              <w:rPr>
                <w:rFonts w:ascii="Arial" w:hAnsi="Arial" w:cs="Arial"/>
                <w:sz w:val="20"/>
                <w:szCs w:val="20"/>
              </w:rPr>
              <w:t>Negative impact: Nighttime noise from road traffic</w:t>
            </w:r>
          </w:p>
        </w:tc>
        <w:tc>
          <w:tcPr>
            <w:tcW w:w="3006" w:type="dxa"/>
            <w:tcBorders>
              <w:top w:val="nil"/>
              <w:left w:val="nil"/>
              <w:bottom w:val="nil"/>
              <w:right w:val="nil"/>
            </w:tcBorders>
            <w:vAlign w:val="bottom"/>
            <w:hideMark/>
          </w:tcPr>
          <w:p w14:paraId="26106F5F"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0.89 (0.50, 1.58) </w:t>
            </w:r>
          </w:p>
          <w:p w14:paraId="5F8D4BAD" w14:textId="77777777" w:rsidR="006C7872" w:rsidRDefault="006C7872">
            <w:pPr>
              <w:tabs>
                <w:tab w:val="left" w:pos="1725"/>
              </w:tabs>
              <w:jc w:val="center"/>
              <w:rPr>
                <w:rFonts w:ascii="Arial" w:hAnsi="Arial" w:cs="Arial"/>
                <w:sz w:val="20"/>
                <w:szCs w:val="20"/>
              </w:rPr>
            </w:pPr>
            <w:r>
              <w:rPr>
                <w:rFonts w:ascii="Arial" w:hAnsi="Arial" w:cs="Arial"/>
                <w:sz w:val="20"/>
                <w:szCs w:val="20"/>
              </w:rPr>
              <w:t>0.92 (0.49, 1.72)</w:t>
            </w:r>
          </w:p>
          <w:p w14:paraId="4A9D2694"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 0.93 (0.50, 1.71)</w:t>
            </w:r>
          </w:p>
        </w:tc>
        <w:tc>
          <w:tcPr>
            <w:tcW w:w="3006" w:type="dxa"/>
            <w:tcBorders>
              <w:top w:val="nil"/>
              <w:left w:val="nil"/>
              <w:bottom w:val="nil"/>
              <w:right w:val="nil"/>
            </w:tcBorders>
            <w:vAlign w:val="bottom"/>
            <w:hideMark/>
          </w:tcPr>
          <w:p w14:paraId="09DDE9D7"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0.73 (0.34, 1.58) </w:t>
            </w:r>
          </w:p>
          <w:p w14:paraId="21608A11" w14:textId="77777777" w:rsidR="006C7872" w:rsidRDefault="006C7872">
            <w:pPr>
              <w:tabs>
                <w:tab w:val="left" w:pos="1725"/>
              </w:tabs>
              <w:jc w:val="center"/>
              <w:rPr>
                <w:rFonts w:ascii="Arial" w:hAnsi="Arial" w:cs="Arial"/>
                <w:sz w:val="20"/>
                <w:szCs w:val="20"/>
              </w:rPr>
            </w:pPr>
            <w:r>
              <w:rPr>
                <w:rFonts w:ascii="Arial" w:hAnsi="Arial" w:cs="Arial"/>
                <w:sz w:val="20"/>
                <w:szCs w:val="20"/>
              </w:rPr>
              <w:t>0.88 (0.41, 1.89)</w:t>
            </w:r>
          </w:p>
          <w:p w14:paraId="0F9D610E"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0.86 (0.40, 1.84)</w:t>
            </w:r>
          </w:p>
        </w:tc>
        <w:tc>
          <w:tcPr>
            <w:tcW w:w="3006" w:type="dxa"/>
            <w:tcBorders>
              <w:top w:val="nil"/>
              <w:left w:val="nil"/>
              <w:bottom w:val="nil"/>
              <w:right w:val="nil"/>
            </w:tcBorders>
            <w:vAlign w:val="bottom"/>
            <w:hideMark/>
          </w:tcPr>
          <w:p w14:paraId="23A11660" w14:textId="77777777" w:rsidR="006C7872" w:rsidRDefault="006C7872">
            <w:pPr>
              <w:tabs>
                <w:tab w:val="left" w:pos="1725"/>
              </w:tabs>
              <w:jc w:val="center"/>
              <w:rPr>
                <w:rFonts w:ascii="Arial" w:hAnsi="Arial" w:cs="Arial"/>
                <w:sz w:val="20"/>
                <w:szCs w:val="20"/>
              </w:rPr>
            </w:pPr>
            <w:r>
              <w:rPr>
                <w:rFonts w:ascii="Arial" w:hAnsi="Arial" w:cs="Arial"/>
                <w:sz w:val="20"/>
                <w:szCs w:val="20"/>
              </w:rPr>
              <w:t>0.73 (0.42, 1.28)</w:t>
            </w:r>
          </w:p>
          <w:p w14:paraId="75E434DE"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1.02 (0.56, 1.84) </w:t>
            </w:r>
          </w:p>
          <w:p w14:paraId="4ECD1A3D"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1.18 (0.64, 2.19)</w:t>
            </w:r>
          </w:p>
        </w:tc>
      </w:tr>
      <w:tr w:rsidR="006C7872" w14:paraId="44D0BE0F" w14:textId="77777777" w:rsidTr="006C7872">
        <w:trPr>
          <w:trHeight w:val="364"/>
        </w:trPr>
        <w:tc>
          <w:tcPr>
            <w:tcW w:w="3824" w:type="dxa"/>
            <w:tcBorders>
              <w:top w:val="nil"/>
              <w:left w:val="nil"/>
              <w:bottom w:val="nil"/>
              <w:right w:val="nil"/>
            </w:tcBorders>
            <w:hideMark/>
          </w:tcPr>
          <w:p w14:paraId="6915E95B" w14:textId="77777777" w:rsidR="006C7872" w:rsidRDefault="006C7872">
            <w:pPr>
              <w:tabs>
                <w:tab w:val="left" w:pos="1725"/>
              </w:tabs>
              <w:rPr>
                <w:rFonts w:ascii="Arial" w:hAnsi="Arial" w:cs="Arial"/>
                <w:sz w:val="20"/>
                <w:szCs w:val="20"/>
              </w:rPr>
            </w:pPr>
            <w:r>
              <w:rPr>
                <w:rFonts w:ascii="Arial" w:hAnsi="Arial" w:cs="Arial"/>
                <w:sz w:val="20"/>
                <w:szCs w:val="20"/>
              </w:rPr>
              <w:t>Negative impact: Nighttime noise from aircraft or railways</w:t>
            </w:r>
          </w:p>
        </w:tc>
        <w:tc>
          <w:tcPr>
            <w:tcW w:w="3006" w:type="dxa"/>
            <w:tcBorders>
              <w:top w:val="nil"/>
              <w:left w:val="nil"/>
              <w:bottom w:val="nil"/>
              <w:right w:val="nil"/>
            </w:tcBorders>
            <w:vAlign w:val="bottom"/>
            <w:hideMark/>
          </w:tcPr>
          <w:p w14:paraId="08A64052"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1.15 (0.56, 2.34) </w:t>
            </w:r>
          </w:p>
          <w:p w14:paraId="6CFE51B8"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1.26 (0.59, 2.69) </w:t>
            </w:r>
          </w:p>
          <w:p w14:paraId="7391E811" w14:textId="77777777" w:rsidR="006C7872" w:rsidRDefault="006C7872">
            <w:pPr>
              <w:tabs>
                <w:tab w:val="left" w:pos="1725"/>
              </w:tabs>
              <w:jc w:val="center"/>
              <w:rPr>
                <w:rFonts w:ascii="Arial" w:hAnsi="Arial" w:cs="Arial"/>
                <w:sz w:val="20"/>
                <w:szCs w:val="20"/>
              </w:rPr>
            </w:pPr>
            <w:r>
              <w:rPr>
                <w:rFonts w:ascii="Arial" w:hAnsi="Arial" w:cs="Arial"/>
                <w:sz w:val="20"/>
                <w:szCs w:val="20"/>
              </w:rPr>
              <w:t>1.23 (0.59, 2.58)</w:t>
            </w:r>
          </w:p>
        </w:tc>
        <w:tc>
          <w:tcPr>
            <w:tcW w:w="3006" w:type="dxa"/>
            <w:tcBorders>
              <w:top w:val="nil"/>
              <w:left w:val="nil"/>
              <w:bottom w:val="nil"/>
              <w:right w:val="nil"/>
            </w:tcBorders>
            <w:vAlign w:val="bottom"/>
            <w:hideMark/>
          </w:tcPr>
          <w:p w14:paraId="3F80C77E"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0.53 (0.16, 1.70) </w:t>
            </w:r>
          </w:p>
          <w:p w14:paraId="4A71F53B"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0.57 (0.17, 1.90) </w:t>
            </w:r>
          </w:p>
          <w:p w14:paraId="10D9A4B7"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0.56 (0.17, 1.82)</w:t>
            </w:r>
          </w:p>
        </w:tc>
        <w:tc>
          <w:tcPr>
            <w:tcW w:w="3006" w:type="dxa"/>
            <w:tcBorders>
              <w:top w:val="nil"/>
              <w:left w:val="nil"/>
              <w:bottom w:val="nil"/>
              <w:right w:val="nil"/>
            </w:tcBorders>
            <w:vAlign w:val="bottom"/>
            <w:hideMark/>
          </w:tcPr>
          <w:p w14:paraId="0890B083" w14:textId="77777777" w:rsidR="006C7872" w:rsidRDefault="006C7872">
            <w:pPr>
              <w:tabs>
                <w:tab w:val="left" w:pos="1725"/>
              </w:tabs>
              <w:jc w:val="center"/>
              <w:rPr>
                <w:rFonts w:ascii="Arial" w:hAnsi="Arial" w:cs="Arial"/>
                <w:sz w:val="20"/>
                <w:szCs w:val="20"/>
              </w:rPr>
            </w:pPr>
            <w:r>
              <w:rPr>
                <w:rFonts w:ascii="Arial" w:hAnsi="Arial" w:cs="Arial"/>
                <w:sz w:val="20"/>
                <w:szCs w:val="20"/>
              </w:rPr>
              <w:t>0.65 (0.33, 1.25)</w:t>
            </w:r>
          </w:p>
          <w:p w14:paraId="31D055A0" w14:textId="77777777" w:rsidR="006C7872" w:rsidRDefault="006C7872">
            <w:pPr>
              <w:tabs>
                <w:tab w:val="left" w:pos="1725"/>
              </w:tabs>
              <w:jc w:val="center"/>
              <w:rPr>
                <w:rFonts w:ascii="Arial" w:hAnsi="Arial" w:cs="Arial"/>
                <w:sz w:val="20"/>
                <w:szCs w:val="20"/>
              </w:rPr>
            </w:pPr>
            <w:r>
              <w:rPr>
                <w:rFonts w:ascii="Arial" w:hAnsi="Arial" w:cs="Arial"/>
                <w:sz w:val="20"/>
                <w:szCs w:val="20"/>
              </w:rPr>
              <w:t>0.51 (0.22, 1.15)</w:t>
            </w:r>
          </w:p>
          <w:p w14:paraId="2071B245"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0.59 (0.28, 1.25)</w:t>
            </w:r>
          </w:p>
        </w:tc>
      </w:tr>
      <w:tr w:rsidR="006C7872" w14:paraId="28BFA662" w14:textId="77777777" w:rsidTr="006C7872">
        <w:trPr>
          <w:trHeight w:val="270"/>
        </w:trPr>
        <w:tc>
          <w:tcPr>
            <w:tcW w:w="3824" w:type="dxa"/>
            <w:tcBorders>
              <w:top w:val="nil"/>
              <w:left w:val="nil"/>
              <w:bottom w:val="nil"/>
              <w:right w:val="nil"/>
            </w:tcBorders>
            <w:hideMark/>
          </w:tcPr>
          <w:p w14:paraId="171819BF" w14:textId="77777777" w:rsidR="006C7872" w:rsidRDefault="006C7872">
            <w:pPr>
              <w:tabs>
                <w:tab w:val="left" w:pos="1725"/>
              </w:tabs>
              <w:rPr>
                <w:rFonts w:ascii="Arial" w:hAnsi="Arial" w:cs="Arial"/>
                <w:sz w:val="20"/>
                <w:szCs w:val="20"/>
              </w:rPr>
            </w:pPr>
            <w:r>
              <w:rPr>
                <w:rFonts w:ascii="Arial" w:hAnsi="Arial" w:cs="Arial"/>
                <w:sz w:val="20"/>
                <w:szCs w:val="20"/>
              </w:rPr>
              <w:t>Negative impact: Neighborhood crime or drug activity</w:t>
            </w:r>
          </w:p>
        </w:tc>
        <w:tc>
          <w:tcPr>
            <w:tcW w:w="3006" w:type="dxa"/>
            <w:tcBorders>
              <w:top w:val="nil"/>
              <w:left w:val="nil"/>
              <w:bottom w:val="nil"/>
              <w:right w:val="nil"/>
            </w:tcBorders>
            <w:vAlign w:val="bottom"/>
            <w:hideMark/>
          </w:tcPr>
          <w:p w14:paraId="12A07521"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1.27 (0.68, 2.35) </w:t>
            </w:r>
          </w:p>
          <w:p w14:paraId="30BA2411"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1.21 (0.68, 2.16) </w:t>
            </w:r>
          </w:p>
          <w:p w14:paraId="7006790A" w14:textId="77777777" w:rsidR="006C7872" w:rsidRDefault="006C7872">
            <w:pPr>
              <w:tabs>
                <w:tab w:val="left" w:pos="1725"/>
              </w:tabs>
              <w:jc w:val="center"/>
              <w:rPr>
                <w:rFonts w:ascii="Arial" w:hAnsi="Arial" w:cs="Arial"/>
                <w:sz w:val="20"/>
                <w:szCs w:val="20"/>
              </w:rPr>
            </w:pPr>
            <w:r>
              <w:rPr>
                <w:rFonts w:ascii="Arial" w:hAnsi="Arial" w:cs="Arial"/>
                <w:sz w:val="20"/>
                <w:szCs w:val="20"/>
              </w:rPr>
              <w:t>1.19 (0.66, 2.13)</w:t>
            </w:r>
          </w:p>
        </w:tc>
        <w:tc>
          <w:tcPr>
            <w:tcW w:w="3006" w:type="dxa"/>
            <w:tcBorders>
              <w:top w:val="nil"/>
              <w:left w:val="nil"/>
              <w:bottom w:val="nil"/>
              <w:right w:val="nil"/>
            </w:tcBorders>
            <w:vAlign w:val="bottom"/>
            <w:hideMark/>
          </w:tcPr>
          <w:p w14:paraId="435E5ECE"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1.27 (0.63, 2.55) </w:t>
            </w:r>
          </w:p>
          <w:p w14:paraId="1667ED83"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1.24 (0.64, 2.41) </w:t>
            </w:r>
          </w:p>
          <w:p w14:paraId="2C0F8AEA"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1.25 (0.65, 2.38)</w:t>
            </w:r>
          </w:p>
        </w:tc>
        <w:tc>
          <w:tcPr>
            <w:tcW w:w="3006" w:type="dxa"/>
            <w:tcBorders>
              <w:top w:val="nil"/>
              <w:left w:val="nil"/>
              <w:bottom w:val="nil"/>
              <w:right w:val="nil"/>
            </w:tcBorders>
            <w:vAlign w:val="bottom"/>
            <w:hideMark/>
          </w:tcPr>
          <w:p w14:paraId="6B51020E"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0.74 (0.42, 1.29) </w:t>
            </w:r>
          </w:p>
          <w:p w14:paraId="1DC8C521"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0.95 (0.49, 1.83) </w:t>
            </w:r>
          </w:p>
          <w:p w14:paraId="3A3F4826"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1.01 (0.51, 2.00)</w:t>
            </w:r>
          </w:p>
        </w:tc>
      </w:tr>
      <w:tr w:rsidR="006C7872" w14:paraId="09FFA03A" w14:textId="77777777" w:rsidTr="006C7872">
        <w:trPr>
          <w:trHeight w:val="364"/>
        </w:trPr>
        <w:tc>
          <w:tcPr>
            <w:tcW w:w="3824" w:type="dxa"/>
            <w:tcBorders>
              <w:top w:val="nil"/>
              <w:left w:val="nil"/>
              <w:bottom w:val="nil"/>
              <w:right w:val="nil"/>
            </w:tcBorders>
            <w:hideMark/>
          </w:tcPr>
          <w:p w14:paraId="5B5EC981" w14:textId="77777777" w:rsidR="006C7872" w:rsidRDefault="006C7872">
            <w:pPr>
              <w:tabs>
                <w:tab w:val="left" w:pos="1725"/>
              </w:tabs>
              <w:rPr>
                <w:rFonts w:ascii="Arial" w:hAnsi="Arial" w:cs="Arial"/>
                <w:sz w:val="20"/>
                <w:szCs w:val="20"/>
              </w:rPr>
            </w:pPr>
            <w:r>
              <w:rPr>
                <w:rFonts w:ascii="Arial" w:hAnsi="Arial" w:cs="Arial"/>
                <w:sz w:val="20"/>
                <w:szCs w:val="20"/>
              </w:rPr>
              <w:lastRenderedPageBreak/>
              <w:t>Negative impact: Lack of privacy</w:t>
            </w:r>
          </w:p>
        </w:tc>
        <w:tc>
          <w:tcPr>
            <w:tcW w:w="3006" w:type="dxa"/>
            <w:tcBorders>
              <w:top w:val="nil"/>
              <w:left w:val="nil"/>
              <w:bottom w:val="nil"/>
              <w:right w:val="nil"/>
            </w:tcBorders>
            <w:vAlign w:val="bottom"/>
            <w:hideMark/>
          </w:tcPr>
          <w:p w14:paraId="5E6533C7"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1.50 (0.76, 2.98) </w:t>
            </w:r>
          </w:p>
          <w:p w14:paraId="6B8031EE"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1.43 (0.69, 2.96) </w:t>
            </w:r>
          </w:p>
          <w:p w14:paraId="30087318" w14:textId="77777777" w:rsidR="006C7872" w:rsidRDefault="006C7872">
            <w:pPr>
              <w:tabs>
                <w:tab w:val="left" w:pos="1725"/>
              </w:tabs>
              <w:jc w:val="center"/>
              <w:rPr>
                <w:rFonts w:ascii="Arial" w:hAnsi="Arial" w:cs="Arial"/>
                <w:sz w:val="20"/>
                <w:szCs w:val="20"/>
              </w:rPr>
            </w:pPr>
            <w:r>
              <w:rPr>
                <w:rFonts w:ascii="Arial" w:hAnsi="Arial" w:cs="Arial"/>
                <w:sz w:val="20"/>
                <w:szCs w:val="20"/>
              </w:rPr>
              <w:t>1.47 (0.73, 2.96)</w:t>
            </w:r>
          </w:p>
        </w:tc>
        <w:tc>
          <w:tcPr>
            <w:tcW w:w="3006" w:type="dxa"/>
            <w:tcBorders>
              <w:top w:val="nil"/>
              <w:left w:val="nil"/>
              <w:bottom w:val="nil"/>
              <w:right w:val="nil"/>
            </w:tcBorders>
            <w:vAlign w:val="bottom"/>
            <w:hideMark/>
          </w:tcPr>
          <w:p w14:paraId="4F342E78"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0.65 (0.19, 2.16) </w:t>
            </w:r>
          </w:p>
          <w:p w14:paraId="1FE787C3" w14:textId="77777777" w:rsidR="006C7872" w:rsidRDefault="006C7872">
            <w:pPr>
              <w:tabs>
                <w:tab w:val="left" w:pos="1725"/>
              </w:tabs>
              <w:jc w:val="center"/>
              <w:rPr>
                <w:rFonts w:ascii="Arial" w:hAnsi="Arial" w:cs="Arial"/>
                <w:sz w:val="20"/>
                <w:szCs w:val="20"/>
              </w:rPr>
            </w:pPr>
            <w:r>
              <w:rPr>
                <w:rFonts w:ascii="Arial" w:hAnsi="Arial" w:cs="Arial"/>
                <w:sz w:val="20"/>
                <w:szCs w:val="20"/>
              </w:rPr>
              <w:t>0.67 (0.20, 2.30)</w:t>
            </w:r>
          </w:p>
          <w:p w14:paraId="10501956"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0.69 (0.21, 2.27)</w:t>
            </w:r>
          </w:p>
        </w:tc>
        <w:tc>
          <w:tcPr>
            <w:tcW w:w="3006" w:type="dxa"/>
            <w:tcBorders>
              <w:top w:val="nil"/>
              <w:left w:val="nil"/>
              <w:bottom w:val="nil"/>
              <w:right w:val="nil"/>
            </w:tcBorders>
            <w:vAlign w:val="bottom"/>
            <w:hideMark/>
          </w:tcPr>
          <w:p w14:paraId="6BE8B562"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0.35 (0.19, 0.67)* </w:t>
            </w:r>
          </w:p>
          <w:p w14:paraId="598352D5"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0.49 (0.23, 1.08) </w:t>
            </w:r>
          </w:p>
          <w:p w14:paraId="1E0D9451"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0.51 (0.24, 1.11)</w:t>
            </w:r>
          </w:p>
        </w:tc>
      </w:tr>
      <w:tr w:rsidR="006C7872" w14:paraId="38B47C2C" w14:textId="77777777" w:rsidTr="006C7872">
        <w:trPr>
          <w:trHeight w:val="364"/>
        </w:trPr>
        <w:tc>
          <w:tcPr>
            <w:tcW w:w="3824" w:type="dxa"/>
            <w:tcBorders>
              <w:top w:val="nil"/>
              <w:left w:val="nil"/>
              <w:bottom w:val="single" w:sz="4" w:space="0" w:color="auto"/>
              <w:right w:val="nil"/>
            </w:tcBorders>
            <w:hideMark/>
          </w:tcPr>
          <w:p w14:paraId="2EB27869" w14:textId="77777777" w:rsidR="006C7872" w:rsidRDefault="006C7872">
            <w:pPr>
              <w:tabs>
                <w:tab w:val="left" w:pos="1725"/>
              </w:tabs>
              <w:rPr>
                <w:rFonts w:ascii="Arial" w:hAnsi="Arial" w:cs="Arial"/>
                <w:sz w:val="20"/>
                <w:szCs w:val="20"/>
              </w:rPr>
            </w:pPr>
            <w:r>
              <w:rPr>
                <w:rFonts w:ascii="Arial" w:hAnsi="Arial" w:cs="Arial"/>
                <w:sz w:val="20"/>
                <w:szCs w:val="20"/>
              </w:rPr>
              <w:t>Negative impact: Household member exposed to COVID-19</w:t>
            </w:r>
          </w:p>
        </w:tc>
        <w:tc>
          <w:tcPr>
            <w:tcW w:w="3006" w:type="dxa"/>
            <w:tcBorders>
              <w:top w:val="nil"/>
              <w:left w:val="nil"/>
              <w:bottom w:val="single" w:sz="4" w:space="0" w:color="auto"/>
              <w:right w:val="nil"/>
            </w:tcBorders>
            <w:vAlign w:val="bottom"/>
            <w:hideMark/>
          </w:tcPr>
          <w:p w14:paraId="0FC2157C"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1.50 (0.71, 3.18) </w:t>
            </w:r>
          </w:p>
          <w:p w14:paraId="23BEF883" w14:textId="77777777" w:rsidR="006C7872" w:rsidRDefault="006C7872">
            <w:pPr>
              <w:tabs>
                <w:tab w:val="left" w:pos="1725"/>
              </w:tabs>
              <w:jc w:val="center"/>
              <w:rPr>
                <w:rFonts w:ascii="Arial" w:hAnsi="Arial" w:cs="Arial"/>
                <w:sz w:val="20"/>
                <w:szCs w:val="20"/>
              </w:rPr>
            </w:pPr>
            <w:r>
              <w:rPr>
                <w:rFonts w:ascii="Arial" w:hAnsi="Arial" w:cs="Arial"/>
                <w:sz w:val="20"/>
                <w:szCs w:val="20"/>
              </w:rPr>
              <w:t>1.57 (0.69, 3.57)</w:t>
            </w:r>
          </w:p>
          <w:p w14:paraId="7050717C" w14:textId="77777777" w:rsidR="006C7872" w:rsidRDefault="006C7872">
            <w:pPr>
              <w:tabs>
                <w:tab w:val="left" w:pos="1725"/>
              </w:tabs>
              <w:jc w:val="center"/>
              <w:rPr>
                <w:rFonts w:ascii="Arial" w:hAnsi="Arial" w:cs="Arial"/>
                <w:sz w:val="20"/>
                <w:szCs w:val="20"/>
              </w:rPr>
            </w:pPr>
            <w:r>
              <w:rPr>
                <w:rFonts w:ascii="Arial" w:hAnsi="Arial" w:cs="Arial"/>
                <w:sz w:val="20"/>
                <w:szCs w:val="20"/>
              </w:rPr>
              <w:t>1.63 (0.74, 3.60)</w:t>
            </w:r>
          </w:p>
        </w:tc>
        <w:tc>
          <w:tcPr>
            <w:tcW w:w="3006" w:type="dxa"/>
            <w:tcBorders>
              <w:top w:val="nil"/>
              <w:left w:val="nil"/>
              <w:bottom w:val="single" w:sz="4" w:space="0" w:color="auto"/>
              <w:right w:val="nil"/>
            </w:tcBorders>
            <w:vAlign w:val="bottom"/>
            <w:hideMark/>
          </w:tcPr>
          <w:p w14:paraId="591E8F37" w14:textId="77777777" w:rsidR="006C7872" w:rsidRDefault="006C7872">
            <w:pPr>
              <w:tabs>
                <w:tab w:val="left" w:pos="1725"/>
              </w:tabs>
              <w:jc w:val="center"/>
              <w:rPr>
                <w:rFonts w:ascii="Arial" w:hAnsi="Arial" w:cs="Arial"/>
                <w:sz w:val="20"/>
                <w:szCs w:val="20"/>
              </w:rPr>
            </w:pPr>
            <w:r>
              <w:rPr>
                <w:rFonts w:ascii="Arial" w:hAnsi="Arial" w:cs="Arial"/>
                <w:sz w:val="20"/>
                <w:szCs w:val="20"/>
              </w:rPr>
              <w:t>2.08 (0.88, 4.91)</w:t>
            </w:r>
          </w:p>
          <w:p w14:paraId="046923D9"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2.25 (0.96, 5.26) </w:t>
            </w:r>
          </w:p>
          <w:p w14:paraId="509100C4"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2.22 (0.94, 5.29)</w:t>
            </w:r>
          </w:p>
        </w:tc>
        <w:tc>
          <w:tcPr>
            <w:tcW w:w="3006" w:type="dxa"/>
            <w:tcBorders>
              <w:top w:val="nil"/>
              <w:left w:val="nil"/>
              <w:bottom w:val="single" w:sz="4" w:space="0" w:color="auto"/>
              <w:right w:val="nil"/>
            </w:tcBorders>
            <w:vAlign w:val="bottom"/>
            <w:hideMark/>
          </w:tcPr>
          <w:p w14:paraId="65D73D3C"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1.43 (0.67, 3.07) </w:t>
            </w:r>
          </w:p>
          <w:p w14:paraId="0D55256E"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1.55 (0.61, 3.91) </w:t>
            </w:r>
          </w:p>
          <w:p w14:paraId="16899F64"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1.56 (0.53, 4.62)</w:t>
            </w:r>
          </w:p>
        </w:tc>
      </w:tr>
    </w:tbl>
    <w:p w14:paraId="7F0C6A57" w14:textId="77777777" w:rsidR="006C7872" w:rsidRDefault="006C7872" w:rsidP="006C7872">
      <w:pPr>
        <w:tabs>
          <w:tab w:val="left" w:pos="1725"/>
        </w:tabs>
        <w:rPr>
          <w:rFonts w:ascii="Arial" w:hAnsi="Arial" w:cs="Arial"/>
          <w:sz w:val="20"/>
          <w:szCs w:val="20"/>
        </w:rPr>
      </w:pPr>
      <w:r>
        <w:rPr>
          <w:rFonts w:ascii="Arial" w:hAnsi="Arial" w:cs="Arial"/>
          <w:sz w:val="20"/>
          <w:szCs w:val="20"/>
        </w:rPr>
        <w:t>*: p &lt; 0.05</w:t>
      </w:r>
    </w:p>
    <w:p w14:paraId="1A587AF4" w14:textId="77777777" w:rsidR="006C7872" w:rsidRDefault="006C7872" w:rsidP="006C7872">
      <w:pPr>
        <w:tabs>
          <w:tab w:val="left" w:pos="1725"/>
        </w:tabs>
        <w:rPr>
          <w:rFonts w:ascii="Arial" w:hAnsi="Arial" w:cs="Arial"/>
          <w:sz w:val="20"/>
          <w:szCs w:val="20"/>
        </w:rPr>
      </w:pPr>
      <w:r>
        <w:rPr>
          <w:rFonts w:ascii="Arial" w:hAnsi="Arial" w:cs="Arial"/>
          <w:sz w:val="20"/>
          <w:szCs w:val="20"/>
          <w:vertAlign w:val="superscript"/>
        </w:rPr>
        <w:t>1</w:t>
      </w:r>
      <w:r>
        <w:rPr>
          <w:rFonts w:ascii="Arial" w:hAnsi="Arial" w:cs="Arial"/>
          <w:sz w:val="20"/>
          <w:szCs w:val="20"/>
        </w:rPr>
        <w:t>OR: odds ratio; CI = confidence interval; p = value</w:t>
      </w:r>
    </w:p>
    <w:p w14:paraId="4F71931E" w14:textId="77777777" w:rsidR="006C7872" w:rsidRDefault="006C7872" w:rsidP="006C7872">
      <w:pPr>
        <w:tabs>
          <w:tab w:val="left" w:pos="1725"/>
        </w:tabs>
        <w:rPr>
          <w:rFonts w:ascii="Arial" w:hAnsi="Arial" w:cs="Arial"/>
          <w:sz w:val="20"/>
          <w:szCs w:val="20"/>
        </w:rPr>
      </w:pPr>
      <w:r>
        <w:rPr>
          <w:rFonts w:ascii="Arial" w:hAnsi="Arial" w:cs="Arial"/>
          <w:sz w:val="20"/>
          <w:szCs w:val="20"/>
          <w:vertAlign w:val="superscript"/>
        </w:rPr>
        <w:t>2</w:t>
      </w:r>
      <w:r>
        <w:rPr>
          <w:rFonts w:ascii="Arial" w:hAnsi="Arial" w:cs="Arial"/>
          <w:sz w:val="20"/>
          <w:szCs w:val="20"/>
        </w:rPr>
        <w:t>Adjusted for age, gender, race/ethnicity, educational attainment, annual household income, ZIP-code level median household income, county-level population density, county-level annual air pollution, and county-level greenness</w:t>
      </w:r>
    </w:p>
    <w:p w14:paraId="5325D3BE" w14:textId="77777777" w:rsidR="006C7872" w:rsidRDefault="006C7872" w:rsidP="006C7872">
      <w:pPr>
        <w:rPr>
          <w:rFonts w:ascii="Arial" w:hAnsi="Arial" w:cs="Arial"/>
          <w:sz w:val="20"/>
          <w:szCs w:val="20"/>
        </w:rPr>
      </w:pPr>
      <w:r>
        <w:rPr>
          <w:rFonts w:ascii="Arial" w:hAnsi="Arial" w:cs="Arial"/>
          <w:sz w:val="20"/>
          <w:szCs w:val="20"/>
          <w:vertAlign w:val="superscript"/>
        </w:rPr>
        <w:t>3</w:t>
      </w:r>
      <w:r>
        <w:rPr>
          <w:rFonts w:ascii="Arial" w:hAnsi="Arial" w:cs="Arial"/>
          <w:sz w:val="20"/>
          <w:szCs w:val="20"/>
        </w:rPr>
        <w:t xml:space="preserve">Primary models adjusted for age, race/ethnicity, annual household income, county-level population density, county-level annual air pollution, and county-level greenness. These values are also shown in Table 2 but are reproduced here for ease of comparison. </w:t>
      </w:r>
    </w:p>
    <w:p w14:paraId="6D3904CD" w14:textId="77777777" w:rsidR="006C7872" w:rsidRDefault="006C7872" w:rsidP="006C7872">
      <w:pPr>
        <w:rPr>
          <w:rFonts w:ascii="Arial" w:hAnsi="Arial" w:cs="Arial"/>
          <w:sz w:val="20"/>
          <w:szCs w:val="20"/>
        </w:rPr>
      </w:pPr>
    </w:p>
    <w:p w14:paraId="3F7A1213" w14:textId="77777777" w:rsidR="006C7872" w:rsidRDefault="006C7872" w:rsidP="006C7872">
      <w:pPr>
        <w:tabs>
          <w:tab w:val="left" w:pos="1725"/>
        </w:tabs>
        <w:rPr>
          <w:rFonts w:ascii="Arial" w:hAnsi="Arial" w:cs="Arial"/>
          <w:b/>
          <w:bCs/>
          <w:sz w:val="20"/>
          <w:szCs w:val="20"/>
        </w:rPr>
      </w:pPr>
    </w:p>
    <w:p w14:paraId="4914486E" w14:textId="77777777" w:rsidR="006C7872" w:rsidRDefault="006C7872" w:rsidP="006C7872">
      <w:pPr>
        <w:rPr>
          <w:rFonts w:ascii="Arial" w:hAnsi="Arial" w:cs="Arial"/>
          <w:b/>
          <w:bCs/>
          <w:sz w:val="20"/>
          <w:szCs w:val="20"/>
        </w:rPr>
      </w:pPr>
      <w:r>
        <w:rPr>
          <w:rFonts w:ascii="Arial" w:hAnsi="Arial" w:cs="Arial"/>
          <w:b/>
          <w:bCs/>
          <w:sz w:val="20"/>
          <w:szCs w:val="20"/>
        </w:rPr>
        <w:br w:type="page"/>
      </w:r>
    </w:p>
    <w:p w14:paraId="2A2B8286" w14:textId="77777777" w:rsidR="006C7872" w:rsidRDefault="006C7872" w:rsidP="006C7872">
      <w:pPr>
        <w:tabs>
          <w:tab w:val="left" w:pos="1725"/>
        </w:tabs>
        <w:rPr>
          <w:rFonts w:ascii="Arial" w:hAnsi="Arial" w:cs="Arial"/>
          <w:sz w:val="20"/>
          <w:szCs w:val="20"/>
        </w:rPr>
      </w:pPr>
      <w:r>
        <w:rPr>
          <w:rFonts w:ascii="Arial" w:hAnsi="Arial" w:cs="Arial"/>
          <w:b/>
          <w:bCs/>
          <w:sz w:val="20"/>
          <w:szCs w:val="20"/>
        </w:rPr>
        <w:lastRenderedPageBreak/>
        <w:t>Supplemental Table 2. Correlations between heating and cooling source for participants in the second wave (2021) of the Tufts Equity in Health, Wealth, and Civic Engagement Study</w:t>
      </w:r>
      <w:r>
        <w:rPr>
          <w:rFonts w:ascii="Arial" w:hAnsi="Arial" w:cs="Arial"/>
          <w:b/>
          <w:bCs/>
          <w:sz w:val="20"/>
          <w:szCs w:val="20"/>
          <w:vertAlign w:val="superscript"/>
        </w:rPr>
        <w:t>1</w:t>
      </w:r>
      <w:r>
        <w:rPr>
          <w:rFonts w:ascii="Arial" w:hAnsi="Arial" w:cs="Arial"/>
          <w:b/>
          <w:bCs/>
          <w:sz w:val="20"/>
          <w:szCs w:val="20"/>
        </w:rPr>
        <w:t xml:space="preserve"> </w:t>
      </w:r>
    </w:p>
    <w:tbl>
      <w:tblPr>
        <w:tblW w:w="12720" w:type="dxa"/>
        <w:tblLayout w:type="fixed"/>
        <w:tblLook w:val="04A0" w:firstRow="1" w:lastRow="0" w:firstColumn="1" w:lastColumn="0" w:noHBand="0" w:noVBand="1"/>
      </w:tblPr>
      <w:tblGrid>
        <w:gridCol w:w="613"/>
        <w:gridCol w:w="2169"/>
        <w:gridCol w:w="1656"/>
        <w:gridCol w:w="1656"/>
        <w:gridCol w:w="1657"/>
        <w:gridCol w:w="1656"/>
        <w:gridCol w:w="1656"/>
        <w:gridCol w:w="1657"/>
      </w:tblGrid>
      <w:tr w:rsidR="006C7872" w14:paraId="07287E50" w14:textId="77777777" w:rsidTr="006C7872">
        <w:trPr>
          <w:trHeight w:val="288"/>
        </w:trPr>
        <w:tc>
          <w:tcPr>
            <w:tcW w:w="614" w:type="dxa"/>
            <w:noWrap/>
            <w:vAlign w:val="bottom"/>
            <w:hideMark/>
          </w:tcPr>
          <w:p w14:paraId="623B0AFF" w14:textId="77777777" w:rsidR="006C7872" w:rsidRDefault="006C7872">
            <w:pPr>
              <w:rPr>
                <w:rFonts w:ascii="Arial" w:hAnsi="Arial" w:cs="Arial"/>
                <w:sz w:val="20"/>
                <w:szCs w:val="20"/>
              </w:rPr>
            </w:pPr>
          </w:p>
        </w:tc>
        <w:tc>
          <w:tcPr>
            <w:tcW w:w="2168" w:type="dxa"/>
            <w:noWrap/>
            <w:vAlign w:val="bottom"/>
            <w:hideMark/>
          </w:tcPr>
          <w:p w14:paraId="0E21BAF2" w14:textId="77777777" w:rsidR="006C7872" w:rsidRDefault="006C7872">
            <w:pPr>
              <w:rPr>
                <w:rFonts w:eastAsiaTheme="minorHAnsi"/>
                <w:sz w:val="20"/>
                <w:szCs w:val="20"/>
                <w:lang w:val="en-IN" w:eastAsia="en-IN"/>
              </w:rPr>
            </w:pPr>
          </w:p>
        </w:tc>
        <w:tc>
          <w:tcPr>
            <w:tcW w:w="9932" w:type="dxa"/>
            <w:gridSpan w:val="6"/>
            <w:noWrap/>
            <w:vAlign w:val="bottom"/>
            <w:hideMark/>
          </w:tcPr>
          <w:p w14:paraId="3F0D9561" w14:textId="77777777" w:rsidR="006C7872" w:rsidRDefault="006C7872">
            <w:pPr>
              <w:jc w:val="center"/>
              <w:rPr>
                <w:rFonts w:ascii="Arial" w:eastAsia="Times New Roman" w:hAnsi="Arial" w:cs="Arial"/>
                <w:b/>
                <w:bCs/>
                <w:sz w:val="20"/>
                <w:szCs w:val="20"/>
              </w:rPr>
            </w:pPr>
            <w:r>
              <w:rPr>
                <w:rFonts w:ascii="Arial" w:eastAsia="Times New Roman" w:hAnsi="Arial" w:cs="Arial"/>
                <w:b/>
                <w:bCs/>
                <w:sz w:val="20"/>
                <w:szCs w:val="20"/>
              </w:rPr>
              <w:t>Heating source</w:t>
            </w:r>
          </w:p>
        </w:tc>
      </w:tr>
      <w:tr w:rsidR="006C7872" w14:paraId="2F53E093" w14:textId="77777777" w:rsidTr="006C7872">
        <w:trPr>
          <w:trHeight w:val="288"/>
        </w:trPr>
        <w:tc>
          <w:tcPr>
            <w:tcW w:w="614" w:type="dxa"/>
            <w:noWrap/>
            <w:vAlign w:val="bottom"/>
            <w:hideMark/>
          </w:tcPr>
          <w:p w14:paraId="37826EE5" w14:textId="77777777" w:rsidR="006C7872" w:rsidRDefault="006C7872">
            <w:pPr>
              <w:rPr>
                <w:rFonts w:ascii="Arial" w:eastAsia="Times New Roman" w:hAnsi="Arial" w:cs="Arial"/>
                <w:b/>
                <w:bCs/>
                <w:sz w:val="20"/>
                <w:szCs w:val="20"/>
              </w:rPr>
            </w:pPr>
          </w:p>
        </w:tc>
        <w:tc>
          <w:tcPr>
            <w:tcW w:w="2168" w:type="dxa"/>
            <w:noWrap/>
            <w:hideMark/>
          </w:tcPr>
          <w:p w14:paraId="21E52B00" w14:textId="77777777" w:rsidR="006C7872" w:rsidRDefault="006C7872">
            <w:pPr>
              <w:rPr>
                <w:rFonts w:eastAsiaTheme="minorHAnsi"/>
                <w:sz w:val="20"/>
                <w:szCs w:val="20"/>
                <w:lang w:val="en-IN" w:eastAsia="en-IN"/>
              </w:rPr>
            </w:pPr>
          </w:p>
        </w:tc>
        <w:tc>
          <w:tcPr>
            <w:tcW w:w="1655" w:type="dxa"/>
            <w:tcBorders>
              <w:top w:val="nil"/>
              <w:left w:val="nil"/>
              <w:bottom w:val="single" w:sz="4" w:space="0" w:color="auto"/>
              <w:right w:val="nil"/>
            </w:tcBorders>
            <w:noWrap/>
            <w:hideMark/>
          </w:tcPr>
          <w:p w14:paraId="6FAF5060"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Central gas, or gas/oil furnace or boiler</w:t>
            </w:r>
          </w:p>
        </w:tc>
        <w:tc>
          <w:tcPr>
            <w:tcW w:w="1655" w:type="dxa"/>
            <w:tcBorders>
              <w:top w:val="nil"/>
              <w:left w:val="nil"/>
              <w:bottom w:val="single" w:sz="4" w:space="0" w:color="auto"/>
              <w:right w:val="nil"/>
            </w:tcBorders>
            <w:noWrap/>
            <w:hideMark/>
          </w:tcPr>
          <w:p w14:paraId="33AB679D"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Heat pump</w:t>
            </w:r>
          </w:p>
        </w:tc>
        <w:tc>
          <w:tcPr>
            <w:tcW w:w="1656" w:type="dxa"/>
            <w:tcBorders>
              <w:top w:val="nil"/>
              <w:left w:val="nil"/>
              <w:bottom w:val="single" w:sz="4" w:space="0" w:color="auto"/>
              <w:right w:val="nil"/>
            </w:tcBorders>
            <w:noWrap/>
            <w:hideMark/>
          </w:tcPr>
          <w:p w14:paraId="51B2CBE0"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Space heater (combustion or electric)</w:t>
            </w:r>
          </w:p>
        </w:tc>
        <w:tc>
          <w:tcPr>
            <w:tcW w:w="1655" w:type="dxa"/>
            <w:tcBorders>
              <w:top w:val="nil"/>
              <w:left w:val="nil"/>
              <w:bottom w:val="single" w:sz="4" w:space="0" w:color="auto"/>
              <w:right w:val="nil"/>
            </w:tcBorders>
            <w:noWrap/>
            <w:hideMark/>
          </w:tcPr>
          <w:p w14:paraId="5344220C"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Wood stove or gas/wood fireplace</w:t>
            </w:r>
          </w:p>
        </w:tc>
        <w:tc>
          <w:tcPr>
            <w:tcW w:w="1655" w:type="dxa"/>
            <w:tcBorders>
              <w:top w:val="nil"/>
              <w:left w:val="nil"/>
              <w:bottom w:val="single" w:sz="4" w:space="0" w:color="auto"/>
              <w:right w:val="nil"/>
            </w:tcBorders>
            <w:noWrap/>
            <w:hideMark/>
          </w:tcPr>
          <w:p w14:paraId="77DAFFBF"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None of the above</w:t>
            </w:r>
          </w:p>
        </w:tc>
        <w:tc>
          <w:tcPr>
            <w:tcW w:w="1656" w:type="dxa"/>
            <w:tcBorders>
              <w:top w:val="nil"/>
              <w:left w:val="nil"/>
              <w:bottom w:val="single" w:sz="4" w:space="0" w:color="auto"/>
              <w:right w:val="nil"/>
            </w:tcBorders>
            <w:noWrap/>
            <w:hideMark/>
          </w:tcPr>
          <w:p w14:paraId="279236FA"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Don't know</w:t>
            </w:r>
          </w:p>
        </w:tc>
      </w:tr>
      <w:tr w:rsidR="006C7872" w14:paraId="2B670BD2" w14:textId="77777777" w:rsidTr="006C7872">
        <w:trPr>
          <w:trHeight w:val="288"/>
        </w:trPr>
        <w:tc>
          <w:tcPr>
            <w:tcW w:w="614" w:type="dxa"/>
            <w:vMerge w:val="restart"/>
            <w:noWrap/>
            <w:textDirection w:val="btLr"/>
            <w:vAlign w:val="center"/>
            <w:hideMark/>
          </w:tcPr>
          <w:p w14:paraId="3FDB3361" w14:textId="77777777" w:rsidR="006C7872" w:rsidRDefault="006C7872">
            <w:pPr>
              <w:jc w:val="center"/>
              <w:rPr>
                <w:rFonts w:ascii="Arial" w:eastAsia="Times New Roman" w:hAnsi="Arial" w:cs="Arial"/>
                <w:b/>
                <w:bCs/>
                <w:sz w:val="20"/>
                <w:szCs w:val="20"/>
              </w:rPr>
            </w:pPr>
            <w:r>
              <w:rPr>
                <w:rFonts w:ascii="Arial" w:eastAsia="Times New Roman" w:hAnsi="Arial" w:cs="Arial"/>
                <w:b/>
                <w:bCs/>
                <w:sz w:val="20"/>
                <w:szCs w:val="20"/>
              </w:rPr>
              <w:t>Cooling source</w:t>
            </w:r>
          </w:p>
        </w:tc>
        <w:tc>
          <w:tcPr>
            <w:tcW w:w="2168" w:type="dxa"/>
            <w:tcBorders>
              <w:top w:val="nil"/>
              <w:left w:val="nil"/>
              <w:bottom w:val="nil"/>
              <w:right w:val="single" w:sz="4" w:space="0" w:color="auto"/>
            </w:tcBorders>
            <w:noWrap/>
            <w:hideMark/>
          </w:tcPr>
          <w:p w14:paraId="574EF11F" w14:textId="77777777" w:rsidR="006C7872" w:rsidRDefault="006C7872">
            <w:pPr>
              <w:rPr>
                <w:rFonts w:ascii="Arial" w:eastAsia="Times New Roman" w:hAnsi="Arial" w:cs="Arial"/>
                <w:sz w:val="20"/>
                <w:szCs w:val="20"/>
              </w:rPr>
            </w:pPr>
            <w:r>
              <w:rPr>
                <w:rFonts w:ascii="Arial" w:eastAsia="Times New Roman" w:hAnsi="Arial" w:cs="Arial"/>
                <w:sz w:val="20"/>
                <w:szCs w:val="20"/>
              </w:rPr>
              <w:t>Central air conditioning</w:t>
            </w:r>
          </w:p>
        </w:tc>
        <w:tc>
          <w:tcPr>
            <w:tcW w:w="1655" w:type="dxa"/>
            <w:tcBorders>
              <w:top w:val="single" w:sz="4" w:space="0" w:color="auto"/>
              <w:left w:val="single" w:sz="4" w:space="0" w:color="auto"/>
              <w:bottom w:val="nil"/>
              <w:right w:val="nil"/>
            </w:tcBorders>
            <w:noWrap/>
            <w:hideMark/>
          </w:tcPr>
          <w:p w14:paraId="0A8506C9"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&lt;0.001* (641)</w:t>
            </w:r>
          </w:p>
        </w:tc>
        <w:tc>
          <w:tcPr>
            <w:tcW w:w="1655" w:type="dxa"/>
            <w:tcBorders>
              <w:top w:val="single" w:sz="4" w:space="0" w:color="auto"/>
              <w:left w:val="nil"/>
              <w:bottom w:val="nil"/>
              <w:right w:val="nil"/>
            </w:tcBorders>
            <w:noWrap/>
            <w:hideMark/>
          </w:tcPr>
          <w:p w14:paraId="2C61FC4D"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&lt;0.001* (126)</w:t>
            </w:r>
          </w:p>
        </w:tc>
        <w:tc>
          <w:tcPr>
            <w:tcW w:w="1656" w:type="dxa"/>
            <w:tcBorders>
              <w:top w:val="single" w:sz="4" w:space="0" w:color="auto"/>
              <w:left w:val="nil"/>
              <w:bottom w:val="nil"/>
              <w:right w:val="nil"/>
            </w:tcBorders>
            <w:noWrap/>
            <w:hideMark/>
          </w:tcPr>
          <w:p w14:paraId="4618E10D"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&lt;0.001* (47)</w:t>
            </w:r>
          </w:p>
        </w:tc>
        <w:tc>
          <w:tcPr>
            <w:tcW w:w="1655" w:type="dxa"/>
            <w:tcBorders>
              <w:top w:val="single" w:sz="4" w:space="0" w:color="auto"/>
              <w:left w:val="nil"/>
              <w:bottom w:val="nil"/>
              <w:right w:val="nil"/>
            </w:tcBorders>
            <w:noWrap/>
            <w:hideMark/>
          </w:tcPr>
          <w:p w14:paraId="437E89B6"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0.273 (104)</w:t>
            </w:r>
          </w:p>
        </w:tc>
        <w:tc>
          <w:tcPr>
            <w:tcW w:w="1655" w:type="dxa"/>
            <w:tcBorders>
              <w:top w:val="single" w:sz="4" w:space="0" w:color="auto"/>
              <w:left w:val="nil"/>
              <w:bottom w:val="nil"/>
              <w:right w:val="nil"/>
            </w:tcBorders>
            <w:noWrap/>
            <w:hideMark/>
          </w:tcPr>
          <w:p w14:paraId="6875EAB9"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0.025* (78)</w:t>
            </w:r>
          </w:p>
        </w:tc>
        <w:tc>
          <w:tcPr>
            <w:tcW w:w="1656" w:type="dxa"/>
            <w:tcBorders>
              <w:top w:val="single" w:sz="4" w:space="0" w:color="auto"/>
              <w:left w:val="nil"/>
              <w:bottom w:val="nil"/>
              <w:right w:val="nil"/>
            </w:tcBorders>
            <w:noWrap/>
            <w:hideMark/>
          </w:tcPr>
          <w:p w14:paraId="0EBAB2B9"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&lt;0.001* (20)</w:t>
            </w:r>
          </w:p>
        </w:tc>
      </w:tr>
      <w:tr w:rsidR="006C7872" w14:paraId="39327F31" w14:textId="77777777" w:rsidTr="006C7872">
        <w:trPr>
          <w:trHeight w:val="288"/>
        </w:trPr>
        <w:tc>
          <w:tcPr>
            <w:tcW w:w="614" w:type="dxa"/>
            <w:vMerge/>
            <w:vAlign w:val="center"/>
            <w:hideMark/>
          </w:tcPr>
          <w:p w14:paraId="2B3D3C00" w14:textId="77777777" w:rsidR="006C7872" w:rsidRDefault="006C7872">
            <w:pPr>
              <w:rPr>
                <w:rFonts w:ascii="Arial" w:eastAsia="Times New Roman" w:hAnsi="Arial" w:cs="Arial"/>
                <w:b/>
                <w:bCs/>
                <w:sz w:val="20"/>
                <w:szCs w:val="20"/>
              </w:rPr>
            </w:pPr>
          </w:p>
        </w:tc>
        <w:tc>
          <w:tcPr>
            <w:tcW w:w="2168" w:type="dxa"/>
            <w:tcBorders>
              <w:top w:val="nil"/>
              <w:left w:val="nil"/>
              <w:bottom w:val="nil"/>
              <w:right w:val="single" w:sz="4" w:space="0" w:color="auto"/>
            </w:tcBorders>
            <w:noWrap/>
            <w:hideMark/>
          </w:tcPr>
          <w:p w14:paraId="67339521" w14:textId="77777777" w:rsidR="006C7872" w:rsidRDefault="006C7872">
            <w:pPr>
              <w:rPr>
                <w:rFonts w:ascii="Arial" w:eastAsia="Times New Roman" w:hAnsi="Arial" w:cs="Arial"/>
                <w:sz w:val="20"/>
                <w:szCs w:val="20"/>
              </w:rPr>
            </w:pPr>
            <w:r>
              <w:rPr>
                <w:rFonts w:ascii="Arial" w:eastAsia="Times New Roman" w:hAnsi="Arial" w:cs="Arial"/>
                <w:sz w:val="20"/>
                <w:szCs w:val="20"/>
              </w:rPr>
              <w:t>Window/wall air conditioning</w:t>
            </w:r>
          </w:p>
        </w:tc>
        <w:tc>
          <w:tcPr>
            <w:tcW w:w="1655" w:type="dxa"/>
            <w:tcBorders>
              <w:top w:val="nil"/>
              <w:left w:val="single" w:sz="4" w:space="0" w:color="auto"/>
              <w:bottom w:val="nil"/>
              <w:right w:val="nil"/>
            </w:tcBorders>
            <w:noWrap/>
            <w:hideMark/>
          </w:tcPr>
          <w:p w14:paraId="40ECF79E"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0.030* (145)</w:t>
            </w:r>
          </w:p>
        </w:tc>
        <w:tc>
          <w:tcPr>
            <w:tcW w:w="1655" w:type="dxa"/>
            <w:noWrap/>
            <w:hideMark/>
          </w:tcPr>
          <w:p w14:paraId="5DE44010"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&lt;0.001* (8)</w:t>
            </w:r>
          </w:p>
        </w:tc>
        <w:tc>
          <w:tcPr>
            <w:tcW w:w="1656" w:type="dxa"/>
            <w:noWrap/>
            <w:hideMark/>
          </w:tcPr>
          <w:p w14:paraId="187A9396"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&lt;0.001* (43)</w:t>
            </w:r>
          </w:p>
        </w:tc>
        <w:tc>
          <w:tcPr>
            <w:tcW w:w="1655" w:type="dxa"/>
            <w:noWrap/>
            <w:hideMark/>
          </w:tcPr>
          <w:p w14:paraId="317C98F1"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0.295 (37)</w:t>
            </w:r>
          </w:p>
        </w:tc>
        <w:tc>
          <w:tcPr>
            <w:tcW w:w="1655" w:type="dxa"/>
            <w:noWrap/>
            <w:hideMark/>
          </w:tcPr>
          <w:p w14:paraId="140418EA"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0.575 (22)</w:t>
            </w:r>
          </w:p>
        </w:tc>
        <w:tc>
          <w:tcPr>
            <w:tcW w:w="1656" w:type="dxa"/>
            <w:noWrap/>
            <w:hideMark/>
          </w:tcPr>
          <w:p w14:paraId="7C3C87CB"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0.874 (11)</w:t>
            </w:r>
          </w:p>
        </w:tc>
      </w:tr>
      <w:tr w:rsidR="006C7872" w14:paraId="00E2736D" w14:textId="77777777" w:rsidTr="006C7872">
        <w:trPr>
          <w:trHeight w:val="288"/>
        </w:trPr>
        <w:tc>
          <w:tcPr>
            <w:tcW w:w="614" w:type="dxa"/>
            <w:vMerge/>
            <w:vAlign w:val="center"/>
            <w:hideMark/>
          </w:tcPr>
          <w:p w14:paraId="61464BCC" w14:textId="77777777" w:rsidR="006C7872" w:rsidRDefault="006C7872">
            <w:pPr>
              <w:rPr>
                <w:rFonts w:ascii="Arial" w:eastAsia="Times New Roman" w:hAnsi="Arial" w:cs="Arial"/>
                <w:b/>
                <w:bCs/>
                <w:sz w:val="20"/>
                <w:szCs w:val="20"/>
              </w:rPr>
            </w:pPr>
          </w:p>
        </w:tc>
        <w:tc>
          <w:tcPr>
            <w:tcW w:w="2168" w:type="dxa"/>
            <w:tcBorders>
              <w:top w:val="nil"/>
              <w:left w:val="nil"/>
              <w:bottom w:val="nil"/>
              <w:right w:val="single" w:sz="4" w:space="0" w:color="auto"/>
            </w:tcBorders>
            <w:noWrap/>
            <w:hideMark/>
          </w:tcPr>
          <w:p w14:paraId="60D6B882" w14:textId="77777777" w:rsidR="006C7872" w:rsidRDefault="006C7872">
            <w:pPr>
              <w:rPr>
                <w:rFonts w:ascii="Arial" w:eastAsia="Times New Roman" w:hAnsi="Arial" w:cs="Arial"/>
                <w:sz w:val="20"/>
                <w:szCs w:val="20"/>
              </w:rPr>
            </w:pPr>
            <w:r>
              <w:rPr>
                <w:rFonts w:ascii="Arial" w:eastAsia="Times New Roman" w:hAnsi="Arial" w:cs="Arial"/>
                <w:sz w:val="20"/>
                <w:szCs w:val="20"/>
              </w:rPr>
              <w:t>Fans</w:t>
            </w:r>
          </w:p>
        </w:tc>
        <w:tc>
          <w:tcPr>
            <w:tcW w:w="1655" w:type="dxa"/>
            <w:tcBorders>
              <w:top w:val="nil"/>
              <w:left w:val="single" w:sz="4" w:space="0" w:color="auto"/>
              <w:bottom w:val="nil"/>
              <w:right w:val="nil"/>
            </w:tcBorders>
            <w:noWrap/>
            <w:hideMark/>
          </w:tcPr>
          <w:p w14:paraId="2871468B"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0.831 (300)</w:t>
            </w:r>
          </w:p>
        </w:tc>
        <w:tc>
          <w:tcPr>
            <w:tcW w:w="1655" w:type="dxa"/>
            <w:noWrap/>
            <w:hideMark/>
          </w:tcPr>
          <w:p w14:paraId="1CAC0AE1"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0.008* (32)</w:t>
            </w:r>
          </w:p>
        </w:tc>
        <w:tc>
          <w:tcPr>
            <w:tcW w:w="1656" w:type="dxa"/>
            <w:noWrap/>
            <w:hideMark/>
          </w:tcPr>
          <w:p w14:paraId="0F2A1F0D"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0.008* (58)</w:t>
            </w:r>
          </w:p>
        </w:tc>
        <w:tc>
          <w:tcPr>
            <w:tcW w:w="1655" w:type="dxa"/>
            <w:noWrap/>
            <w:hideMark/>
          </w:tcPr>
          <w:p w14:paraId="5DF5E9DF"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0.019* (73)</w:t>
            </w:r>
          </w:p>
        </w:tc>
        <w:tc>
          <w:tcPr>
            <w:tcW w:w="1655" w:type="dxa"/>
            <w:noWrap/>
            <w:hideMark/>
          </w:tcPr>
          <w:p w14:paraId="3E19FA09"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0.223 (53)</w:t>
            </w:r>
          </w:p>
        </w:tc>
        <w:tc>
          <w:tcPr>
            <w:tcW w:w="1656" w:type="dxa"/>
            <w:noWrap/>
            <w:hideMark/>
          </w:tcPr>
          <w:p w14:paraId="059A05F0"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0.011* (10)</w:t>
            </w:r>
          </w:p>
        </w:tc>
      </w:tr>
      <w:tr w:rsidR="006C7872" w14:paraId="08A2238E" w14:textId="77777777" w:rsidTr="006C7872">
        <w:trPr>
          <w:trHeight w:val="288"/>
        </w:trPr>
        <w:tc>
          <w:tcPr>
            <w:tcW w:w="614" w:type="dxa"/>
            <w:vMerge/>
            <w:vAlign w:val="center"/>
            <w:hideMark/>
          </w:tcPr>
          <w:p w14:paraId="0A72C8A9" w14:textId="77777777" w:rsidR="006C7872" w:rsidRDefault="006C7872">
            <w:pPr>
              <w:rPr>
                <w:rFonts w:ascii="Arial" w:eastAsia="Times New Roman" w:hAnsi="Arial" w:cs="Arial"/>
                <w:b/>
                <w:bCs/>
                <w:sz w:val="20"/>
                <w:szCs w:val="20"/>
              </w:rPr>
            </w:pPr>
          </w:p>
        </w:tc>
        <w:tc>
          <w:tcPr>
            <w:tcW w:w="2168" w:type="dxa"/>
            <w:tcBorders>
              <w:top w:val="nil"/>
              <w:left w:val="nil"/>
              <w:bottom w:val="nil"/>
              <w:right w:val="single" w:sz="4" w:space="0" w:color="auto"/>
            </w:tcBorders>
            <w:noWrap/>
            <w:hideMark/>
          </w:tcPr>
          <w:p w14:paraId="7088A760" w14:textId="77777777" w:rsidR="006C7872" w:rsidRDefault="006C7872">
            <w:pPr>
              <w:rPr>
                <w:rFonts w:ascii="Arial" w:eastAsia="Times New Roman" w:hAnsi="Arial" w:cs="Arial"/>
                <w:sz w:val="20"/>
                <w:szCs w:val="20"/>
              </w:rPr>
            </w:pPr>
            <w:r>
              <w:rPr>
                <w:rFonts w:ascii="Arial" w:eastAsia="Times New Roman" w:hAnsi="Arial" w:cs="Arial"/>
                <w:sz w:val="20"/>
                <w:szCs w:val="20"/>
              </w:rPr>
              <w:t>Open windows</w:t>
            </w:r>
          </w:p>
        </w:tc>
        <w:tc>
          <w:tcPr>
            <w:tcW w:w="1655" w:type="dxa"/>
            <w:tcBorders>
              <w:top w:val="nil"/>
              <w:left w:val="single" w:sz="4" w:space="0" w:color="auto"/>
              <w:bottom w:val="nil"/>
              <w:right w:val="nil"/>
            </w:tcBorders>
            <w:noWrap/>
            <w:hideMark/>
          </w:tcPr>
          <w:p w14:paraId="458A0B1E"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0.339 (273)</w:t>
            </w:r>
          </w:p>
        </w:tc>
        <w:tc>
          <w:tcPr>
            <w:tcW w:w="1655" w:type="dxa"/>
            <w:noWrap/>
            <w:hideMark/>
          </w:tcPr>
          <w:p w14:paraId="5BD95C15"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0.045* (30)</w:t>
            </w:r>
          </w:p>
        </w:tc>
        <w:tc>
          <w:tcPr>
            <w:tcW w:w="1656" w:type="dxa"/>
            <w:noWrap/>
            <w:hideMark/>
          </w:tcPr>
          <w:p w14:paraId="3CAE77D5"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0.015* (51)</w:t>
            </w:r>
          </w:p>
        </w:tc>
        <w:tc>
          <w:tcPr>
            <w:tcW w:w="1655" w:type="dxa"/>
            <w:noWrap/>
            <w:hideMark/>
          </w:tcPr>
          <w:p w14:paraId="0C37F6EE"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&lt;0.001* (74)</w:t>
            </w:r>
          </w:p>
        </w:tc>
        <w:tc>
          <w:tcPr>
            <w:tcW w:w="1655" w:type="dxa"/>
            <w:noWrap/>
            <w:hideMark/>
          </w:tcPr>
          <w:p w14:paraId="5A08C60D"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0.225 (34)</w:t>
            </w:r>
          </w:p>
        </w:tc>
        <w:tc>
          <w:tcPr>
            <w:tcW w:w="1656" w:type="dxa"/>
            <w:noWrap/>
            <w:hideMark/>
          </w:tcPr>
          <w:p w14:paraId="1DA2C667"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0.053 (10)</w:t>
            </w:r>
          </w:p>
        </w:tc>
      </w:tr>
      <w:tr w:rsidR="006C7872" w14:paraId="3F3642A7" w14:textId="77777777" w:rsidTr="006C7872">
        <w:trPr>
          <w:trHeight w:val="288"/>
        </w:trPr>
        <w:tc>
          <w:tcPr>
            <w:tcW w:w="614" w:type="dxa"/>
            <w:vMerge/>
            <w:vAlign w:val="center"/>
            <w:hideMark/>
          </w:tcPr>
          <w:p w14:paraId="4F3AB2A9" w14:textId="77777777" w:rsidR="006C7872" w:rsidRDefault="006C7872">
            <w:pPr>
              <w:rPr>
                <w:rFonts w:ascii="Arial" w:eastAsia="Times New Roman" w:hAnsi="Arial" w:cs="Arial"/>
                <w:b/>
                <w:bCs/>
                <w:sz w:val="20"/>
                <w:szCs w:val="20"/>
              </w:rPr>
            </w:pPr>
          </w:p>
        </w:tc>
        <w:tc>
          <w:tcPr>
            <w:tcW w:w="2168" w:type="dxa"/>
            <w:tcBorders>
              <w:top w:val="nil"/>
              <w:left w:val="nil"/>
              <w:bottom w:val="nil"/>
              <w:right w:val="single" w:sz="4" w:space="0" w:color="auto"/>
            </w:tcBorders>
            <w:noWrap/>
            <w:hideMark/>
          </w:tcPr>
          <w:p w14:paraId="19E4E074" w14:textId="77777777" w:rsidR="006C7872" w:rsidRDefault="006C7872">
            <w:pPr>
              <w:rPr>
                <w:rFonts w:ascii="Arial" w:eastAsia="Times New Roman" w:hAnsi="Arial" w:cs="Arial"/>
                <w:sz w:val="20"/>
                <w:szCs w:val="20"/>
              </w:rPr>
            </w:pPr>
            <w:r>
              <w:rPr>
                <w:rFonts w:ascii="Arial" w:eastAsia="Times New Roman" w:hAnsi="Arial" w:cs="Arial"/>
                <w:sz w:val="20"/>
                <w:szCs w:val="20"/>
              </w:rPr>
              <w:t>Evaporative cooling, humidifier, or HEPA or electrostatic filter</w:t>
            </w:r>
          </w:p>
        </w:tc>
        <w:tc>
          <w:tcPr>
            <w:tcW w:w="1655" w:type="dxa"/>
            <w:tcBorders>
              <w:top w:val="nil"/>
              <w:left w:val="single" w:sz="4" w:space="0" w:color="auto"/>
              <w:bottom w:val="nil"/>
              <w:right w:val="nil"/>
            </w:tcBorders>
            <w:noWrap/>
            <w:hideMark/>
          </w:tcPr>
          <w:p w14:paraId="7C837A8F"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0.178 (32)</w:t>
            </w:r>
          </w:p>
        </w:tc>
        <w:tc>
          <w:tcPr>
            <w:tcW w:w="1655" w:type="dxa"/>
            <w:noWrap/>
            <w:hideMark/>
          </w:tcPr>
          <w:p w14:paraId="5B01B789"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0.391 (3)</w:t>
            </w:r>
          </w:p>
        </w:tc>
        <w:tc>
          <w:tcPr>
            <w:tcW w:w="1656" w:type="dxa"/>
            <w:noWrap/>
            <w:hideMark/>
          </w:tcPr>
          <w:p w14:paraId="6BEAD8B6"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&lt;0.001* (28)</w:t>
            </w:r>
          </w:p>
        </w:tc>
        <w:tc>
          <w:tcPr>
            <w:tcW w:w="1655" w:type="dxa"/>
            <w:noWrap/>
            <w:hideMark/>
          </w:tcPr>
          <w:p w14:paraId="2B88A512"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0.008* (13)</w:t>
            </w:r>
          </w:p>
        </w:tc>
        <w:tc>
          <w:tcPr>
            <w:tcW w:w="1655" w:type="dxa"/>
            <w:noWrap/>
            <w:hideMark/>
          </w:tcPr>
          <w:p w14:paraId="34316D32"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0.744 (5)</w:t>
            </w:r>
          </w:p>
        </w:tc>
        <w:tc>
          <w:tcPr>
            <w:tcW w:w="1656" w:type="dxa"/>
            <w:noWrap/>
            <w:hideMark/>
          </w:tcPr>
          <w:p w14:paraId="6736DFD8"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0.268 (0)</w:t>
            </w:r>
          </w:p>
        </w:tc>
      </w:tr>
      <w:tr w:rsidR="006C7872" w14:paraId="0A7BBF20" w14:textId="77777777" w:rsidTr="006C7872">
        <w:trPr>
          <w:trHeight w:val="288"/>
        </w:trPr>
        <w:tc>
          <w:tcPr>
            <w:tcW w:w="614" w:type="dxa"/>
            <w:vMerge/>
            <w:vAlign w:val="center"/>
            <w:hideMark/>
          </w:tcPr>
          <w:p w14:paraId="1FA7CAB3" w14:textId="77777777" w:rsidR="006C7872" w:rsidRDefault="006C7872">
            <w:pPr>
              <w:rPr>
                <w:rFonts w:ascii="Arial" w:eastAsia="Times New Roman" w:hAnsi="Arial" w:cs="Arial"/>
                <w:b/>
                <w:bCs/>
                <w:sz w:val="20"/>
                <w:szCs w:val="20"/>
              </w:rPr>
            </w:pPr>
          </w:p>
        </w:tc>
        <w:tc>
          <w:tcPr>
            <w:tcW w:w="2168" w:type="dxa"/>
            <w:tcBorders>
              <w:top w:val="nil"/>
              <w:left w:val="nil"/>
              <w:bottom w:val="nil"/>
              <w:right w:val="single" w:sz="4" w:space="0" w:color="auto"/>
            </w:tcBorders>
            <w:noWrap/>
            <w:hideMark/>
          </w:tcPr>
          <w:p w14:paraId="0317FA31" w14:textId="77777777" w:rsidR="006C7872" w:rsidRDefault="006C7872">
            <w:pPr>
              <w:rPr>
                <w:rFonts w:ascii="Arial" w:eastAsia="Times New Roman" w:hAnsi="Arial" w:cs="Arial"/>
                <w:sz w:val="20"/>
                <w:szCs w:val="20"/>
              </w:rPr>
            </w:pPr>
            <w:r>
              <w:rPr>
                <w:rFonts w:ascii="Arial" w:eastAsia="Times New Roman" w:hAnsi="Arial" w:cs="Arial"/>
                <w:sz w:val="20"/>
                <w:szCs w:val="20"/>
              </w:rPr>
              <w:t>None of the above</w:t>
            </w:r>
          </w:p>
        </w:tc>
        <w:tc>
          <w:tcPr>
            <w:tcW w:w="1655" w:type="dxa"/>
            <w:tcBorders>
              <w:top w:val="nil"/>
              <w:left w:val="single" w:sz="4" w:space="0" w:color="auto"/>
              <w:bottom w:val="nil"/>
              <w:right w:val="nil"/>
            </w:tcBorders>
            <w:noWrap/>
            <w:hideMark/>
          </w:tcPr>
          <w:p w14:paraId="49E5D004"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&lt;0.001* (1)</w:t>
            </w:r>
          </w:p>
        </w:tc>
        <w:tc>
          <w:tcPr>
            <w:tcW w:w="1655" w:type="dxa"/>
            <w:noWrap/>
            <w:hideMark/>
          </w:tcPr>
          <w:p w14:paraId="1069F55C"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0.303 (2)</w:t>
            </w:r>
          </w:p>
        </w:tc>
        <w:tc>
          <w:tcPr>
            <w:tcW w:w="1656" w:type="dxa"/>
            <w:noWrap/>
            <w:hideMark/>
          </w:tcPr>
          <w:p w14:paraId="4BF694FA"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0.411 (0)</w:t>
            </w:r>
          </w:p>
        </w:tc>
        <w:tc>
          <w:tcPr>
            <w:tcW w:w="1655" w:type="dxa"/>
            <w:noWrap/>
            <w:hideMark/>
          </w:tcPr>
          <w:p w14:paraId="4DBE0A65"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0.151 (2)</w:t>
            </w:r>
          </w:p>
        </w:tc>
        <w:tc>
          <w:tcPr>
            <w:tcW w:w="1655" w:type="dxa"/>
            <w:noWrap/>
            <w:hideMark/>
          </w:tcPr>
          <w:p w14:paraId="0EA19ACA"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0.014* (3)</w:t>
            </w:r>
          </w:p>
        </w:tc>
        <w:tc>
          <w:tcPr>
            <w:tcW w:w="1656" w:type="dxa"/>
            <w:noWrap/>
            <w:hideMark/>
          </w:tcPr>
          <w:p w14:paraId="68BBDF8B"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0.594 (0)</w:t>
            </w:r>
          </w:p>
        </w:tc>
      </w:tr>
      <w:tr w:rsidR="006C7872" w14:paraId="48FBF325" w14:textId="77777777" w:rsidTr="006C7872">
        <w:trPr>
          <w:trHeight w:val="288"/>
        </w:trPr>
        <w:tc>
          <w:tcPr>
            <w:tcW w:w="614" w:type="dxa"/>
            <w:vMerge/>
            <w:vAlign w:val="center"/>
            <w:hideMark/>
          </w:tcPr>
          <w:p w14:paraId="485FEA1E" w14:textId="77777777" w:rsidR="006C7872" w:rsidRDefault="006C7872">
            <w:pPr>
              <w:rPr>
                <w:rFonts w:ascii="Arial" w:eastAsia="Times New Roman" w:hAnsi="Arial" w:cs="Arial"/>
                <w:b/>
                <w:bCs/>
                <w:sz w:val="20"/>
                <w:szCs w:val="20"/>
              </w:rPr>
            </w:pPr>
          </w:p>
        </w:tc>
        <w:tc>
          <w:tcPr>
            <w:tcW w:w="2168" w:type="dxa"/>
            <w:tcBorders>
              <w:top w:val="nil"/>
              <w:left w:val="nil"/>
              <w:bottom w:val="nil"/>
              <w:right w:val="single" w:sz="4" w:space="0" w:color="auto"/>
            </w:tcBorders>
            <w:noWrap/>
            <w:hideMark/>
          </w:tcPr>
          <w:p w14:paraId="22A56348" w14:textId="77777777" w:rsidR="006C7872" w:rsidRDefault="006C7872">
            <w:pPr>
              <w:rPr>
                <w:rFonts w:ascii="Arial" w:eastAsia="Times New Roman" w:hAnsi="Arial" w:cs="Arial"/>
                <w:sz w:val="20"/>
                <w:szCs w:val="20"/>
              </w:rPr>
            </w:pPr>
            <w:r>
              <w:rPr>
                <w:rFonts w:ascii="Arial" w:eastAsia="Times New Roman" w:hAnsi="Arial" w:cs="Arial"/>
                <w:sz w:val="20"/>
                <w:szCs w:val="20"/>
              </w:rPr>
              <w:t>Don't know</w:t>
            </w:r>
          </w:p>
        </w:tc>
        <w:tc>
          <w:tcPr>
            <w:tcW w:w="1655" w:type="dxa"/>
            <w:tcBorders>
              <w:top w:val="nil"/>
              <w:left w:val="single" w:sz="4" w:space="0" w:color="auto"/>
              <w:bottom w:val="nil"/>
              <w:right w:val="nil"/>
            </w:tcBorders>
            <w:noWrap/>
            <w:hideMark/>
          </w:tcPr>
          <w:p w14:paraId="3DDE8797"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&lt;0.001* (1)</w:t>
            </w:r>
          </w:p>
        </w:tc>
        <w:tc>
          <w:tcPr>
            <w:tcW w:w="1655" w:type="dxa"/>
            <w:noWrap/>
            <w:hideMark/>
          </w:tcPr>
          <w:p w14:paraId="1D047BCE"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0.254 (0)</w:t>
            </w:r>
          </w:p>
        </w:tc>
        <w:tc>
          <w:tcPr>
            <w:tcW w:w="1656" w:type="dxa"/>
            <w:noWrap/>
            <w:hideMark/>
          </w:tcPr>
          <w:p w14:paraId="500E6068"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0.29 (0)</w:t>
            </w:r>
          </w:p>
        </w:tc>
        <w:tc>
          <w:tcPr>
            <w:tcW w:w="1655" w:type="dxa"/>
            <w:noWrap/>
            <w:hideMark/>
          </w:tcPr>
          <w:p w14:paraId="52955610"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0.149 (1)</w:t>
            </w:r>
          </w:p>
        </w:tc>
        <w:tc>
          <w:tcPr>
            <w:tcW w:w="1655" w:type="dxa"/>
            <w:noWrap/>
            <w:hideMark/>
          </w:tcPr>
          <w:p w14:paraId="46138D50"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0.263 (0)</w:t>
            </w:r>
          </w:p>
        </w:tc>
        <w:tc>
          <w:tcPr>
            <w:tcW w:w="1656" w:type="dxa"/>
            <w:noWrap/>
            <w:hideMark/>
          </w:tcPr>
          <w:p w14:paraId="7721064F" w14:textId="77777777" w:rsidR="006C7872" w:rsidRDefault="006C7872">
            <w:pPr>
              <w:jc w:val="center"/>
              <w:rPr>
                <w:rFonts w:ascii="Arial" w:eastAsia="Times New Roman" w:hAnsi="Arial" w:cs="Arial"/>
                <w:sz w:val="20"/>
                <w:szCs w:val="20"/>
              </w:rPr>
            </w:pPr>
            <w:r>
              <w:rPr>
                <w:rFonts w:ascii="Arial" w:eastAsia="Times New Roman" w:hAnsi="Arial" w:cs="Arial"/>
                <w:sz w:val="20"/>
                <w:szCs w:val="20"/>
              </w:rPr>
              <w:t>&lt;0.001* (23)</w:t>
            </w:r>
          </w:p>
        </w:tc>
      </w:tr>
    </w:tbl>
    <w:p w14:paraId="04ABA265" w14:textId="77777777" w:rsidR="006C7872" w:rsidRDefault="006C7872" w:rsidP="006C7872">
      <w:pPr>
        <w:tabs>
          <w:tab w:val="left" w:pos="1725"/>
        </w:tabs>
        <w:rPr>
          <w:rFonts w:ascii="Arial" w:hAnsi="Arial" w:cs="Arial"/>
          <w:b/>
          <w:bCs/>
          <w:sz w:val="20"/>
          <w:szCs w:val="20"/>
        </w:rPr>
      </w:pPr>
    </w:p>
    <w:p w14:paraId="4781A8E6" w14:textId="77777777" w:rsidR="006C7872" w:rsidRDefault="006C7872" w:rsidP="006C7872">
      <w:pPr>
        <w:tabs>
          <w:tab w:val="left" w:pos="1725"/>
        </w:tabs>
        <w:rPr>
          <w:rFonts w:ascii="Arial" w:hAnsi="Arial" w:cs="Arial"/>
          <w:sz w:val="20"/>
          <w:szCs w:val="20"/>
        </w:rPr>
      </w:pPr>
      <w:r>
        <w:rPr>
          <w:rFonts w:ascii="Arial" w:hAnsi="Arial" w:cs="Arial"/>
          <w:sz w:val="20"/>
          <w:szCs w:val="20"/>
        </w:rPr>
        <w:t>*p &lt; 0.05</w:t>
      </w:r>
    </w:p>
    <w:p w14:paraId="54395FD6" w14:textId="77777777" w:rsidR="006C7872" w:rsidRDefault="006C7872" w:rsidP="006C7872">
      <w:pPr>
        <w:rPr>
          <w:rFonts w:ascii="Arial" w:hAnsi="Arial" w:cs="Arial"/>
          <w:sz w:val="20"/>
          <w:szCs w:val="20"/>
        </w:rPr>
      </w:pPr>
      <w:r>
        <w:rPr>
          <w:rFonts w:ascii="Arial" w:hAnsi="Arial" w:cs="Arial"/>
          <w:sz w:val="20"/>
          <w:szCs w:val="20"/>
          <w:vertAlign w:val="superscript"/>
        </w:rPr>
        <w:t>1</w:t>
      </w:r>
      <w:r>
        <w:rPr>
          <w:rFonts w:ascii="Arial" w:hAnsi="Arial" w:cs="Arial"/>
          <w:sz w:val="20"/>
          <w:szCs w:val="20"/>
        </w:rPr>
        <w:t>Cells show the weighted Pearson’s chi-squared p-value for the association between use of the given heating and cooling sources, along with the weighted sample size of participants who use the stated combination of heating and cooling sources.</w:t>
      </w:r>
    </w:p>
    <w:p w14:paraId="381E7E3E" w14:textId="77777777" w:rsidR="006C7872" w:rsidRDefault="006C7872" w:rsidP="006C7872">
      <w:pPr>
        <w:rPr>
          <w:rFonts w:ascii="Arial" w:hAnsi="Arial" w:cs="Arial"/>
          <w:sz w:val="20"/>
          <w:szCs w:val="20"/>
        </w:rPr>
      </w:pPr>
    </w:p>
    <w:p w14:paraId="04DDE0C7" w14:textId="77777777" w:rsidR="006C7872" w:rsidRDefault="006C7872" w:rsidP="006C7872">
      <w:pPr>
        <w:rPr>
          <w:rFonts w:ascii="Arial" w:hAnsi="Arial" w:cs="Arial"/>
          <w:sz w:val="20"/>
          <w:szCs w:val="20"/>
        </w:rPr>
      </w:pPr>
    </w:p>
    <w:p w14:paraId="4F04D403" w14:textId="77777777" w:rsidR="006C7872" w:rsidRDefault="006C7872" w:rsidP="006C7872">
      <w:pPr>
        <w:rPr>
          <w:rFonts w:ascii="Arial" w:hAnsi="Arial" w:cs="Arial"/>
          <w:b/>
          <w:bCs/>
          <w:sz w:val="20"/>
          <w:szCs w:val="20"/>
        </w:rPr>
      </w:pPr>
      <w:r>
        <w:rPr>
          <w:rFonts w:ascii="Arial" w:hAnsi="Arial" w:cs="Arial"/>
          <w:b/>
          <w:bCs/>
          <w:sz w:val="20"/>
          <w:szCs w:val="20"/>
        </w:rPr>
        <w:br w:type="page"/>
      </w:r>
    </w:p>
    <w:p w14:paraId="074646E4" w14:textId="77777777" w:rsidR="006C7872" w:rsidRDefault="006C7872" w:rsidP="006C7872">
      <w:pPr>
        <w:tabs>
          <w:tab w:val="left" w:pos="1725"/>
        </w:tabs>
        <w:rPr>
          <w:rFonts w:ascii="Arial" w:hAnsi="Arial" w:cs="Arial"/>
          <w:b/>
          <w:bCs/>
          <w:sz w:val="20"/>
          <w:szCs w:val="20"/>
        </w:rPr>
      </w:pPr>
      <w:r>
        <w:rPr>
          <w:rFonts w:ascii="Arial" w:hAnsi="Arial" w:cs="Arial"/>
          <w:b/>
          <w:bCs/>
          <w:sz w:val="20"/>
          <w:szCs w:val="20"/>
        </w:rPr>
        <w:lastRenderedPageBreak/>
        <w:t>Supplemental Table 3. Associations between self-reported heating and cooling sources and COVID-19 outcomes in the second wave (2021) of the Tufts Equity in Health, Wealth, and Civic Engagement Study</w:t>
      </w:r>
    </w:p>
    <w:tbl>
      <w:tblPr>
        <w:tblStyle w:val="TableGrid"/>
        <w:tblW w:w="12840" w:type="dxa"/>
        <w:tblInd w:w="0" w:type="dxa"/>
        <w:tblLayout w:type="fixed"/>
        <w:tblLook w:val="04A0" w:firstRow="1" w:lastRow="0" w:firstColumn="1" w:lastColumn="0" w:noHBand="0" w:noVBand="1"/>
      </w:tblPr>
      <w:tblGrid>
        <w:gridCol w:w="3822"/>
        <w:gridCol w:w="3006"/>
        <w:gridCol w:w="3006"/>
        <w:gridCol w:w="3006"/>
      </w:tblGrid>
      <w:tr w:rsidR="006C7872" w14:paraId="7BF5E19B" w14:textId="77777777" w:rsidTr="006C7872">
        <w:trPr>
          <w:trHeight w:val="628"/>
        </w:trPr>
        <w:tc>
          <w:tcPr>
            <w:tcW w:w="3824" w:type="dxa"/>
            <w:tcBorders>
              <w:top w:val="single" w:sz="4" w:space="0" w:color="auto"/>
              <w:left w:val="nil"/>
              <w:bottom w:val="single" w:sz="4" w:space="0" w:color="auto"/>
              <w:right w:val="nil"/>
            </w:tcBorders>
            <w:hideMark/>
          </w:tcPr>
          <w:p w14:paraId="2E1A5D77" w14:textId="77777777" w:rsidR="006C7872" w:rsidRDefault="006C7872">
            <w:pPr>
              <w:tabs>
                <w:tab w:val="left" w:pos="1725"/>
              </w:tabs>
              <w:rPr>
                <w:rFonts w:ascii="Arial" w:hAnsi="Arial" w:cs="Arial"/>
                <w:b/>
                <w:bCs/>
                <w:sz w:val="20"/>
                <w:szCs w:val="20"/>
              </w:rPr>
            </w:pPr>
            <w:r>
              <w:rPr>
                <w:rFonts w:ascii="Arial" w:hAnsi="Arial" w:cs="Arial"/>
                <w:b/>
                <w:bCs/>
                <w:sz w:val="20"/>
                <w:szCs w:val="20"/>
              </w:rPr>
              <w:t>Exposure</w:t>
            </w:r>
          </w:p>
        </w:tc>
        <w:tc>
          <w:tcPr>
            <w:tcW w:w="3006" w:type="dxa"/>
            <w:tcBorders>
              <w:top w:val="single" w:sz="4" w:space="0" w:color="auto"/>
              <w:left w:val="nil"/>
              <w:bottom w:val="single" w:sz="4" w:space="0" w:color="auto"/>
              <w:right w:val="nil"/>
            </w:tcBorders>
            <w:hideMark/>
          </w:tcPr>
          <w:p w14:paraId="44806064" w14:textId="77777777" w:rsidR="006C7872" w:rsidRDefault="006C7872">
            <w:pPr>
              <w:tabs>
                <w:tab w:val="left" w:pos="1725"/>
              </w:tabs>
              <w:jc w:val="center"/>
              <w:rPr>
                <w:rFonts w:ascii="Arial" w:hAnsi="Arial" w:cs="Arial"/>
                <w:b/>
                <w:bCs/>
                <w:sz w:val="20"/>
                <w:szCs w:val="20"/>
              </w:rPr>
            </w:pPr>
            <w:r>
              <w:rPr>
                <w:rFonts w:ascii="Arial" w:hAnsi="Arial" w:cs="Arial"/>
                <w:b/>
                <w:bCs/>
                <w:sz w:val="20"/>
                <w:szCs w:val="20"/>
              </w:rPr>
              <w:t>Probable or actual COVID-19 diagnosis</w:t>
            </w:r>
          </w:p>
          <w:p w14:paraId="0BFEC515" w14:textId="77777777" w:rsidR="006C7872" w:rsidRDefault="006C7872">
            <w:pPr>
              <w:tabs>
                <w:tab w:val="left" w:pos="1725"/>
              </w:tabs>
              <w:jc w:val="center"/>
              <w:rPr>
                <w:rFonts w:ascii="Arial" w:hAnsi="Arial" w:cs="Arial"/>
                <w:sz w:val="20"/>
                <w:szCs w:val="20"/>
                <w:vertAlign w:val="superscript"/>
              </w:rPr>
            </w:pPr>
            <w:r>
              <w:rPr>
                <w:rFonts w:ascii="Arial" w:hAnsi="Arial" w:cs="Arial"/>
                <w:sz w:val="20"/>
                <w:szCs w:val="20"/>
              </w:rPr>
              <w:t>Unadjusted OR (95% CI; p)</w:t>
            </w:r>
            <w:r>
              <w:rPr>
                <w:rFonts w:ascii="Arial" w:hAnsi="Arial" w:cs="Arial"/>
                <w:sz w:val="20"/>
                <w:szCs w:val="20"/>
                <w:vertAlign w:val="superscript"/>
              </w:rPr>
              <w:t>1</w:t>
            </w:r>
          </w:p>
          <w:p w14:paraId="47DB678F" w14:textId="77777777" w:rsidR="006C7872" w:rsidRDefault="006C7872">
            <w:pPr>
              <w:tabs>
                <w:tab w:val="left" w:pos="1725"/>
              </w:tabs>
              <w:jc w:val="center"/>
              <w:rPr>
                <w:rFonts w:ascii="Arial" w:hAnsi="Arial" w:cs="Arial"/>
                <w:sz w:val="20"/>
                <w:szCs w:val="20"/>
                <w:vertAlign w:val="superscript"/>
              </w:rPr>
            </w:pPr>
            <w:r>
              <w:rPr>
                <w:rFonts w:ascii="Arial" w:hAnsi="Arial" w:cs="Arial"/>
                <w:sz w:val="20"/>
                <w:szCs w:val="20"/>
              </w:rPr>
              <w:t>Adjusted 1 OR (95% CI; p)</w:t>
            </w:r>
            <w:r>
              <w:rPr>
                <w:rFonts w:ascii="Arial" w:hAnsi="Arial" w:cs="Arial"/>
                <w:sz w:val="20"/>
                <w:szCs w:val="20"/>
                <w:vertAlign w:val="superscript"/>
              </w:rPr>
              <w:t>2</w:t>
            </w:r>
          </w:p>
          <w:p w14:paraId="4720A3E1" w14:textId="77777777" w:rsidR="006C7872" w:rsidRDefault="006C7872">
            <w:pPr>
              <w:tabs>
                <w:tab w:val="left" w:pos="1725"/>
              </w:tabs>
              <w:jc w:val="center"/>
              <w:rPr>
                <w:rFonts w:ascii="Arial" w:hAnsi="Arial" w:cs="Arial"/>
                <w:sz w:val="20"/>
                <w:szCs w:val="20"/>
              </w:rPr>
            </w:pPr>
            <w:r>
              <w:rPr>
                <w:rFonts w:ascii="Arial" w:hAnsi="Arial" w:cs="Arial"/>
                <w:sz w:val="20"/>
                <w:szCs w:val="20"/>
              </w:rPr>
              <w:t>Adjusted 2 OR (95% CI; p)</w:t>
            </w:r>
            <w:r>
              <w:rPr>
                <w:rFonts w:ascii="Arial" w:hAnsi="Arial" w:cs="Arial"/>
                <w:sz w:val="20"/>
                <w:szCs w:val="20"/>
                <w:vertAlign w:val="superscript"/>
              </w:rPr>
              <w:t>3</w:t>
            </w:r>
          </w:p>
        </w:tc>
        <w:tc>
          <w:tcPr>
            <w:tcW w:w="3006" w:type="dxa"/>
            <w:tcBorders>
              <w:top w:val="single" w:sz="4" w:space="0" w:color="auto"/>
              <w:left w:val="nil"/>
              <w:bottom w:val="single" w:sz="4" w:space="0" w:color="auto"/>
              <w:right w:val="nil"/>
            </w:tcBorders>
          </w:tcPr>
          <w:p w14:paraId="4A3BBACA" w14:textId="77777777" w:rsidR="006C7872" w:rsidRDefault="006C7872">
            <w:pPr>
              <w:tabs>
                <w:tab w:val="left" w:pos="1725"/>
              </w:tabs>
              <w:jc w:val="center"/>
              <w:rPr>
                <w:rFonts w:ascii="Arial" w:hAnsi="Arial" w:cs="Arial"/>
                <w:b/>
                <w:bCs/>
                <w:sz w:val="20"/>
                <w:szCs w:val="20"/>
              </w:rPr>
            </w:pPr>
            <w:r>
              <w:rPr>
                <w:rFonts w:ascii="Arial" w:hAnsi="Arial" w:cs="Arial"/>
                <w:b/>
                <w:bCs/>
                <w:sz w:val="20"/>
                <w:szCs w:val="20"/>
              </w:rPr>
              <w:t xml:space="preserve">COVID-19 diagnosis </w:t>
            </w:r>
          </w:p>
          <w:p w14:paraId="7079BF3B" w14:textId="77777777" w:rsidR="006C7872" w:rsidRDefault="006C7872">
            <w:pPr>
              <w:tabs>
                <w:tab w:val="left" w:pos="1725"/>
              </w:tabs>
              <w:jc w:val="center"/>
              <w:rPr>
                <w:rFonts w:ascii="Arial" w:hAnsi="Arial" w:cs="Arial"/>
                <w:b/>
                <w:bCs/>
                <w:sz w:val="20"/>
                <w:szCs w:val="20"/>
              </w:rPr>
            </w:pPr>
          </w:p>
          <w:p w14:paraId="09AA3133" w14:textId="77777777" w:rsidR="006C7872" w:rsidRDefault="006C7872">
            <w:pPr>
              <w:tabs>
                <w:tab w:val="left" w:pos="1725"/>
              </w:tabs>
              <w:jc w:val="center"/>
              <w:rPr>
                <w:rFonts w:ascii="Arial" w:hAnsi="Arial" w:cs="Arial"/>
                <w:sz w:val="20"/>
                <w:szCs w:val="20"/>
                <w:vertAlign w:val="superscript"/>
              </w:rPr>
            </w:pPr>
            <w:r>
              <w:rPr>
                <w:rFonts w:ascii="Arial" w:hAnsi="Arial" w:cs="Arial"/>
                <w:sz w:val="20"/>
                <w:szCs w:val="20"/>
              </w:rPr>
              <w:t>Unadjusted OR (95% CI; p)</w:t>
            </w:r>
          </w:p>
          <w:p w14:paraId="612E2141" w14:textId="77777777" w:rsidR="006C7872" w:rsidRDefault="006C7872">
            <w:pPr>
              <w:tabs>
                <w:tab w:val="left" w:pos="1725"/>
              </w:tabs>
              <w:jc w:val="center"/>
              <w:rPr>
                <w:rFonts w:ascii="Arial" w:hAnsi="Arial" w:cs="Arial"/>
                <w:sz w:val="20"/>
                <w:szCs w:val="20"/>
                <w:vertAlign w:val="superscript"/>
              </w:rPr>
            </w:pPr>
            <w:r>
              <w:rPr>
                <w:rFonts w:ascii="Arial" w:hAnsi="Arial" w:cs="Arial"/>
                <w:sz w:val="20"/>
                <w:szCs w:val="20"/>
              </w:rPr>
              <w:t>Adjusted 1 OR (95% CI; p)</w:t>
            </w:r>
          </w:p>
          <w:p w14:paraId="41BEAF80" w14:textId="77777777" w:rsidR="006C7872" w:rsidRDefault="006C7872">
            <w:pPr>
              <w:tabs>
                <w:tab w:val="left" w:pos="1725"/>
              </w:tabs>
              <w:jc w:val="center"/>
              <w:rPr>
                <w:rFonts w:ascii="Arial" w:hAnsi="Arial" w:cs="Arial"/>
                <w:sz w:val="20"/>
                <w:szCs w:val="20"/>
              </w:rPr>
            </w:pPr>
            <w:r>
              <w:rPr>
                <w:rFonts w:ascii="Arial" w:hAnsi="Arial" w:cs="Arial"/>
                <w:sz w:val="20"/>
                <w:szCs w:val="20"/>
              </w:rPr>
              <w:t>Adjusted 2 OR (95% CI; p)</w:t>
            </w:r>
          </w:p>
        </w:tc>
        <w:tc>
          <w:tcPr>
            <w:tcW w:w="3006" w:type="dxa"/>
            <w:tcBorders>
              <w:top w:val="single" w:sz="4" w:space="0" w:color="auto"/>
              <w:left w:val="nil"/>
              <w:bottom w:val="single" w:sz="4" w:space="0" w:color="auto"/>
              <w:right w:val="nil"/>
            </w:tcBorders>
            <w:hideMark/>
          </w:tcPr>
          <w:p w14:paraId="4B5FA920" w14:textId="77777777" w:rsidR="006C7872" w:rsidRDefault="006C7872">
            <w:pPr>
              <w:tabs>
                <w:tab w:val="left" w:pos="1725"/>
              </w:tabs>
              <w:jc w:val="center"/>
              <w:rPr>
                <w:rFonts w:ascii="Arial" w:hAnsi="Arial" w:cs="Arial"/>
                <w:sz w:val="20"/>
                <w:szCs w:val="20"/>
                <w:vertAlign w:val="superscript"/>
              </w:rPr>
            </w:pPr>
            <w:r>
              <w:rPr>
                <w:rFonts w:ascii="Arial" w:hAnsi="Arial" w:cs="Arial"/>
                <w:b/>
                <w:bCs/>
                <w:sz w:val="20"/>
                <w:szCs w:val="20"/>
              </w:rPr>
              <w:t xml:space="preserve">Vaccinated/definitely willing to vaccinate for COVID-19 </w:t>
            </w:r>
            <w:r>
              <w:rPr>
                <w:rFonts w:ascii="Arial" w:hAnsi="Arial" w:cs="Arial"/>
                <w:sz w:val="20"/>
                <w:szCs w:val="20"/>
              </w:rPr>
              <w:t>Unadjusted OR (95% CI; p)</w:t>
            </w:r>
          </w:p>
          <w:p w14:paraId="2FE8127C" w14:textId="77777777" w:rsidR="006C7872" w:rsidRDefault="006C7872">
            <w:pPr>
              <w:tabs>
                <w:tab w:val="left" w:pos="1725"/>
              </w:tabs>
              <w:jc w:val="center"/>
              <w:rPr>
                <w:rFonts w:ascii="Arial" w:hAnsi="Arial" w:cs="Arial"/>
                <w:sz w:val="20"/>
                <w:szCs w:val="20"/>
                <w:vertAlign w:val="superscript"/>
              </w:rPr>
            </w:pPr>
            <w:r>
              <w:rPr>
                <w:rFonts w:ascii="Arial" w:hAnsi="Arial" w:cs="Arial"/>
                <w:sz w:val="20"/>
                <w:szCs w:val="20"/>
              </w:rPr>
              <w:t>Adjusted 1 OR (95% CI; p)</w:t>
            </w:r>
          </w:p>
          <w:p w14:paraId="7519DB10" w14:textId="77777777" w:rsidR="006C7872" w:rsidRDefault="006C7872">
            <w:pPr>
              <w:tabs>
                <w:tab w:val="left" w:pos="1725"/>
              </w:tabs>
              <w:jc w:val="center"/>
              <w:rPr>
                <w:rFonts w:ascii="Arial" w:hAnsi="Arial" w:cs="Arial"/>
                <w:sz w:val="20"/>
                <w:szCs w:val="20"/>
              </w:rPr>
            </w:pPr>
            <w:r>
              <w:rPr>
                <w:rFonts w:ascii="Arial" w:hAnsi="Arial" w:cs="Arial"/>
                <w:sz w:val="20"/>
                <w:szCs w:val="20"/>
              </w:rPr>
              <w:t>Adjusted 2 OR (95% CI; p)</w:t>
            </w:r>
          </w:p>
        </w:tc>
      </w:tr>
      <w:tr w:rsidR="006C7872" w14:paraId="7060104E" w14:textId="77777777" w:rsidTr="006C7872">
        <w:trPr>
          <w:trHeight w:val="364"/>
        </w:trPr>
        <w:tc>
          <w:tcPr>
            <w:tcW w:w="3824" w:type="dxa"/>
            <w:tcBorders>
              <w:top w:val="single" w:sz="4" w:space="0" w:color="auto"/>
              <w:left w:val="nil"/>
              <w:bottom w:val="nil"/>
              <w:right w:val="nil"/>
            </w:tcBorders>
            <w:hideMark/>
          </w:tcPr>
          <w:p w14:paraId="22DCED9F" w14:textId="77777777" w:rsidR="006C7872" w:rsidRDefault="006C7872">
            <w:pPr>
              <w:tabs>
                <w:tab w:val="left" w:pos="1725"/>
              </w:tabs>
              <w:rPr>
                <w:rFonts w:ascii="Arial" w:hAnsi="Arial" w:cs="Arial"/>
                <w:sz w:val="20"/>
                <w:szCs w:val="20"/>
              </w:rPr>
            </w:pPr>
            <w:r>
              <w:rPr>
                <w:rFonts w:ascii="Arial" w:hAnsi="Arial" w:cs="Arial"/>
                <w:sz w:val="20"/>
                <w:szCs w:val="20"/>
              </w:rPr>
              <w:t>Heating source: Central gas, or gas/oil furnace or boiler</w:t>
            </w:r>
          </w:p>
        </w:tc>
        <w:tc>
          <w:tcPr>
            <w:tcW w:w="3006" w:type="dxa"/>
            <w:tcBorders>
              <w:top w:val="single" w:sz="4" w:space="0" w:color="auto"/>
              <w:left w:val="nil"/>
              <w:bottom w:val="nil"/>
              <w:right w:val="nil"/>
            </w:tcBorders>
            <w:hideMark/>
          </w:tcPr>
          <w:p w14:paraId="1094BF69"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1.09 (0.79, 1.50) </w:t>
            </w:r>
          </w:p>
          <w:p w14:paraId="357FE009"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1.14 (0.81, 1.59) </w:t>
            </w:r>
          </w:p>
          <w:p w14:paraId="05C2784A"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1.15 (0.82, 1.60)</w:t>
            </w:r>
          </w:p>
        </w:tc>
        <w:tc>
          <w:tcPr>
            <w:tcW w:w="3006" w:type="dxa"/>
            <w:tcBorders>
              <w:top w:val="single" w:sz="4" w:space="0" w:color="auto"/>
              <w:left w:val="nil"/>
              <w:bottom w:val="nil"/>
              <w:right w:val="nil"/>
            </w:tcBorders>
            <w:vAlign w:val="bottom"/>
            <w:hideMark/>
          </w:tcPr>
          <w:p w14:paraId="108D5925"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1.19 (0.78, 1.82) </w:t>
            </w:r>
          </w:p>
          <w:p w14:paraId="19A1A501" w14:textId="77777777" w:rsidR="006C7872" w:rsidRDefault="006C7872">
            <w:pPr>
              <w:tabs>
                <w:tab w:val="left" w:pos="1725"/>
              </w:tabs>
              <w:jc w:val="center"/>
              <w:rPr>
                <w:rFonts w:ascii="Arial" w:hAnsi="Arial" w:cs="Arial"/>
                <w:sz w:val="20"/>
                <w:szCs w:val="20"/>
              </w:rPr>
            </w:pPr>
            <w:r>
              <w:rPr>
                <w:rFonts w:ascii="Arial" w:hAnsi="Arial" w:cs="Arial"/>
                <w:sz w:val="20"/>
                <w:szCs w:val="20"/>
              </w:rPr>
              <w:t>1.21 (0.77, 1.89)</w:t>
            </w:r>
          </w:p>
          <w:p w14:paraId="6943D28E"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1.20 (0.77, 1.89)</w:t>
            </w:r>
          </w:p>
        </w:tc>
        <w:tc>
          <w:tcPr>
            <w:tcW w:w="3006" w:type="dxa"/>
            <w:tcBorders>
              <w:top w:val="single" w:sz="4" w:space="0" w:color="auto"/>
              <w:left w:val="nil"/>
              <w:bottom w:val="nil"/>
              <w:right w:val="nil"/>
            </w:tcBorders>
            <w:vAlign w:val="bottom"/>
            <w:hideMark/>
          </w:tcPr>
          <w:p w14:paraId="69F17E74"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1.53 (1.15, 2.03)* </w:t>
            </w:r>
          </w:p>
          <w:p w14:paraId="708D256B"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1.20 (0.88, 1.64) </w:t>
            </w:r>
          </w:p>
          <w:p w14:paraId="71E16EAE"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1.21 (0.89, 1.64)</w:t>
            </w:r>
          </w:p>
        </w:tc>
      </w:tr>
      <w:tr w:rsidR="006C7872" w14:paraId="4FDBCC57" w14:textId="77777777" w:rsidTr="006C7872">
        <w:trPr>
          <w:trHeight w:val="364"/>
        </w:trPr>
        <w:tc>
          <w:tcPr>
            <w:tcW w:w="3824" w:type="dxa"/>
            <w:tcBorders>
              <w:top w:val="nil"/>
              <w:left w:val="nil"/>
              <w:bottom w:val="nil"/>
              <w:right w:val="nil"/>
            </w:tcBorders>
            <w:hideMark/>
          </w:tcPr>
          <w:p w14:paraId="305E6D5C" w14:textId="77777777" w:rsidR="006C7872" w:rsidRDefault="006C7872">
            <w:pPr>
              <w:tabs>
                <w:tab w:val="left" w:pos="1725"/>
              </w:tabs>
              <w:rPr>
                <w:rFonts w:ascii="Arial" w:hAnsi="Arial" w:cs="Arial"/>
                <w:sz w:val="20"/>
                <w:szCs w:val="20"/>
              </w:rPr>
            </w:pPr>
            <w:r>
              <w:rPr>
                <w:rFonts w:ascii="Arial" w:hAnsi="Arial" w:cs="Arial"/>
                <w:sz w:val="20"/>
                <w:szCs w:val="20"/>
              </w:rPr>
              <w:t>Heating source: Heat pump</w:t>
            </w:r>
          </w:p>
        </w:tc>
        <w:tc>
          <w:tcPr>
            <w:tcW w:w="3006" w:type="dxa"/>
            <w:tcBorders>
              <w:top w:val="nil"/>
              <w:left w:val="nil"/>
              <w:bottom w:val="nil"/>
              <w:right w:val="nil"/>
            </w:tcBorders>
            <w:hideMark/>
          </w:tcPr>
          <w:p w14:paraId="319620FD"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0.88 (0.51, 1.53) </w:t>
            </w:r>
          </w:p>
          <w:p w14:paraId="677C5716" w14:textId="77777777" w:rsidR="006C7872" w:rsidRDefault="006C7872">
            <w:pPr>
              <w:tabs>
                <w:tab w:val="left" w:pos="1725"/>
              </w:tabs>
              <w:jc w:val="center"/>
              <w:rPr>
                <w:rFonts w:ascii="Arial" w:hAnsi="Arial" w:cs="Arial"/>
                <w:sz w:val="20"/>
                <w:szCs w:val="20"/>
              </w:rPr>
            </w:pPr>
            <w:r>
              <w:rPr>
                <w:rFonts w:ascii="Arial" w:hAnsi="Arial" w:cs="Arial"/>
                <w:sz w:val="20"/>
                <w:szCs w:val="20"/>
              </w:rPr>
              <w:t>0.95 (0.53, 1.70)</w:t>
            </w:r>
          </w:p>
          <w:p w14:paraId="2825C448"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0.93 (0.53, 1.66)</w:t>
            </w:r>
          </w:p>
        </w:tc>
        <w:tc>
          <w:tcPr>
            <w:tcW w:w="3006" w:type="dxa"/>
            <w:tcBorders>
              <w:top w:val="nil"/>
              <w:left w:val="nil"/>
              <w:bottom w:val="nil"/>
              <w:right w:val="nil"/>
            </w:tcBorders>
            <w:vAlign w:val="bottom"/>
            <w:hideMark/>
          </w:tcPr>
          <w:p w14:paraId="4BE7B71A"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0.83 (0.36, 1.87) </w:t>
            </w:r>
          </w:p>
          <w:p w14:paraId="13683C16" w14:textId="77777777" w:rsidR="006C7872" w:rsidRDefault="006C7872">
            <w:pPr>
              <w:tabs>
                <w:tab w:val="left" w:pos="1725"/>
              </w:tabs>
              <w:jc w:val="center"/>
              <w:rPr>
                <w:rFonts w:ascii="Arial" w:hAnsi="Arial" w:cs="Arial"/>
                <w:sz w:val="20"/>
                <w:szCs w:val="20"/>
              </w:rPr>
            </w:pPr>
            <w:r>
              <w:rPr>
                <w:rFonts w:ascii="Arial" w:hAnsi="Arial" w:cs="Arial"/>
                <w:sz w:val="20"/>
                <w:szCs w:val="20"/>
              </w:rPr>
              <w:t>0.90 (0.40, 2.07)</w:t>
            </w:r>
          </w:p>
          <w:p w14:paraId="20D5D117"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0.86 (0.38, 1.98)</w:t>
            </w:r>
          </w:p>
        </w:tc>
        <w:tc>
          <w:tcPr>
            <w:tcW w:w="3006" w:type="dxa"/>
            <w:tcBorders>
              <w:top w:val="nil"/>
              <w:left w:val="nil"/>
              <w:bottom w:val="nil"/>
              <w:right w:val="nil"/>
            </w:tcBorders>
            <w:vAlign w:val="bottom"/>
            <w:hideMark/>
          </w:tcPr>
          <w:p w14:paraId="45C32291"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1.61 (0.94, 2.76) </w:t>
            </w:r>
          </w:p>
          <w:p w14:paraId="6A11EBE4" w14:textId="77777777" w:rsidR="006C7872" w:rsidRDefault="006C7872">
            <w:pPr>
              <w:tabs>
                <w:tab w:val="left" w:pos="1725"/>
              </w:tabs>
              <w:jc w:val="center"/>
              <w:rPr>
                <w:rFonts w:ascii="Arial" w:hAnsi="Arial" w:cs="Arial"/>
                <w:sz w:val="20"/>
                <w:szCs w:val="20"/>
              </w:rPr>
            </w:pPr>
            <w:r>
              <w:rPr>
                <w:rFonts w:ascii="Arial" w:hAnsi="Arial" w:cs="Arial"/>
                <w:sz w:val="20"/>
                <w:szCs w:val="20"/>
              </w:rPr>
              <w:t>1.60 (0.94, 2.75)</w:t>
            </w:r>
          </w:p>
          <w:p w14:paraId="4C937427"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1.56 (0.89, 2.73)</w:t>
            </w:r>
          </w:p>
        </w:tc>
      </w:tr>
      <w:tr w:rsidR="006C7872" w14:paraId="31A4FACA" w14:textId="77777777" w:rsidTr="006C7872">
        <w:trPr>
          <w:trHeight w:val="364"/>
        </w:trPr>
        <w:tc>
          <w:tcPr>
            <w:tcW w:w="3824" w:type="dxa"/>
            <w:tcBorders>
              <w:top w:val="nil"/>
              <w:left w:val="nil"/>
              <w:bottom w:val="nil"/>
              <w:right w:val="nil"/>
            </w:tcBorders>
            <w:hideMark/>
          </w:tcPr>
          <w:p w14:paraId="3E3B0D15" w14:textId="77777777" w:rsidR="006C7872" w:rsidRDefault="006C7872">
            <w:pPr>
              <w:tabs>
                <w:tab w:val="left" w:pos="1725"/>
              </w:tabs>
              <w:rPr>
                <w:rFonts w:ascii="Arial" w:hAnsi="Arial" w:cs="Arial"/>
                <w:sz w:val="20"/>
                <w:szCs w:val="20"/>
              </w:rPr>
            </w:pPr>
            <w:r>
              <w:rPr>
                <w:rFonts w:ascii="Arial" w:hAnsi="Arial" w:cs="Arial"/>
                <w:sz w:val="20"/>
                <w:szCs w:val="20"/>
              </w:rPr>
              <w:t>Heating source: Space heater (combustion or electric)</w:t>
            </w:r>
          </w:p>
        </w:tc>
        <w:tc>
          <w:tcPr>
            <w:tcW w:w="3006" w:type="dxa"/>
            <w:tcBorders>
              <w:top w:val="nil"/>
              <w:left w:val="nil"/>
              <w:bottom w:val="nil"/>
              <w:right w:val="nil"/>
            </w:tcBorders>
            <w:hideMark/>
          </w:tcPr>
          <w:p w14:paraId="7A71B28C" w14:textId="77777777" w:rsidR="006C7872" w:rsidRDefault="006C7872">
            <w:pPr>
              <w:tabs>
                <w:tab w:val="left" w:pos="1725"/>
              </w:tabs>
              <w:jc w:val="center"/>
              <w:rPr>
                <w:rFonts w:ascii="Arial" w:hAnsi="Arial" w:cs="Arial"/>
                <w:sz w:val="20"/>
                <w:szCs w:val="20"/>
              </w:rPr>
            </w:pPr>
            <w:r>
              <w:rPr>
                <w:rFonts w:ascii="Arial" w:hAnsi="Arial" w:cs="Arial"/>
                <w:sz w:val="20"/>
                <w:szCs w:val="20"/>
              </w:rPr>
              <w:t>1.01 (0.58, 1.77)</w:t>
            </w:r>
          </w:p>
          <w:p w14:paraId="76DB8F7B"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0.91 (0.51, 1.61) </w:t>
            </w:r>
          </w:p>
          <w:p w14:paraId="601C4DCE"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0.91 (0.51, 1.60)</w:t>
            </w:r>
          </w:p>
        </w:tc>
        <w:tc>
          <w:tcPr>
            <w:tcW w:w="3006" w:type="dxa"/>
            <w:tcBorders>
              <w:top w:val="nil"/>
              <w:left w:val="nil"/>
              <w:bottom w:val="nil"/>
              <w:right w:val="nil"/>
            </w:tcBorders>
            <w:vAlign w:val="bottom"/>
            <w:hideMark/>
          </w:tcPr>
          <w:p w14:paraId="38E1B5DF" w14:textId="77777777" w:rsidR="006C7872" w:rsidRDefault="006C7872">
            <w:pPr>
              <w:tabs>
                <w:tab w:val="left" w:pos="1725"/>
              </w:tabs>
              <w:jc w:val="center"/>
              <w:rPr>
                <w:rFonts w:ascii="Arial" w:hAnsi="Arial" w:cs="Arial"/>
                <w:sz w:val="20"/>
                <w:szCs w:val="20"/>
              </w:rPr>
            </w:pPr>
            <w:r>
              <w:rPr>
                <w:rFonts w:ascii="Arial" w:hAnsi="Arial" w:cs="Arial"/>
                <w:sz w:val="20"/>
                <w:szCs w:val="20"/>
              </w:rPr>
              <w:t>1.51 (0.78, 2.93)</w:t>
            </w:r>
          </w:p>
          <w:p w14:paraId="460B0447"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1.42 (0.72, 2.81) </w:t>
            </w:r>
          </w:p>
          <w:p w14:paraId="2FAFF096"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1.43 (0.72, 2.82)</w:t>
            </w:r>
          </w:p>
        </w:tc>
        <w:tc>
          <w:tcPr>
            <w:tcW w:w="3006" w:type="dxa"/>
            <w:tcBorders>
              <w:top w:val="nil"/>
              <w:left w:val="nil"/>
              <w:bottom w:val="nil"/>
              <w:right w:val="nil"/>
            </w:tcBorders>
            <w:vAlign w:val="bottom"/>
            <w:hideMark/>
          </w:tcPr>
          <w:p w14:paraId="0BAD6756"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0.71 (0.44, 1.13) </w:t>
            </w:r>
          </w:p>
          <w:p w14:paraId="1662149A"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0.75 (0.44, 1.30) </w:t>
            </w:r>
          </w:p>
          <w:p w14:paraId="4BBD20ED"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0.77 (0.44, 1.36)</w:t>
            </w:r>
          </w:p>
        </w:tc>
      </w:tr>
      <w:tr w:rsidR="006C7872" w14:paraId="7E19E99A" w14:textId="77777777" w:rsidTr="006C7872">
        <w:trPr>
          <w:trHeight w:val="364"/>
        </w:trPr>
        <w:tc>
          <w:tcPr>
            <w:tcW w:w="3824" w:type="dxa"/>
            <w:tcBorders>
              <w:top w:val="nil"/>
              <w:left w:val="nil"/>
              <w:bottom w:val="nil"/>
              <w:right w:val="nil"/>
            </w:tcBorders>
            <w:hideMark/>
          </w:tcPr>
          <w:p w14:paraId="2135F74B" w14:textId="77777777" w:rsidR="006C7872" w:rsidRDefault="006C7872">
            <w:pPr>
              <w:tabs>
                <w:tab w:val="left" w:pos="1725"/>
              </w:tabs>
              <w:rPr>
                <w:rFonts w:ascii="Arial" w:hAnsi="Arial" w:cs="Arial"/>
                <w:sz w:val="20"/>
                <w:szCs w:val="20"/>
              </w:rPr>
            </w:pPr>
            <w:r>
              <w:rPr>
                <w:rFonts w:ascii="Arial" w:hAnsi="Arial" w:cs="Arial"/>
                <w:sz w:val="20"/>
                <w:szCs w:val="20"/>
              </w:rPr>
              <w:t>Heating source: Wood stove or gas/wood fireplace</w:t>
            </w:r>
          </w:p>
        </w:tc>
        <w:tc>
          <w:tcPr>
            <w:tcW w:w="3006" w:type="dxa"/>
            <w:tcBorders>
              <w:top w:val="nil"/>
              <w:left w:val="nil"/>
              <w:bottom w:val="nil"/>
              <w:right w:val="nil"/>
            </w:tcBorders>
            <w:hideMark/>
          </w:tcPr>
          <w:p w14:paraId="2E5CBEE8"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1.43 (0.89, 2.29) </w:t>
            </w:r>
          </w:p>
          <w:p w14:paraId="371488C6"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1.43 (0.88, 2.32) </w:t>
            </w:r>
          </w:p>
          <w:p w14:paraId="29CFDA24"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1.45 (0.89, 2.35)</w:t>
            </w:r>
          </w:p>
        </w:tc>
        <w:tc>
          <w:tcPr>
            <w:tcW w:w="3006" w:type="dxa"/>
            <w:tcBorders>
              <w:top w:val="nil"/>
              <w:left w:val="nil"/>
              <w:bottom w:val="nil"/>
              <w:right w:val="nil"/>
            </w:tcBorders>
            <w:vAlign w:val="bottom"/>
            <w:hideMark/>
          </w:tcPr>
          <w:p w14:paraId="25F05220"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0.83 (0.43, 1.61) </w:t>
            </w:r>
          </w:p>
          <w:p w14:paraId="0F8B4E33"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0.81 (0.40, 1.65) </w:t>
            </w:r>
          </w:p>
          <w:p w14:paraId="6E43B352"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0.81 (0.40, 1.63)</w:t>
            </w:r>
          </w:p>
        </w:tc>
        <w:tc>
          <w:tcPr>
            <w:tcW w:w="3006" w:type="dxa"/>
            <w:tcBorders>
              <w:top w:val="nil"/>
              <w:left w:val="nil"/>
              <w:bottom w:val="nil"/>
              <w:right w:val="nil"/>
            </w:tcBorders>
            <w:vAlign w:val="bottom"/>
            <w:hideMark/>
          </w:tcPr>
          <w:p w14:paraId="364344DB" w14:textId="77777777" w:rsidR="006C7872" w:rsidRDefault="006C7872">
            <w:pPr>
              <w:tabs>
                <w:tab w:val="left" w:pos="1725"/>
              </w:tabs>
              <w:jc w:val="center"/>
              <w:rPr>
                <w:rFonts w:ascii="Arial" w:hAnsi="Arial" w:cs="Arial"/>
                <w:sz w:val="20"/>
                <w:szCs w:val="20"/>
              </w:rPr>
            </w:pPr>
            <w:r>
              <w:rPr>
                <w:rFonts w:ascii="Arial" w:hAnsi="Arial" w:cs="Arial"/>
                <w:sz w:val="20"/>
                <w:szCs w:val="20"/>
              </w:rPr>
              <w:t>0.77 (0.49, 1.19)</w:t>
            </w:r>
          </w:p>
          <w:p w14:paraId="4DB546F8"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0.70 (0.44, 1.12) </w:t>
            </w:r>
          </w:p>
          <w:p w14:paraId="3E7087E3"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0.70 (0.44, 1.13)</w:t>
            </w:r>
          </w:p>
        </w:tc>
      </w:tr>
      <w:tr w:rsidR="006C7872" w14:paraId="0E5F53D9" w14:textId="77777777" w:rsidTr="006C7872">
        <w:trPr>
          <w:trHeight w:val="364"/>
        </w:trPr>
        <w:tc>
          <w:tcPr>
            <w:tcW w:w="3824" w:type="dxa"/>
            <w:tcBorders>
              <w:top w:val="nil"/>
              <w:left w:val="nil"/>
              <w:bottom w:val="single" w:sz="4" w:space="0" w:color="auto"/>
              <w:right w:val="nil"/>
            </w:tcBorders>
            <w:hideMark/>
          </w:tcPr>
          <w:p w14:paraId="4323A67E" w14:textId="77777777" w:rsidR="006C7872" w:rsidRDefault="006C7872">
            <w:pPr>
              <w:tabs>
                <w:tab w:val="left" w:pos="1725"/>
              </w:tabs>
              <w:rPr>
                <w:rFonts w:ascii="Arial" w:hAnsi="Arial" w:cs="Arial"/>
                <w:sz w:val="20"/>
                <w:szCs w:val="20"/>
              </w:rPr>
            </w:pPr>
            <w:r>
              <w:rPr>
                <w:rFonts w:ascii="Arial" w:hAnsi="Arial" w:cs="Arial"/>
                <w:sz w:val="20"/>
                <w:szCs w:val="20"/>
              </w:rPr>
              <w:t>Heating source: None</w:t>
            </w:r>
          </w:p>
        </w:tc>
        <w:tc>
          <w:tcPr>
            <w:tcW w:w="3006" w:type="dxa"/>
            <w:tcBorders>
              <w:top w:val="nil"/>
              <w:left w:val="nil"/>
              <w:bottom w:val="single" w:sz="4" w:space="0" w:color="auto"/>
              <w:right w:val="nil"/>
            </w:tcBorders>
            <w:hideMark/>
          </w:tcPr>
          <w:p w14:paraId="49B6F8D4" w14:textId="77777777" w:rsidR="006C7872" w:rsidRDefault="006C7872">
            <w:pPr>
              <w:jc w:val="center"/>
              <w:rPr>
                <w:rFonts w:ascii="Arial" w:hAnsi="Arial" w:cs="Arial"/>
                <w:sz w:val="20"/>
                <w:szCs w:val="20"/>
              </w:rPr>
            </w:pPr>
            <w:r>
              <w:rPr>
                <w:rFonts w:ascii="Arial" w:hAnsi="Arial" w:cs="Arial"/>
                <w:sz w:val="20"/>
                <w:szCs w:val="20"/>
              </w:rPr>
              <w:t xml:space="preserve">0.91 (0.58, 1.45) </w:t>
            </w:r>
          </w:p>
          <w:p w14:paraId="0B74BAAE" w14:textId="77777777" w:rsidR="006C7872" w:rsidRDefault="006C7872">
            <w:pPr>
              <w:jc w:val="center"/>
              <w:rPr>
                <w:rFonts w:ascii="Arial" w:hAnsi="Arial" w:cs="Arial"/>
                <w:sz w:val="20"/>
                <w:szCs w:val="20"/>
              </w:rPr>
            </w:pPr>
            <w:r>
              <w:rPr>
                <w:rFonts w:ascii="Arial" w:hAnsi="Arial" w:cs="Arial"/>
                <w:sz w:val="20"/>
                <w:szCs w:val="20"/>
              </w:rPr>
              <w:t xml:space="preserve">0.92 (0.57, 1.47) </w:t>
            </w:r>
          </w:p>
          <w:p w14:paraId="182A5AA3" w14:textId="77777777" w:rsidR="006C7872" w:rsidRDefault="006C7872">
            <w:pPr>
              <w:jc w:val="center"/>
              <w:rPr>
                <w:rFonts w:ascii="Arial" w:eastAsia="Times New Roman" w:hAnsi="Arial" w:cs="Arial"/>
                <w:sz w:val="20"/>
                <w:szCs w:val="20"/>
              </w:rPr>
            </w:pPr>
            <w:r>
              <w:rPr>
                <w:rFonts w:ascii="Arial" w:hAnsi="Arial" w:cs="Arial"/>
                <w:sz w:val="20"/>
                <w:szCs w:val="20"/>
              </w:rPr>
              <w:t>0.92 (0.58, 1.47)</w:t>
            </w:r>
          </w:p>
        </w:tc>
        <w:tc>
          <w:tcPr>
            <w:tcW w:w="3006" w:type="dxa"/>
            <w:tcBorders>
              <w:top w:val="nil"/>
              <w:left w:val="nil"/>
              <w:bottom w:val="single" w:sz="4" w:space="0" w:color="auto"/>
              <w:right w:val="nil"/>
            </w:tcBorders>
            <w:vAlign w:val="bottom"/>
            <w:hideMark/>
          </w:tcPr>
          <w:p w14:paraId="2BE3E640" w14:textId="77777777" w:rsidR="006C7872" w:rsidRDefault="006C7872">
            <w:pPr>
              <w:jc w:val="center"/>
              <w:rPr>
                <w:rFonts w:ascii="Arial" w:hAnsi="Arial" w:cs="Arial"/>
                <w:sz w:val="20"/>
                <w:szCs w:val="20"/>
              </w:rPr>
            </w:pPr>
            <w:r>
              <w:rPr>
                <w:rFonts w:ascii="Arial" w:hAnsi="Arial" w:cs="Arial"/>
                <w:sz w:val="20"/>
                <w:szCs w:val="20"/>
              </w:rPr>
              <w:t xml:space="preserve">1.05 (0.58, 1.89) </w:t>
            </w:r>
          </w:p>
          <w:p w14:paraId="6104E038" w14:textId="77777777" w:rsidR="006C7872" w:rsidRDefault="006C7872">
            <w:pPr>
              <w:jc w:val="center"/>
              <w:rPr>
                <w:rFonts w:ascii="Arial" w:hAnsi="Arial" w:cs="Arial"/>
                <w:sz w:val="20"/>
                <w:szCs w:val="20"/>
              </w:rPr>
            </w:pPr>
            <w:r>
              <w:rPr>
                <w:rFonts w:ascii="Arial" w:hAnsi="Arial" w:cs="Arial"/>
                <w:sz w:val="20"/>
                <w:szCs w:val="20"/>
              </w:rPr>
              <w:t xml:space="preserve">1.00 (0.55, 1.82) </w:t>
            </w:r>
          </w:p>
          <w:p w14:paraId="131A9C50" w14:textId="77777777" w:rsidR="006C7872" w:rsidRDefault="006C7872">
            <w:pPr>
              <w:jc w:val="center"/>
              <w:rPr>
                <w:rFonts w:ascii="Arial" w:eastAsia="Times New Roman" w:hAnsi="Arial" w:cs="Arial"/>
                <w:sz w:val="20"/>
                <w:szCs w:val="20"/>
              </w:rPr>
            </w:pPr>
            <w:r>
              <w:rPr>
                <w:rFonts w:ascii="Arial" w:hAnsi="Arial" w:cs="Arial"/>
                <w:sz w:val="20"/>
                <w:szCs w:val="20"/>
              </w:rPr>
              <w:t>0.99 (0.55, 1.79)</w:t>
            </w:r>
          </w:p>
        </w:tc>
        <w:tc>
          <w:tcPr>
            <w:tcW w:w="3006" w:type="dxa"/>
            <w:tcBorders>
              <w:top w:val="nil"/>
              <w:left w:val="nil"/>
              <w:bottom w:val="single" w:sz="4" w:space="0" w:color="auto"/>
              <w:right w:val="nil"/>
            </w:tcBorders>
            <w:hideMark/>
          </w:tcPr>
          <w:p w14:paraId="7EEB65FA" w14:textId="77777777" w:rsidR="006C7872" w:rsidRDefault="006C7872">
            <w:pPr>
              <w:jc w:val="center"/>
              <w:rPr>
                <w:rFonts w:ascii="Arial" w:hAnsi="Arial" w:cs="Arial"/>
                <w:sz w:val="20"/>
                <w:szCs w:val="20"/>
              </w:rPr>
            </w:pPr>
            <w:r>
              <w:rPr>
                <w:rFonts w:ascii="Arial" w:hAnsi="Arial" w:cs="Arial"/>
                <w:sz w:val="20"/>
                <w:szCs w:val="20"/>
              </w:rPr>
              <w:t xml:space="preserve">0.87 (0.56, 1.34) </w:t>
            </w:r>
          </w:p>
          <w:p w14:paraId="27B41B83" w14:textId="77777777" w:rsidR="006C7872" w:rsidRDefault="006C7872">
            <w:pPr>
              <w:jc w:val="center"/>
              <w:rPr>
                <w:rFonts w:ascii="Arial" w:hAnsi="Arial" w:cs="Arial"/>
                <w:sz w:val="20"/>
                <w:szCs w:val="20"/>
              </w:rPr>
            </w:pPr>
            <w:r>
              <w:rPr>
                <w:rFonts w:ascii="Arial" w:hAnsi="Arial" w:cs="Arial"/>
                <w:sz w:val="20"/>
                <w:szCs w:val="20"/>
              </w:rPr>
              <w:t xml:space="preserve">0.95 (0.57, 1.57) </w:t>
            </w:r>
          </w:p>
          <w:p w14:paraId="43903573" w14:textId="77777777" w:rsidR="006C7872" w:rsidRDefault="006C7872">
            <w:pPr>
              <w:jc w:val="center"/>
              <w:rPr>
                <w:rFonts w:ascii="Arial" w:eastAsia="Times New Roman" w:hAnsi="Arial" w:cs="Arial"/>
                <w:color w:val="4472C4" w:themeColor="accent1"/>
                <w:sz w:val="20"/>
                <w:szCs w:val="20"/>
              </w:rPr>
            </w:pPr>
            <w:r>
              <w:rPr>
                <w:rFonts w:ascii="Arial" w:hAnsi="Arial" w:cs="Arial"/>
                <w:sz w:val="20"/>
                <w:szCs w:val="20"/>
              </w:rPr>
              <w:t>0.93 (0.59, 1.47)</w:t>
            </w:r>
          </w:p>
        </w:tc>
      </w:tr>
      <w:tr w:rsidR="006C7872" w14:paraId="6945B1C1" w14:textId="77777777" w:rsidTr="006C7872">
        <w:trPr>
          <w:trHeight w:val="364"/>
        </w:trPr>
        <w:tc>
          <w:tcPr>
            <w:tcW w:w="3824" w:type="dxa"/>
            <w:tcBorders>
              <w:top w:val="single" w:sz="4" w:space="0" w:color="auto"/>
              <w:left w:val="nil"/>
              <w:bottom w:val="nil"/>
              <w:right w:val="nil"/>
            </w:tcBorders>
            <w:hideMark/>
          </w:tcPr>
          <w:p w14:paraId="7A2061DA" w14:textId="77777777" w:rsidR="006C7872" w:rsidRDefault="006C7872">
            <w:pPr>
              <w:tabs>
                <w:tab w:val="left" w:pos="1725"/>
              </w:tabs>
              <w:rPr>
                <w:rFonts w:ascii="Arial" w:hAnsi="Arial" w:cs="Arial"/>
                <w:sz w:val="20"/>
                <w:szCs w:val="20"/>
              </w:rPr>
            </w:pPr>
            <w:r>
              <w:rPr>
                <w:rFonts w:ascii="Arial" w:hAnsi="Arial" w:cs="Arial"/>
                <w:sz w:val="20"/>
                <w:szCs w:val="20"/>
              </w:rPr>
              <w:t>Cooling source: Central air conditioning</w:t>
            </w:r>
          </w:p>
        </w:tc>
        <w:tc>
          <w:tcPr>
            <w:tcW w:w="3006" w:type="dxa"/>
            <w:tcBorders>
              <w:top w:val="single" w:sz="4" w:space="0" w:color="auto"/>
              <w:left w:val="nil"/>
              <w:bottom w:val="nil"/>
              <w:right w:val="nil"/>
            </w:tcBorders>
            <w:hideMark/>
          </w:tcPr>
          <w:p w14:paraId="4756E6F9" w14:textId="77777777" w:rsidR="006C7872" w:rsidRDefault="006C7872">
            <w:pPr>
              <w:tabs>
                <w:tab w:val="left" w:pos="1725"/>
              </w:tabs>
              <w:jc w:val="center"/>
              <w:rPr>
                <w:rFonts w:ascii="Arial" w:hAnsi="Arial" w:cs="Arial"/>
                <w:sz w:val="20"/>
                <w:szCs w:val="20"/>
              </w:rPr>
            </w:pPr>
            <w:r>
              <w:rPr>
                <w:rFonts w:ascii="Arial" w:hAnsi="Arial" w:cs="Arial"/>
                <w:sz w:val="20"/>
                <w:szCs w:val="20"/>
              </w:rPr>
              <w:t>0.81 (0.58, 1.13)</w:t>
            </w:r>
          </w:p>
          <w:p w14:paraId="6BE7C52E"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0.84 (0.59, 1.21) </w:t>
            </w:r>
          </w:p>
          <w:p w14:paraId="3584770A"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0.84 (0.59, 1.20)</w:t>
            </w:r>
          </w:p>
        </w:tc>
        <w:tc>
          <w:tcPr>
            <w:tcW w:w="3006" w:type="dxa"/>
            <w:tcBorders>
              <w:top w:val="single" w:sz="4" w:space="0" w:color="auto"/>
              <w:left w:val="nil"/>
              <w:bottom w:val="nil"/>
              <w:right w:val="nil"/>
            </w:tcBorders>
            <w:vAlign w:val="bottom"/>
            <w:hideMark/>
          </w:tcPr>
          <w:p w14:paraId="35D781E4"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0.79 (0.52, 1.21) </w:t>
            </w:r>
          </w:p>
          <w:p w14:paraId="279ED7B4"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0.81 (0.52, 1.26) </w:t>
            </w:r>
          </w:p>
          <w:p w14:paraId="13C5DFFF"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0.81 (0.52, 1.24)</w:t>
            </w:r>
          </w:p>
        </w:tc>
        <w:tc>
          <w:tcPr>
            <w:tcW w:w="3006" w:type="dxa"/>
            <w:tcBorders>
              <w:top w:val="single" w:sz="4" w:space="0" w:color="auto"/>
              <w:left w:val="nil"/>
              <w:bottom w:val="nil"/>
              <w:right w:val="nil"/>
            </w:tcBorders>
            <w:vAlign w:val="bottom"/>
            <w:hideMark/>
          </w:tcPr>
          <w:p w14:paraId="292EF7AE"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1.51 (1.12, 2.03)* </w:t>
            </w:r>
          </w:p>
          <w:p w14:paraId="09E090FA"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1.15 (0.82, 1.61) </w:t>
            </w:r>
          </w:p>
          <w:p w14:paraId="0726743B"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1.31 (0.95, 1.83)</w:t>
            </w:r>
          </w:p>
        </w:tc>
      </w:tr>
      <w:tr w:rsidR="006C7872" w14:paraId="447F6815" w14:textId="77777777" w:rsidTr="006C7872">
        <w:trPr>
          <w:trHeight w:val="364"/>
        </w:trPr>
        <w:tc>
          <w:tcPr>
            <w:tcW w:w="3824" w:type="dxa"/>
            <w:tcBorders>
              <w:top w:val="nil"/>
              <w:left w:val="nil"/>
              <w:bottom w:val="nil"/>
              <w:right w:val="nil"/>
            </w:tcBorders>
            <w:hideMark/>
          </w:tcPr>
          <w:p w14:paraId="31C12D67" w14:textId="77777777" w:rsidR="006C7872" w:rsidRDefault="006C7872">
            <w:pPr>
              <w:tabs>
                <w:tab w:val="left" w:pos="1725"/>
              </w:tabs>
              <w:rPr>
                <w:rFonts w:ascii="Arial" w:hAnsi="Arial" w:cs="Arial"/>
                <w:sz w:val="20"/>
                <w:szCs w:val="20"/>
              </w:rPr>
            </w:pPr>
            <w:r>
              <w:rPr>
                <w:rFonts w:ascii="Arial" w:hAnsi="Arial" w:cs="Arial"/>
                <w:sz w:val="20"/>
                <w:szCs w:val="20"/>
              </w:rPr>
              <w:t>Cooling source: Window/wall air conditioning</w:t>
            </w:r>
          </w:p>
        </w:tc>
        <w:tc>
          <w:tcPr>
            <w:tcW w:w="3006" w:type="dxa"/>
            <w:tcBorders>
              <w:top w:val="nil"/>
              <w:left w:val="nil"/>
              <w:bottom w:val="nil"/>
              <w:right w:val="nil"/>
            </w:tcBorders>
            <w:hideMark/>
          </w:tcPr>
          <w:p w14:paraId="5AF79EA9"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1.58 (1.09, 2.29)* </w:t>
            </w:r>
          </w:p>
          <w:p w14:paraId="688E95DB"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1.59 (1.07, 2.36)* </w:t>
            </w:r>
          </w:p>
          <w:p w14:paraId="4117D1F1"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1.57 (1.06, 2.32)*</w:t>
            </w:r>
          </w:p>
        </w:tc>
        <w:tc>
          <w:tcPr>
            <w:tcW w:w="3006" w:type="dxa"/>
            <w:tcBorders>
              <w:top w:val="nil"/>
              <w:left w:val="nil"/>
              <w:bottom w:val="nil"/>
              <w:right w:val="nil"/>
            </w:tcBorders>
            <w:vAlign w:val="bottom"/>
            <w:hideMark/>
          </w:tcPr>
          <w:p w14:paraId="49DDED28" w14:textId="77777777" w:rsidR="006C7872" w:rsidRDefault="006C7872">
            <w:pPr>
              <w:tabs>
                <w:tab w:val="left" w:pos="1725"/>
              </w:tabs>
              <w:jc w:val="center"/>
              <w:rPr>
                <w:rFonts w:ascii="Arial" w:hAnsi="Arial" w:cs="Arial"/>
                <w:sz w:val="20"/>
                <w:szCs w:val="20"/>
              </w:rPr>
            </w:pPr>
            <w:r>
              <w:rPr>
                <w:rFonts w:ascii="Arial" w:hAnsi="Arial" w:cs="Arial"/>
                <w:sz w:val="20"/>
                <w:szCs w:val="20"/>
              </w:rPr>
              <w:t>1.46 (0.92, 2.32)</w:t>
            </w:r>
          </w:p>
          <w:p w14:paraId="61DFF2DE"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1.50 (0.92, 2.43) </w:t>
            </w:r>
          </w:p>
          <w:p w14:paraId="67751898"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1.53 (0.94, 2.48)</w:t>
            </w:r>
          </w:p>
        </w:tc>
        <w:tc>
          <w:tcPr>
            <w:tcW w:w="3006" w:type="dxa"/>
            <w:tcBorders>
              <w:top w:val="nil"/>
              <w:left w:val="nil"/>
              <w:bottom w:val="nil"/>
              <w:right w:val="nil"/>
            </w:tcBorders>
            <w:vAlign w:val="bottom"/>
            <w:hideMark/>
          </w:tcPr>
          <w:p w14:paraId="123D7948"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0.56 (0.40, 0.79)* </w:t>
            </w:r>
          </w:p>
          <w:p w14:paraId="5B626E82"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0.87 (0.61, 1.26) </w:t>
            </w:r>
          </w:p>
          <w:p w14:paraId="6A3669A2"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0.72 (0.50, 1.03)</w:t>
            </w:r>
          </w:p>
        </w:tc>
      </w:tr>
      <w:tr w:rsidR="006C7872" w14:paraId="6006858F" w14:textId="77777777" w:rsidTr="006C7872">
        <w:trPr>
          <w:trHeight w:val="364"/>
        </w:trPr>
        <w:tc>
          <w:tcPr>
            <w:tcW w:w="3824" w:type="dxa"/>
            <w:tcBorders>
              <w:top w:val="nil"/>
              <w:left w:val="nil"/>
              <w:bottom w:val="nil"/>
              <w:right w:val="nil"/>
            </w:tcBorders>
            <w:hideMark/>
          </w:tcPr>
          <w:p w14:paraId="66C8CD9C" w14:textId="77777777" w:rsidR="006C7872" w:rsidRDefault="006C7872">
            <w:pPr>
              <w:tabs>
                <w:tab w:val="left" w:pos="1725"/>
              </w:tabs>
              <w:rPr>
                <w:rFonts w:ascii="Arial" w:hAnsi="Arial" w:cs="Arial"/>
                <w:sz w:val="20"/>
                <w:szCs w:val="20"/>
              </w:rPr>
            </w:pPr>
            <w:r>
              <w:rPr>
                <w:rFonts w:ascii="Arial" w:hAnsi="Arial" w:cs="Arial"/>
                <w:sz w:val="20"/>
                <w:szCs w:val="20"/>
              </w:rPr>
              <w:t>Cooling source: Fans</w:t>
            </w:r>
          </w:p>
        </w:tc>
        <w:tc>
          <w:tcPr>
            <w:tcW w:w="3006" w:type="dxa"/>
            <w:tcBorders>
              <w:top w:val="nil"/>
              <w:left w:val="nil"/>
              <w:bottom w:val="nil"/>
              <w:right w:val="nil"/>
            </w:tcBorders>
            <w:hideMark/>
          </w:tcPr>
          <w:p w14:paraId="4084CDA9" w14:textId="77777777" w:rsidR="006C7872" w:rsidRDefault="006C7872">
            <w:pPr>
              <w:tabs>
                <w:tab w:val="left" w:pos="1725"/>
              </w:tabs>
              <w:jc w:val="center"/>
              <w:rPr>
                <w:rFonts w:ascii="Arial" w:hAnsi="Arial" w:cs="Arial"/>
                <w:sz w:val="20"/>
                <w:szCs w:val="20"/>
              </w:rPr>
            </w:pPr>
            <w:r>
              <w:rPr>
                <w:rFonts w:ascii="Arial" w:hAnsi="Arial" w:cs="Arial"/>
                <w:sz w:val="20"/>
                <w:szCs w:val="20"/>
              </w:rPr>
              <w:t>0.87 (0.63, 1.19)</w:t>
            </w:r>
          </w:p>
          <w:p w14:paraId="41D2AD21"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0.91 (0.65, 1.27) </w:t>
            </w:r>
          </w:p>
          <w:p w14:paraId="4A489192"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0.90 (0.65, 1.26)</w:t>
            </w:r>
          </w:p>
        </w:tc>
        <w:tc>
          <w:tcPr>
            <w:tcW w:w="3006" w:type="dxa"/>
            <w:tcBorders>
              <w:top w:val="nil"/>
              <w:left w:val="nil"/>
              <w:bottom w:val="nil"/>
              <w:right w:val="nil"/>
            </w:tcBorders>
            <w:vAlign w:val="bottom"/>
            <w:hideMark/>
          </w:tcPr>
          <w:p w14:paraId="5D056BEC"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0.71 (0.46, 1.08) </w:t>
            </w:r>
          </w:p>
          <w:p w14:paraId="340A2D6D"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0.77 (0.50, 1.19) </w:t>
            </w:r>
          </w:p>
          <w:p w14:paraId="057D8FA2"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0.75 (0.48, 1.16)</w:t>
            </w:r>
          </w:p>
        </w:tc>
        <w:tc>
          <w:tcPr>
            <w:tcW w:w="3006" w:type="dxa"/>
            <w:tcBorders>
              <w:top w:val="nil"/>
              <w:left w:val="nil"/>
              <w:bottom w:val="nil"/>
              <w:right w:val="nil"/>
            </w:tcBorders>
            <w:vAlign w:val="bottom"/>
            <w:hideMark/>
          </w:tcPr>
          <w:p w14:paraId="3CFBF5F2"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0.92 (0.69, 1.24) </w:t>
            </w:r>
          </w:p>
          <w:p w14:paraId="29171251"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0.95 (0.69, 1.30) </w:t>
            </w:r>
          </w:p>
          <w:p w14:paraId="75267940"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1.00 (0.73, 1.37)</w:t>
            </w:r>
          </w:p>
        </w:tc>
      </w:tr>
      <w:tr w:rsidR="006C7872" w14:paraId="28E39A44" w14:textId="77777777" w:rsidTr="006C7872">
        <w:trPr>
          <w:trHeight w:val="364"/>
        </w:trPr>
        <w:tc>
          <w:tcPr>
            <w:tcW w:w="3824" w:type="dxa"/>
            <w:tcBorders>
              <w:top w:val="nil"/>
              <w:left w:val="nil"/>
              <w:bottom w:val="nil"/>
              <w:right w:val="nil"/>
            </w:tcBorders>
            <w:hideMark/>
          </w:tcPr>
          <w:p w14:paraId="753E9BC8" w14:textId="77777777" w:rsidR="006C7872" w:rsidRDefault="006C7872">
            <w:pPr>
              <w:tabs>
                <w:tab w:val="left" w:pos="1725"/>
              </w:tabs>
              <w:rPr>
                <w:rFonts w:ascii="Arial" w:hAnsi="Arial" w:cs="Arial"/>
                <w:sz w:val="20"/>
                <w:szCs w:val="20"/>
              </w:rPr>
            </w:pPr>
            <w:r>
              <w:rPr>
                <w:rFonts w:ascii="Arial" w:hAnsi="Arial" w:cs="Arial"/>
                <w:sz w:val="20"/>
                <w:szCs w:val="20"/>
              </w:rPr>
              <w:t>Cooling source: Open windows</w:t>
            </w:r>
          </w:p>
        </w:tc>
        <w:tc>
          <w:tcPr>
            <w:tcW w:w="3006" w:type="dxa"/>
            <w:tcBorders>
              <w:top w:val="nil"/>
              <w:left w:val="nil"/>
              <w:bottom w:val="nil"/>
              <w:right w:val="nil"/>
            </w:tcBorders>
            <w:hideMark/>
          </w:tcPr>
          <w:p w14:paraId="7DEB49E1" w14:textId="77777777" w:rsidR="006C7872" w:rsidRDefault="006C7872">
            <w:pPr>
              <w:tabs>
                <w:tab w:val="left" w:pos="1725"/>
              </w:tabs>
              <w:jc w:val="center"/>
              <w:rPr>
                <w:rFonts w:ascii="Arial" w:hAnsi="Arial" w:cs="Arial"/>
                <w:sz w:val="20"/>
                <w:szCs w:val="20"/>
              </w:rPr>
            </w:pPr>
            <w:r>
              <w:rPr>
                <w:rFonts w:ascii="Arial" w:hAnsi="Arial" w:cs="Arial"/>
                <w:sz w:val="20"/>
                <w:szCs w:val="20"/>
              </w:rPr>
              <w:t>0.84 (0.60, 1.18)</w:t>
            </w:r>
          </w:p>
          <w:p w14:paraId="467E3140"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 0.87 (0.61, 1.23) </w:t>
            </w:r>
          </w:p>
          <w:p w14:paraId="72344F78"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0.87 (0.61, 1.23)</w:t>
            </w:r>
          </w:p>
        </w:tc>
        <w:tc>
          <w:tcPr>
            <w:tcW w:w="3006" w:type="dxa"/>
            <w:tcBorders>
              <w:top w:val="nil"/>
              <w:left w:val="nil"/>
              <w:bottom w:val="nil"/>
              <w:right w:val="nil"/>
            </w:tcBorders>
            <w:vAlign w:val="bottom"/>
            <w:hideMark/>
          </w:tcPr>
          <w:p w14:paraId="5BD9AC06"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0.67 (0.42, 1.05) </w:t>
            </w:r>
          </w:p>
          <w:p w14:paraId="48A93EB7" w14:textId="77777777" w:rsidR="006C7872" w:rsidRDefault="006C7872">
            <w:pPr>
              <w:tabs>
                <w:tab w:val="left" w:pos="1725"/>
              </w:tabs>
              <w:jc w:val="center"/>
              <w:rPr>
                <w:rFonts w:ascii="Arial" w:hAnsi="Arial" w:cs="Arial"/>
                <w:sz w:val="20"/>
                <w:szCs w:val="20"/>
              </w:rPr>
            </w:pPr>
            <w:r>
              <w:rPr>
                <w:rFonts w:ascii="Arial" w:hAnsi="Arial" w:cs="Arial"/>
                <w:sz w:val="20"/>
                <w:szCs w:val="20"/>
              </w:rPr>
              <w:t>0.75 (0.47, 1.19)</w:t>
            </w:r>
          </w:p>
          <w:p w14:paraId="1FD7D8D6"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0.71 (0.45, 1.13)</w:t>
            </w:r>
          </w:p>
        </w:tc>
        <w:tc>
          <w:tcPr>
            <w:tcW w:w="3006" w:type="dxa"/>
            <w:tcBorders>
              <w:top w:val="nil"/>
              <w:left w:val="nil"/>
              <w:bottom w:val="nil"/>
              <w:right w:val="nil"/>
            </w:tcBorders>
            <w:vAlign w:val="bottom"/>
            <w:hideMark/>
          </w:tcPr>
          <w:p w14:paraId="36A641DD"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1.15 (0.84, 1.56) </w:t>
            </w:r>
          </w:p>
          <w:p w14:paraId="23399700"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1.10 (0.80, 1.53) </w:t>
            </w:r>
          </w:p>
          <w:p w14:paraId="73629B10"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1.25 (0.90, 1.73)</w:t>
            </w:r>
          </w:p>
        </w:tc>
      </w:tr>
      <w:tr w:rsidR="006C7872" w14:paraId="1E1C57A9" w14:textId="77777777" w:rsidTr="006C7872">
        <w:trPr>
          <w:trHeight w:val="364"/>
        </w:trPr>
        <w:tc>
          <w:tcPr>
            <w:tcW w:w="3824" w:type="dxa"/>
            <w:tcBorders>
              <w:top w:val="nil"/>
              <w:left w:val="nil"/>
              <w:bottom w:val="nil"/>
              <w:right w:val="nil"/>
            </w:tcBorders>
            <w:hideMark/>
          </w:tcPr>
          <w:p w14:paraId="3EA1FA72" w14:textId="77777777" w:rsidR="006C7872" w:rsidRDefault="006C7872">
            <w:pPr>
              <w:tabs>
                <w:tab w:val="left" w:pos="1725"/>
              </w:tabs>
              <w:rPr>
                <w:rFonts w:ascii="Arial" w:hAnsi="Arial" w:cs="Arial"/>
                <w:sz w:val="20"/>
                <w:szCs w:val="20"/>
              </w:rPr>
            </w:pPr>
            <w:r>
              <w:rPr>
                <w:rFonts w:ascii="Arial" w:hAnsi="Arial" w:cs="Arial"/>
                <w:sz w:val="20"/>
                <w:szCs w:val="20"/>
              </w:rPr>
              <w:t>Cooling source: Evaporative cooling, humidifier, or HEPA or electrostatic filter</w:t>
            </w:r>
          </w:p>
        </w:tc>
        <w:tc>
          <w:tcPr>
            <w:tcW w:w="3006" w:type="dxa"/>
            <w:tcBorders>
              <w:top w:val="nil"/>
              <w:left w:val="nil"/>
              <w:bottom w:val="nil"/>
              <w:right w:val="nil"/>
            </w:tcBorders>
            <w:hideMark/>
          </w:tcPr>
          <w:p w14:paraId="6711B5C9"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0.94 (0.43, 2.07) </w:t>
            </w:r>
          </w:p>
          <w:p w14:paraId="2D77E013"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1.09 (0.49, 2.45) </w:t>
            </w:r>
          </w:p>
          <w:p w14:paraId="6ADBFCA3"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0.99 (0.45, 2.20)</w:t>
            </w:r>
          </w:p>
        </w:tc>
        <w:tc>
          <w:tcPr>
            <w:tcW w:w="3006" w:type="dxa"/>
            <w:tcBorders>
              <w:top w:val="nil"/>
              <w:left w:val="nil"/>
              <w:bottom w:val="nil"/>
              <w:right w:val="nil"/>
            </w:tcBorders>
            <w:vAlign w:val="bottom"/>
            <w:hideMark/>
          </w:tcPr>
          <w:p w14:paraId="1477DAD9"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1.27 (0.48, 3.39) </w:t>
            </w:r>
          </w:p>
          <w:p w14:paraId="55138462"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1.48 (0.53, 4.15) </w:t>
            </w:r>
          </w:p>
          <w:p w14:paraId="68CA7D5D"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1.34 (0.49, 3.67)</w:t>
            </w:r>
          </w:p>
        </w:tc>
        <w:tc>
          <w:tcPr>
            <w:tcW w:w="3006" w:type="dxa"/>
            <w:tcBorders>
              <w:top w:val="nil"/>
              <w:left w:val="nil"/>
              <w:bottom w:val="nil"/>
              <w:right w:val="nil"/>
            </w:tcBorders>
            <w:vAlign w:val="bottom"/>
            <w:hideMark/>
          </w:tcPr>
          <w:p w14:paraId="3B3849DA"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0.84 (0.38, 1.84) </w:t>
            </w:r>
          </w:p>
          <w:p w14:paraId="79760DB4"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0.66 (0.28, 1.56) </w:t>
            </w:r>
          </w:p>
          <w:p w14:paraId="40F8A69B"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0.78 (0.31, 1.97)</w:t>
            </w:r>
          </w:p>
        </w:tc>
      </w:tr>
      <w:tr w:rsidR="006C7872" w14:paraId="70CFD60A" w14:textId="77777777" w:rsidTr="006C7872">
        <w:trPr>
          <w:trHeight w:val="364"/>
        </w:trPr>
        <w:tc>
          <w:tcPr>
            <w:tcW w:w="3824" w:type="dxa"/>
            <w:tcBorders>
              <w:top w:val="nil"/>
              <w:left w:val="nil"/>
              <w:bottom w:val="single" w:sz="4" w:space="0" w:color="auto"/>
              <w:right w:val="nil"/>
            </w:tcBorders>
            <w:hideMark/>
          </w:tcPr>
          <w:p w14:paraId="405BAF95" w14:textId="77777777" w:rsidR="006C7872" w:rsidRDefault="006C7872">
            <w:pPr>
              <w:tabs>
                <w:tab w:val="left" w:pos="1725"/>
              </w:tabs>
              <w:rPr>
                <w:rFonts w:ascii="Arial" w:hAnsi="Arial" w:cs="Arial"/>
                <w:sz w:val="20"/>
                <w:szCs w:val="20"/>
              </w:rPr>
            </w:pPr>
            <w:r>
              <w:rPr>
                <w:rFonts w:ascii="Arial" w:hAnsi="Arial" w:cs="Arial"/>
                <w:sz w:val="20"/>
                <w:szCs w:val="20"/>
              </w:rPr>
              <w:t>Cooling source: None</w:t>
            </w:r>
          </w:p>
        </w:tc>
        <w:tc>
          <w:tcPr>
            <w:tcW w:w="3006" w:type="dxa"/>
            <w:tcBorders>
              <w:top w:val="nil"/>
              <w:left w:val="nil"/>
              <w:bottom w:val="single" w:sz="4" w:space="0" w:color="auto"/>
              <w:right w:val="nil"/>
            </w:tcBorders>
            <w:hideMark/>
          </w:tcPr>
          <w:p w14:paraId="186BC205" w14:textId="77777777" w:rsidR="006C7872" w:rsidRDefault="006C7872">
            <w:pPr>
              <w:jc w:val="center"/>
              <w:rPr>
                <w:rFonts w:ascii="Arial" w:hAnsi="Arial" w:cs="Arial"/>
                <w:sz w:val="20"/>
                <w:szCs w:val="20"/>
              </w:rPr>
            </w:pPr>
            <w:r>
              <w:rPr>
                <w:rFonts w:ascii="Arial" w:hAnsi="Arial" w:cs="Arial"/>
                <w:sz w:val="20"/>
                <w:szCs w:val="20"/>
              </w:rPr>
              <w:t xml:space="preserve">0.46 (0.05, 3.86) </w:t>
            </w:r>
          </w:p>
          <w:p w14:paraId="78FEF9F4" w14:textId="77777777" w:rsidR="006C7872" w:rsidRDefault="006C7872">
            <w:pPr>
              <w:jc w:val="center"/>
              <w:rPr>
                <w:rFonts w:ascii="Arial" w:hAnsi="Arial" w:cs="Arial"/>
                <w:sz w:val="20"/>
                <w:szCs w:val="20"/>
              </w:rPr>
            </w:pPr>
            <w:r>
              <w:rPr>
                <w:rFonts w:ascii="Arial" w:hAnsi="Arial" w:cs="Arial"/>
                <w:sz w:val="20"/>
                <w:szCs w:val="20"/>
              </w:rPr>
              <w:t xml:space="preserve">0.50 (0.05, 4.89) </w:t>
            </w:r>
          </w:p>
          <w:p w14:paraId="68C7F20F" w14:textId="77777777" w:rsidR="006C7872" w:rsidRDefault="006C7872">
            <w:pPr>
              <w:jc w:val="center"/>
              <w:rPr>
                <w:rFonts w:ascii="Arial" w:eastAsia="Times New Roman" w:hAnsi="Arial" w:cs="Arial"/>
                <w:sz w:val="20"/>
                <w:szCs w:val="20"/>
              </w:rPr>
            </w:pPr>
            <w:r>
              <w:rPr>
                <w:rFonts w:ascii="Arial" w:hAnsi="Arial" w:cs="Arial"/>
                <w:sz w:val="20"/>
                <w:szCs w:val="20"/>
              </w:rPr>
              <w:t>0.48 (0.05, 4.83)</w:t>
            </w:r>
          </w:p>
        </w:tc>
        <w:tc>
          <w:tcPr>
            <w:tcW w:w="3006" w:type="dxa"/>
            <w:tcBorders>
              <w:top w:val="nil"/>
              <w:left w:val="nil"/>
              <w:bottom w:val="single" w:sz="4" w:space="0" w:color="auto"/>
              <w:right w:val="nil"/>
            </w:tcBorders>
            <w:hideMark/>
          </w:tcPr>
          <w:p w14:paraId="599E235B" w14:textId="77777777" w:rsidR="006C7872" w:rsidRDefault="006C7872">
            <w:pPr>
              <w:tabs>
                <w:tab w:val="left" w:pos="1725"/>
              </w:tabs>
              <w:jc w:val="center"/>
              <w:rPr>
                <w:rFonts w:ascii="Arial" w:hAnsi="Arial" w:cs="Arial"/>
                <w:color w:val="4472C4" w:themeColor="accent1"/>
                <w:sz w:val="20"/>
                <w:szCs w:val="20"/>
                <w:vertAlign w:val="superscript"/>
              </w:rPr>
            </w:pPr>
            <w:r>
              <w:rPr>
                <w:rFonts w:ascii="Arial" w:hAnsi="Arial" w:cs="Arial"/>
                <w:sz w:val="20"/>
                <w:szCs w:val="20"/>
                <w:vertAlign w:val="superscript"/>
              </w:rPr>
              <w:t>4</w:t>
            </w:r>
          </w:p>
        </w:tc>
        <w:tc>
          <w:tcPr>
            <w:tcW w:w="3006" w:type="dxa"/>
            <w:tcBorders>
              <w:top w:val="nil"/>
              <w:left w:val="nil"/>
              <w:bottom w:val="single" w:sz="4" w:space="0" w:color="auto"/>
              <w:right w:val="nil"/>
            </w:tcBorders>
            <w:hideMark/>
          </w:tcPr>
          <w:p w14:paraId="22BF4835" w14:textId="77777777" w:rsidR="006C7872" w:rsidRDefault="006C7872">
            <w:pPr>
              <w:jc w:val="center"/>
              <w:rPr>
                <w:rFonts w:ascii="Arial" w:hAnsi="Arial" w:cs="Arial"/>
                <w:sz w:val="20"/>
                <w:szCs w:val="20"/>
              </w:rPr>
            </w:pPr>
            <w:r>
              <w:rPr>
                <w:rFonts w:ascii="Arial" w:hAnsi="Arial" w:cs="Arial"/>
                <w:sz w:val="20"/>
                <w:szCs w:val="20"/>
              </w:rPr>
              <w:t xml:space="preserve">0.78 (0.18, 3.35) </w:t>
            </w:r>
          </w:p>
          <w:p w14:paraId="1F41CD2E" w14:textId="77777777" w:rsidR="006C7872" w:rsidRDefault="006C7872">
            <w:pPr>
              <w:jc w:val="center"/>
              <w:rPr>
                <w:rFonts w:ascii="Arial" w:hAnsi="Arial" w:cs="Arial"/>
                <w:sz w:val="20"/>
                <w:szCs w:val="20"/>
              </w:rPr>
            </w:pPr>
            <w:r>
              <w:rPr>
                <w:rFonts w:ascii="Arial" w:hAnsi="Arial" w:cs="Arial"/>
                <w:sz w:val="20"/>
                <w:szCs w:val="20"/>
              </w:rPr>
              <w:t xml:space="preserve">0.68 (0.16, 2.82) </w:t>
            </w:r>
          </w:p>
          <w:p w14:paraId="3A6932D5" w14:textId="77777777" w:rsidR="006C7872" w:rsidRDefault="006C7872">
            <w:pPr>
              <w:jc w:val="center"/>
              <w:rPr>
                <w:rFonts w:ascii="Arial" w:eastAsia="Times New Roman" w:hAnsi="Arial" w:cs="Arial"/>
                <w:sz w:val="20"/>
                <w:szCs w:val="20"/>
              </w:rPr>
            </w:pPr>
            <w:r>
              <w:rPr>
                <w:rFonts w:ascii="Arial" w:hAnsi="Arial" w:cs="Arial"/>
                <w:sz w:val="20"/>
                <w:szCs w:val="20"/>
              </w:rPr>
              <w:t>0.52 (0.14, 1.97)</w:t>
            </w:r>
          </w:p>
        </w:tc>
      </w:tr>
      <w:tr w:rsidR="006C7872" w14:paraId="55B5530C" w14:textId="77777777" w:rsidTr="006C7872">
        <w:trPr>
          <w:trHeight w:val="364"/>
        </w:trPr>
        <w:tc>
          <w:tcPr>
            <w:tcW w:w="3824" w:type="dxa"/>
            <w:tcBorders>
              <w:top w:val="single" w:sz="4" w:space="0" w:color="auto"/>
              <w:left w:val="nil"/>
              <w:bottom w:val="nil"/>
              <w:right w:val="nil"/>
            </w:tcBorders>
            <w:hideMark/>
          </w:tcPr>
          <w:p w14:paraId="70533477" w14:textId="77777777" w:rsidR="006C7872" w:rsidRDefault="006C7872">
            <w:pPr>
              <w:tabs>
                <w:tab w:val="left" w:pos="1725"/>
              </w:tabs>
              <w:rPr>
                <w:rFonts w:ascii="Arial" w:hAnsi="Arial" w:cs="Arial"/>
                <w:sz w:val="20"/>
                <w:szCs w:val="20"/>
              </w:rPr>
            </w:pPr>
            <w:r>
              <w:rPr>
                <w:rFonts w:ascii="Arial" w:hAnsi="Arial" w:cs="Arial"/>
                <w:sz w:val="20"/>
                <w:szCs w:val="20"/>
              </w:rPr>
              <w:lastRenderedPageBreak/>
              <w:t>Heating/cooling combination: Central gas, or gas/oil furnace or boiler with central air conditioning</w:t>
            </w:r>
          </w:p>
        </w:tc>
        <w:tc>
          <w:tcPr>
            <w:tcW w:w="3006" w:type="dxa"/>
            <w:tcBorders>
              <w:top w:val="single" w:sz="4" w:space="0" w:color="auto"/>
              <w:left w:val="nil"/>
              <w:bottom w:val="nil"/>
              <w:right w:val="nil"/>
            </w:tcBorders>
            <w:hideMark/>
          </w:tcPr>
          <w:p w14:paraId="4310BCBB" w14:textId="77777777" w:rsidR="006C7872" w:rsidRDefault="006C7872">
            <w:pPr>
              <w:tabs>
                <w:tab w:val="left" w:pos="1725"/>
              </w:tabs>
              <w:jc w:val="center"/>
              <w:rPr>
                <w:rFonts w:ascii="Arial" w:hAnsi="Arial" w:cs="Arial"/>
                <w:sz w:val="20"/>
                <w:szCs w:val="20"/>
              </w:rPr>
            </w:pPr>
            <w:r>
              <w:rPr>
                <w:rFonts w:ascii="Arial" w:hAnsi="Arial" w:cs="Arial"/>
                <w:sz w:val="20"/>
                <w:szCs w:val="20"/>
              </w:rPr>
              <w:t>0.86 (0.63, 1.17)</w:t>
            </w:r>
          </w:p>
          <w:p w14:paraId="74252361" w14:textId="77777777" w:rsidR="006C7872" w:rsidRDefault="006C7872">
            <w:pPr>
              <w:tabs>
                <w:tab w:val="left" w:pos="1725"/>
              </w:tabs>
              <w:jc w:val="center"/>
              <w:rPr>
                <w:rFonts w:ascii="Arial" w:hAnsi="Arial" w:cs="Arial"/>
                <w:sz w:val="20"/>
                <w:szCs w:val="20"/>
              </w:rPr>
            </w:pPr>
            <w:r>
              <w:rPr>
                <w:rFonts w:ascii="Arial" w:hAnsi="Arial" w:cs="Arial"/>
                <w:sz w:val="20"/>
                <w:szCs w:val="20"/>
              </w:rPr>
              <w:t>0.87 (0.62, 1.21)</w:t>
            </w:r>
          </w:p>
          <w:p w14:paraId="4FCB2B16"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0.87 (0.63, 1.21)</w:t>
            </w:r>
          </w:p>
        </w:tc>
        <w:tc>
          <w:tcPr>
            <w:tcW w:w="3006" w:type="dxa"/>
            <w:tcBorders>
              <w:top w:val="single" w:sz="4" w:space="0" w:color="auto"/>
              <w:left w:val="nil"/>
              <w:bottom w:val="nil"/>
              <w:right w:val="nil"/>
            </w:tcBorders>
            <w:vAlign w:val="bottom"/>
            <w:hideMark/>
          </w:tcPr>
          <w:p w14:paraId="4040C5BB" w14:textId="77777777" w:rsidR="006C7872" w:rsidRDefault="006C7872">
            <w:pPr>
              <w:tabs>
                <w:tab w:val="left" w:pos="1725"/>
              </w:tabs>
              <w:jc w:val="center"/>
              <w:rPr>
                <w:rFonts w:ascii="Arial" w:hAnsi="Arial" w:cs="Arial"/>
                <w:sz w:val="20"/>
                <w:szCs w:val="20"/>
              </w:rPr>
            </w:pPr>
            <w:r>
              <w:rPr>
                <w:rFonts w:ascii="Arial" w:hAnsi="Arial" w:cs="Arial"/>
                <w:sz w:val="20"/>
                <w:szCs w:val="20"/>
              </w:rPr>
              <w:t>0.86 (0.58, 1.28)</w:t>
            </w:r>
          </w:p>
          <w:p w14:paraId="0FEE6F81" w14:textId="77777777" w:rsidR="006C7872" w:rsidRDefault="006C7872">
            <w:pPr>
              <w:tabs>
                <w:tab w:val="left" w:pos="1725"/>
              </w:tabs>
              <w:jc w:val="center"/>
              <w:rPr>
                <w:rFonts w:ascii="Arial" w:hAnsi="Arial" w:cs="Arial"/>
                <w:sz w:val="20"/>
                <w:szCs w:val="20"/>
              </w:rPr>
            </w:pPr>
            <w:r>
              <w:rPr>
                <w:rFonts w:ascii="Arial" w:hAnsi="Arial" w:cs="Arial"/>
                <w:sz w:val="20"/>
                <w:szCs w:val="20"/>
              </w:rPr>
              <w:t>0.83 (0.54, 1.28)</w:t>
            </w:r>
          </w:p>
          <w:p w14:paraId="49384FCD"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0.84 (0.54, 1.28)</w:t>
            </w:r>
          </w:p>
        </w:tc>
        <w:tc>
          <w:tcPr>
            <w:tcW w:w="3006" w:type="dxa"/>
            <w:tcBorders>
              <w:top w:val="single" w:sz="4" w:space="0" w:color="auto"/>
              <w:left w:val="nil"/>
              <w:bottom w:val="nil"/>
              <w:right w:val="nil"/>
            </w:tcBorders>
            <w:vAlign w:val="bottom"/>
            <w:hideMark/>
          </w:tcPr>
          <w:p w14:paraId="105A3E32"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1.58 (1.18, 2.11)* </w:t>
            </w:r>
          </w:p>
          <w:p w14:paraId="7110CC05" w14:textId="77777777" w:rsidR="006C7872" w:rsidRDefault="006C7872">
            <w:pPr>
              <w:tabs>
                <w:tab w:val="left" w:pos="1725"/>
              </w:tabs>
              <w:jc w:val="center"/>
              <w:rPr>
                <w:rFonts w:ascii="Arial" w:hAnsi="Arial" w:cs="Arial"/>
                <w:sz w:val="20"/>
                <w:szCs w:val="20"/>
              </w:rPr>
            </w:pPr>
            <w:r>
              <w:rPr>
                <w:rFonts w:ascii="Arial" w:hAnsi="Arial" w:cs="Arial"/>
                <w:sz w:val="20"/>
                <w:szCs w:val="20"/>
              </w:rPr>
              <w:t>1.16 (0.85, 1.59)</w:t>
            </w:r>
          </w:p>
          <w:p w14:paraId="2C6FBD13"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1.25 (0.92, 1.69)</w:t>
            </w:r>
          </w:p>
        </w:tc>
      </w:tr>
      <w:tr w:rsidR="006C7872" w14:paraId="6C7A7702" w14:textId="77777777" w:rsidTr="006C7872">
        <w:trPr>
          <w:trHeight w:val="364"/>
        </w:trPr>
        <w:tc>
          <w:tcPr>
            <w:tcW w:w="3824" w:type="dxa"/>
            <w:tcBorders>
              <w:top w:val="nil"/>
              <w:left w:val="nil"/>
              <w:bottom w:val="nil"/>
              <w:right w:val="nil"/>
            </w:tcBorders>
            <w:hideMark/>
          </w:tcPr>
          <w:p w14:paraId="283FE8B3" w14:textId="77777777" w:rsidR="006C7872" w:rsidRDefault="006C7872">
            <w:pPr>
              <w:tabs>
                <w:tab w:val="left" w:pos="1725"/>
              </w:tabs>
              <w:rPr>
                <w:rFonts w:ascii="Arial" w:hAnsi="Arial" w:cs="Arial"/>
                <w:sz w:val="20"/>
                <w:szCs w:val="20"/>
              </w:rPr>
            </w:pPr>
            <w:r>
              <w:rPr>
                <w:rFonts w:ascii="Arial" w:hAnsi="Arial" w:cs="Arial"/>
                <w:sz w:val="20"/>
                <w:szCs w:val="20"/>
              </w:rPr>
              <w:t>Heating/cooling combination: Central gas, or gas/oil furnace or boiler with window/wall air conditioning</w:t>
            </w:r>
          </w:p>
        </w:tc>
        <w:tc>
          <w:tcPr>
            <w:tcW w:w="3006" w:type="dxa"/>
            <w:tcBorders>
              <w:top w:val="nil"/>
              <w:left w:val="nil"/>
              <w:bottom w:val="nil"/>
              <w:right w:val="nil"/>
            </w:tcBorders>
            <w:hideMark/>
          </w:tcPr>
          <w:p w14:paraId="36CEDFBD" w14:textId="77777777" w:rsidR="006C7872" w:rsidRDefault="006C7872">
            <w:pPr>
              <w:tabs>
                <w:tab w:val="left" w:pos="1725"/>
              </w:tabs>
              <w:jc w:val="center"/>
              <w:rPr>
                <w:rFonts w:ascii="Arial" w:hAnsi="Arial" w:cs="Arial"/>
                <w:sz w:val="20"/>
                <w:szCs w:val="20"/>
              </w:rPr>
            </w:pPr>
            <w:r>
              <w:rPr>
                <w:rFonts w:ascii="Arial" w:hAnsi="Arial" w:cs="Arial"/>
                <w:sz w:val="20"/>
                <w:szCs w:val="20"/>
              </w:rPr>
              <w:t>2.01 (1.24, 3.26)*</w:t>
            </w:r>
          </w:p>
          <w:p w14:paraId="396A1ECA"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2.15 (1.30, 3.56)* </w:t>
            </w:r>
          </w:p>
          <w:p w14:paraId="372C1003"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2.13 (1.29, 3.50)*</w:t>
            </w:r>
          </w:p>
        </w:tc>
        <w:tc>
          <w:tcPr>
            <w:tcW w:w="3006" w:type="dxa"/>
            <w:tcBorders>
              <w:top w:val="nil"/>
              <w:left w:val="nil"/>
              <w:bottom w:val="nil"/>
              <w:right w:val="nil"/>
            </w:tcBorders>
            <w:vAlign w:val="bottom"/>
            <w:hideMark/>
          </w:tcPr>
          <w:p w14:paraId="306F1AC2" w14:textId="77777777" w:rsidR="006C7872" w:rsidRDefault="006C7872">
            <w:pPr>
              <w:tabs>
                <w:tab w:val="left" w:pos="1725"/>
              </w:tabs>
              <w:jc w:val="center"/>
              <w:rPr>
                <w:rFonts w:ascii="Arial" w:hAnsi="Arial" w:cs="Arial"/>
                <w:sz w:val="20"/>
                <w:szCs w:val="20"/>
              </w:rPr>
            </w:pPr>
            <w:r>
              <w:rPr>
                <w:rFonts w:ascii="Arial" w:hAnsi="Arial" w:cs="Arial"/>
                <w:sz w:val="20"/>
                <w:szCs w:val="20"/>
              </w:rPr>
              <w:t>1.54 (0.85, 2.78)</w:t>
            </w:r>
          </w:p>
          <w:p w14:paraId="31624BE2" w14:textId="77777777" w:rsidR="006C7872" w:rsidRDefault="006C7872">
            <w:pPr>
              <w:tabs>
                <w:tab w:val="left" w:pos="1725"/>
              </w:tabs>
              <w:jc w:val="center"/>
              <w:rPr>
                <w:rFonts w:ascii="Arial" w:hAnsi="Arial" w:cs="Arial"/>
                <w:sz w:val="20"/>
                <w:szCs w:val="20"/>
              </w:rPr>
            </w:pPr>
            <w:r>
              <w:rPr>
                <w:rFonts w:ascii="Arial" w:hAnsi="Arial" w:cs="Arial"/>
                <w:sz w:val="20"/>
                <w:szCs w:val="20"/>
              </w:rPr>
              <w:t>1.63 (0.90, 2.94)</w:t>
            </w:r>
          </w:p>
          <w:p w14:paraId="2305FAEA"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1.64 (0.91, 2.94)</w:t>
            </w:r>
          </w:p>
        </w:tc>
        <w:tc>
          <w:tcPr>
            <w:tcW w:w="3006" w:type="dxa"/>
            <w:tcBorders>
              <w:top w:val="nil"/>
              <w:left w:val="nil"/>
              <w:bottom w:val="nil"/>
              <w:right w:val="nil"/>
            </w:tcBorders>
            <w:vAlign w:val="bottom"/>
            <w:hideMark/>
          </w:tcPr>
          <w:p w14:paraId="3777A65F" w14:textId="77777777" w:rsidR="006C7872" w:rsidRDefault="006C7872">
            <w:pPr>
              <w:tabs>
                <w:tab w:val="left" w:pos="1725"/>
              </w:tabs>
              <w:jc w:val="center"/>
              <w:rPr>
                <w:rFonts w:ascii="Arial" w:hAnsi="Arial" w:cs="Arial"/>
                <w:sz w:val="20"/>
                <w:szCs w:val="20"/>
              </w:rPr>
            </w:pPr>
            <w:r>
              <w:rPr>
                <w:rFonts w:ascii="Arial" w:hAnsi="Arial" w:cs="Arial"/>
                <w:sz w:val="20"/>
                <w:szCs w:val="20"/>
              </w:rPr>
              <w:t>0.69 (0.43, 1.09)</w:t>
            </w:r>
          </w:p>
          <w:p w14:paraId="0436494E" w14:textId="77777777" w:rsidR="006C7872" w:rsidRDefault="006C7872">
            <w:pPr>
              <w:tabs>
                <w:tab w:val="left" w:pos="1725"/>
              </w:tabs>
              <w:jc w:val="center"/>
              <w:rPr>
                <w:rFonts w:ascii="Arial" w:hAnsi="Arial" w:cs="Arial"/>
                <w:sz w:val="20"/>
                <w:szCs w:val="20"/>
              </w:rPr>
            </w:pPr>
            <w:r>
              <w:rPr>
                <w:rFonts w:ascii="Arial" w:hAnsi="Arial" w:cs="Arial"/>
                <w:sz w:val="20"/>
                <w:szCs w:val="20"/>
              </w:rPr>
              <w:t>0.87 (0.52, 1.45)</w:t>
            </w:r>
          </w:p>
          <w:p w14:paraId="31A6F10E"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0.73 (0.43, 1.22)</w:t>
            </w:r>
          </w:p>
        </w:tc>
      </w:tr>
      <w:tr w:rsidR="006C7872" w14:paraId="7CEEF7BA" w14:textId="77777777" w:rsidTr="006C7872">
        <w:trPr>
          <w:trHeight w:val="364"/>
        </w:trPr>
        <w:tc>
          <w:tcPr>
            <w:tcW w:w="3824" w:type="dxa"/>
            <w:tcBorders>
              <w:top w:val="nil"/>
              <w:left w:val="nil"/>
              <w:bottom w:val="nil"/>
              <w:right w:val="nil"/>
            </w:tcBorders>
            <w:hideMark/>
          </w:tcPr>
          <w:p w14:paraId="31346829" w14:textId="77777777" w:rsidR="006C7872" w:rsidRDefault="006C7872">
            <w:pPr>
              <w:tabs>
                <w:tab w:val="left" w:pos="1725"/>
              </w:tabs>
              <w:rPr>
                <w:rFonts w:ascii="Arial" w:hAnsi="Arial" w:cs="Arial"/>
                <w:sz w:val="20"/>
                <w:szCs w:val="20"/>
              </w:rPr>
            </w:pPr>
            <w:r>
              <w:rPr>
                <w:rFonts w:ascii="Arial" w:hAnsi="Arial" w:cs="Arial"/>
                <w:sz w:val="20"/>
                <w:szCs w:val="20"/>
              </w:rPr>
              <w:t>Heating/cooling combination: Heat pump with central air conditioning</w:t>
            </w:r>
          </w:p>
        </w:tc>
        <w:tc>
          <w:tcPr>
            <w:tcW w:w="3006" w:type="dxa"/>
            <w:tcBorders>
              <w:top w:val="nil"/>
              <w:left w:val="nil"/>
              <w:bottom w:val="nil"/>
              <w:right w:val="nil"/>
            </w:tcBorders>
            <w:hideMark/>
          </w:tcPr>
          <w:p w14:paraId="428CBE0B" w14:textId="77777777" w:rsidR="006C7872" w:rsidRDefault="006C7872">
            <w:pPr>
              <w:tabs>
                <w:tab w:val="left" w:pos="1725"/>
              </w:tabs>
              <w:jc w:val="center"/>
              <w:rPr>
                <w:rFonts w:ascii="Arial" w:hAnsi="Arial" w:cs="Arial"/>
                <w:sz w:val="20"/>
                <w:szCs w:val="20"/>
              </w:rPr>
            </w:pPr>
            <w:r>
              <w:rPr>
                <w:rFonts w:ascii="Arial" w:hAnsi="Arial" w:cs="Arial"/>
                <w:sz w:val="20"/>
                <w:szCs w:val="20"/>
              </w:rPr>
              <w:t>0.94 (0.53, 1.67)</w:t>
            </w:r>
          </w:p>
          <w:p w14:paraId="2C637AF9" w14:textId="77777777" w:rsidR="006C7872" w:rsidRDefault="006C7872">
            <w:pPr>
              <w:tabs>
                <w:tab w:val="left" w:pos="1725"/>
              </w:tabs>
              <w:jc w:val="center"/>
              <w:rPr>
                <w:rFonts w:ascii="Arial" w:hAnsi="Arial" w:cs="Arial"/>
                <w:sz w:val="20"/>
                <w:szCs w:val="20"/>
              </w:rPr>
            </w:pPr>
            <w:r>
              <w:rPr>
                <w:rFonts w:ascii="Arial" w:hAnsi="Arial" w:cs="Arial"/>
                <w:sz w:val="20"/>
                <w:szCs w:val="20"/>
              </w:rPr>
              <w:t>1.02 (0.56, 1.87)</w:t>
            </w:r>
          </w:p>
          <w:p w14:paraId="7F71672A"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0.99 (0.54, 1.80)</w:t>
            </w:r>
          </w:p>
        </w:tc>
        <w:tc>
          <w:tcPr>
            <w:tcW w:w="3006" w:type="dxa"/>
            <w:tcBorders>
              <w:top w:val="nil"/>
              <w:left w:val="nil"/>
              <w:bottom w:val="nil"/>
              <w:right w:val="nil"/>
            </w:tcBorders>
            <w:vAlign w:val="bottom"/>
            <w:hideMark/>
          </w:tcPr>
          <w:p w14:paraId="3C8FA5C0" w14:textId="77777777" w:rsidR="006C7872" w:rsidRDefault="006C7872">
            <w:pPr>
              <w:tabs>
                <w:tab w:val="left" w:pos="1725"/>
              </w:tabs>
              <w:jc w:val="center"/>
              <w:rPr>
                <w:rFonts w:ascii="Arial" w:hAnsi="Arial" w:cs="Arial"/>
                <w:sz w:val="20"/>
                <w:szCs w:val="20"/>
              </w:rPr>
            </w:pPr>
            <w:r>
              <w:rPr>
                <w:rFonts w:ascii="Arial" w:hAnsi="Arial" w:cs="Arial"/>
                <w:sz w:val="20"/>
                <w:szCs w:val="20"/>
              </w:rPr>
              <w:t>0.89 (0.38, 2.05)</w:t>
            </w:r>
          </w:p>
          <w:p w14:paraId="6DD69B60" w14:textId="77777777" w:rsidR="006C7872" w:rsidRDefault="006C7872">
            <w:pPr>
              <w:tabs>
                <w:tab w:val="left" w:pos="1725"/>
              </w:tabs>
              <w:jc w:val="center"/>
              <w:rPr>
                <w:rFonts w:ascii="Arial" w:hAnsi="Arial" w:cs="Arial"/>
                <w:sz w:val="20"/>
                <w:szCs w:val="20"/>
              </w:rPr>
            </w:pPr>
            <w:r>
              <w:rPr>
                <w:rFonts w:ascii="Arial" w:hAnsi="Arial" w:cs="Arial"/>
                <w:sz w:val="20"/>
                <w:szCs w:val="20"/>
              </w:rPr>
              <w:t>1.00 (0.43, 2.33)</w:t>
            </w:r>
          </w:p>
          <w:p w14:paraId="5D13AFE7"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0.92 (0.39, 2.16)</w:t>
            </w:r>
          </w:p>
        </w:tc>
        <w:tc>
          <w:tcPr>
            <w:tcW w:w="3006" w:type="dxa"/>
            <w:tcBorders>
              <w:top w:val="nil"/>
              <w:left w:val="nil"/>
              <w:bottom w:val="nil"/>
              <w:right w:val="nil"/>
            </w:tcBorders>
            <w:vAlign w:val="bottom"/>
            <w:hideMark/>
          </w:tcPr>
          <w:p w14:paraId="57501ED6" w14:textId="77777777" w:rsidR="006C7872" w:rsidRDefault="006C7872">
            <w:pPr>
              <w:tabs>
                <w:tab w:val="left" w:pos="1725"/>
              </w:tabs>
              <w:jc w:val="center"/>
              <w:rPr>
                <w:rFonts w:ascii="Arial" w:hAnsi="Arial" w:cs="Arial"/>
                <w:sz w:val="20"/>
                <w:szCs w:val="20"/>
              </w:rPr>
            </w:pPr>
            <w:r>
              <w:rPr>
                <w:rFonts w:ascii="Arial" w:hAnsi="Arial" w:cs="Arial"/>
                <w:sz w:val="20"/>
                <w:szCs w:val="20"/>
              </w:rPr>
              <w:t>1.56 (0.89, 2.71)</w:t>
            </w:r>
          </w:p>
          <w:p w14:paraId="37BBE37D" w14:textId="77777777" w:rsidR="006C7872" w:rsidRDefault="006C7872">
            <w:pPr>
              <w:tabs>
                <w:tab w:val="left" w:pos="1725"/>
              </w:tabs>
              <w:jc w:val="center"/>
              <w:rPr>
                <w:rFonts w:ascii="Arial" w:hAnsi="Arial" w:cs="Arial"/>
                <w:sz w:val="20"/>
                <w:szCs w:val="20"/>
              </w:rPr>
            </w:pPr>
            <w:r>
              <w:rPr>
                <w:rFonts w:ascii="Arial" w:hAnsi="Arial" w:cs="Arial"/>
                <w:sz w:val="20"/>
                <w:szCs w:val="20"/>
              </w:rPr>
              <w:t>1.55 (0.89, 2.70)</w:t>
            </w:r>
          </w:p>
          <w:p w14:paraId="3E1313E4"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1.56 (0.87, 2.79)</w:t>
            </w:r>
          </w:p>
        </w:tc>
      </w:tr>
      <w:tr w:rsidR="006C7872" w14:paraId="51ADF4CA" w14:textId="77777777" w:rsidTr="006C7872">
        <w:trPr>
          <w:trHeight w:val="364"/>
        </w:trPr>
        <w:tc>
          <w:tcPr>
            <w:tcW w:w="3824" w:type="dxa"/>
            <w:tcBorders>
              <w:top w:val="nil"/>
              <w:left w:val="nil"/>
              <w:bottom w:val="nil"/>
              <w:right w:val="nil"/>
            </w:tcBorders>
            <w:hideMark/>
          </w:tcPr>
          <w:p w14:paraId="76A29BF8" w14:textId="77777777" w:rsidR="006C7872" w:rsidRDefault="006C7872">
            <w:pPr>
              <w:tabs>
                <w:tab w:val="left" w:pos="1725"/>
              </w:tabs>
              <w:rPr>
                <w:rFonts w:ascii="Arial" w:hAnsi="Arial" w:cs="Arial"/>
                <w:sz w:val="20"/>
                <w:szCs w:val="20"/>
              </w:rPr>
            </w:pPr>
            <w:r>
              <w:rPr>
                <w:rFonts w:ascii="Arial" w:hAnsi="Arial" w:cs="Arial"/>
                <w:sz w:val="20"/>
                <w:szCs w:val="20"/>
              </w:rPr>
              <w:t>Heating/cooling combination: Heat pump with fans</w:t>
            </w:r>
          </w:p>
        </w:tc>
        <w:tc>
          <w:tcPr>
            <w:tcW w:w="3006" w:type="dxa"/>
            <w:tcBorders>
              <w:top w:val="nil"/>
              <w:left w:val="nil"/>
              <w:bottom w:val="nil"/>
              <w:right w:val="nil"/>
            </w:tcBorders>
            <w:hideMark/>
          </w:tcPr>
          <w:p w14:paraId="57466D9B"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0.84 (0.29, 2.47) </w:t>
            </w:r>
          </w:p>
          <w:p w14:paraId="43E7BE88"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0.88 (0.28, 2.79) </w:t>
            </w:r>
          </w:p>
          <w:p w14:paraId="2C853E79"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0.86 (0.27, 2.74)</w:t>
            </w:r>
          </w:p>
        </w:tc>
        <w:tc>
          <w:tcPr>
            <w:tcW w:w="3006" w:type="dxa"/>
            <w:tcBorders>
              <w:top w:val="nil"/>
              <w:left w:val="nil"/>
              <w:bottom w:val="nil"/>
              <w:right w:val="nil"/>
            </w:tcBorders>
            <w:hideMark/>
          </w:tcPr>
          <w:p w14:paraId="0EBA8459" w14:textId="77777777" w:rsidR="006C7872" w:rsidRDefault="006C7872">
            <w:pPr>
              <w:tabs>
                <w:tab w:val="left" w:pos="1725"/>
              </w:tabs>
              <w:jc w:val="center"/>
              <w:rPr>
                <w:rFonts w:ascii="Arial" w:hAnsi="Arial" w:cs="Arial"/>
                <w:sz w:val="20"/>
                <w:szCs w:val="20"/>
                <w:vertAlign w:val="superscript"/>
              </w:rPr>
            </w:pPr>
            <w:r>
              <w:rPr>
                <w:rFonts w:ascii="Arial" w:hAnsi="Arial" w:cs="Arial"/>
                <w:sz w:val="20"/>
                <w:szCs w:val="20"/>
                <w:vertAlign w:val="superscript"/>
              </w:rPr>
              <w:t>4</w:t>
            </w:r>
          </w:p>
        </w:tc>
        <w:tc>
          <w:tcPr>
            <w:tcW w:w="3006" w:type="dxa"/>
            <w:tcBorders>
              <w:top w:val="nil"/>
              <w:left w:val="nil"/>
              <w:bottom w:val="nil"/>
              <w:right w:val="nil"/>
            </w:tcBorders>
            <w:vAlign w:val="bottom"/>
            <w:hideMark/>
          </w:tcPr>
          <w:p w14:paraId="2473FC63" w14:textId="77777777" w:rsidR="006C7872" w:rsidRDefault="006C7872">
            <w:pPr>
              <w:tabs>
                <w:tab w:val="left" w:pos="1725"/>
              </w:tabs>
              <w:jc w:val="center"/>
              <w:rPr>
                <w:rFonts w:ascii="Arial" w:hAnsi="Arial" w:cs="Arial"/>
                <w:sz w:val="20"/>
                <w:szCs w:val="20"/>
              </w:rPr>
            </w:pPr>
            <w:r>
              <w:rPr>
                <w:rFonts w:ascii="Arial" w:hAnsi="Arial" w:cs="Arial"/>
                <w:sz w:val="20"/>
                <w:szCs w:val="20"/>
              </w:rPr>
              <w:t>1.99 (0.73, 5.46)</w:t>
            </w:r>
          </w:p>
          <w:p w14:paraId="10A62255" w14:textId="77777777" w:rsidR="006C7872" w:rsidRDefault="006C7872">
            <w:pPr>
              <w:tabs>
                <w:tab w:val="left" w:pos="1725"/>
              </w:tabs>
              <w:jc w:val="center"/>
              <w:rPr>
                <w:rFonts w:ascii="Arial" w:hAnsi="Arial" w:cs="Arial"/>
                <w:sz w:val="20"/>
                <w:szCs w:val="20"/>
              </w:rPr>
            </w:pPr>
            <w:r>
              <w:rPr>
                <w:rFonts w:ascii="Arial" w:hAnsi="Arial" w:cs="Arial"/>
                <w:sz w:val="20"/>
                <w:szCs w:val="20"/>
              </w:rPr>
              <w:t>1.58 (0.56, 4.48)</w:t>
            </w:r>
          </w:p>
          <w:p w14:paraId="507FCB7A"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1.71 (0.58, 5.05)</w:t>
            </w:r>
          </w:p>
        </w:tc>
      </w:tr>
      <w:tr w:rsidR="006C7872" w14:paraId="5CA3EC3F" w14:textId="77777777" w:rsidTr="006C7872">
        <w:trPr>
          <w:trHeight w:val="364"/>
        </w:trPr>
        <w:tc>
          <w:tcPr>
            <w:tcW w:w="3824" w:type="dxa"/>
            <w:tcBorders>
              <w:top w:val="nil"/>
              <w:left w:val="nil"/>
              <w:bottom w:val="nil"/>
              <w:right w:val="nil"/>
            </w:tcBorders>
            <w:hideMark/>
          </w:tcPr>
          <w:p w14:paraId="1994D1B0" w14:textId="77777777" w:rsidR="006C7872" w:rsidRDefault="006C7872">
            <w:pPr>
              <w:tabs>
                <w:tab w:val="left" w:pos="1725"/>
              </w:tabs>
              <w:rPr>
                <w:rFonts w:ascii="Arial" w:hAnsi="Arial" w:cs="Arial"/>
                <w:sz w:val="20"/>
                <w:szCs w:val="20"/>
              </w:rPr>
            </w:pPr>
            <w:r>
              <w:rPr>
                <w:rFonts w:ascii="Arial" w:hAnsi="Arial" w:cs="Arial"/>
                <w:sz w:val="20"/>
                <w:szCs w:val="20"/>
              </w:rPr>
              <w:t>Heating/cooling combination: Heat pump with open windows</w:t>
            </w:r>
          </w:p>
        </w:tc>
        <w:tc>
          <w:tcPr>
            <w:tcW w:w="3006" w:type="dxa"/>
            <w:tcBorders>
              <w:top w:val="nil"/>
              <w:left w:val="nil"/>
              <w:bottom w:val="nil"/>
              <w:right w:val="nil"/>
            </w:tcBorders>
            <w:hideMark/>
          </w:tcPr>
          <w:p w14:paraId="7D3CFA6A" w14:textId="77777777" w:rsidR="006C7872" w:rsidRDefault="006C7872">
            <w:pPr>
              <w:tabs>
                <w:tab w:val="left" w:pos="1725"/>
              </w:tabs>
              <w:jc w:val="center"/>
              <w:rPr>
                <w:rFonts w:ascii="Arial" w:hAnsi="Arial" w:cs="Arial"/>
                <w:sz w:val="20"/>
                <w:szCs w:val="20"/>
              </w:rPr>
            </w:pPr>
            <w:r>
              <w:rPr>
                <w:rFonts w:ascii="Arial" w:hAnsi="Arial" w:cs="Arial"/>
                <w:sz w:val="20"/>
                <w:szCs w:val="20"/>
              </w:rPr>
              <w:t>0.35 (0.09, 1.32)</w:t>
            </w:r>
          </w:p>
          <w:p w14:paraId="275FBE87" w14:textId="77777777" w:rsidR="006C7872" w:rsidRDefault="006C7872">
            <w:pPr>
              <w:tabs>
                <w:tab w:val="left" w:pos="1725"/>
              </w:tabs>
              <w:jc w:val="center"/>
              <w:rPr>
                <w:rFonts w:ascii="Arial" w:hAnsi="Arial" w:cs="Arial"/>
                <w:sz w:val="20"/>
                <w:szCs w:val="20"/>
              </w:rPr>
            </w:pPr>
            <w:r>
              <w:rPr>
                <w:rFonts w:ascii="Arial" w:hAnsi="Arial" w:cs="Arial"/>
                <w:sz w:val="20"/>
                <w:szCs w:val="20"/>
              </w:rPr>
              <w:t>0.35 (0.08, 1.44)</w:t>
            </w:r>
          </w:p>
          <w:p w14:paraId="1F1D0B00"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0.34 (0.09, 1.38)</w:t>
            </w:r>
          </w:p>
        </w:tc>
        <w:tc>
          <w:tcPr>
            <w:tcW w:w="3006" w:type="dxa"/>
            <w:tcBorders>
              <w:top w:val="nil"/>
              <w:left w:val="nil"/>
              <w:bottom w:val="nil"/>
              <w:right w:val="nil"/>
            </w:tcBorders>
            <w:vAlign w:val="bottom"/>
            <w:hideMark/>
          </w:tcPr>
          <w:p w14:paraId="383BBD31"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0.09 (0.01, 0.71)* </w:t>
            </w:r>
          </w:p>
          <w:p w14:paraId="66D5D17F"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0.09 (0.01, 0.69)* </w:t>
            </w:r>
          </w:p>
          <w:p w14:paraId="33D2E707"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0.09 (0.01, 0.67)*</w:t>
            </w:r>
          </w:p>
        </w:tc>
        <w:tc>
          <w:tcPr>
            <w:tcW w:w="3006" w:type="dxa"/>
            <w:tcBorders>
              <w:top w:val="nil"/>
              <w:left w:val="nil"/>
              <w:bottom w:val="nil"/>
              <w:right w:val="nil"/>
            </w:tcBorders>
            <w:vAlign w:val="bottom"/>
            <w:hideMark/>
          </w:tcPr>
          <w:p w14:paraId="3CF5D4FB" w14:textId="77777777" w:rsidR="006C7872" w:rsidRDefault="006C7872">
            <w:pPr>
              <w:tabs>
                <w:tab w:val="left" w:pos="1725"/>
              </w:tabs>
              <w:jc w:val="center"/>
              <w:rPr>
                <w:rFonts w:ascii="Arial" w:hAnsi="Arial" w:cs="Arial"/>
                <w:sz w:val="20"/>
                <w:szCs w:val="20"/>
              </w:rPr>
            </w:pPr>
            <w:r>
              <w:rPr>
                <w:rFonts w:ascii="Arial" w:hAnsi="Arial" w:cs="Arial"/>
                <w:sz w:val="20"/>
                <w:szCs w:val="20"/>
              </w:rPr>
              <w:t>1.72 (0.41, 7.26)</w:t>
            </w:r>
          </w:p>
          <w:p w14:paraId="3DF86811" w14:textId="77777777" w:rsidR="006C7872" w:rsidRDefault="006C7872">
            <w:pPr>
              <w:tabs>
                <w:tab w:val="left" w:pos="1725"/>
              </w:tabs>
              <w:jc w:val="center"/>
              <w:rPr>
                <w:rFonts w:ascii="Arial" w:hAnsi="Arial" w:cs="Arial"/>
                <w:sz w:val="20"/>
                <w:szCs w:val="20"/>
              </w:rPr>
            </w:pPr>
            <w:r>
              <w:rPr>
                <w:rFonts w:ascii="Arial" w:hAnsi="Arial" w:cs="Arial"/>
                <w:sz w:val="20"/>
                <w:szCs w:val="20"/>
              </w:rPr>
              <w:t>1.58 (0.45, 5.59)</w:t>
            </w:r>
          </w:p>
          <w:p w14:paraId="7DBD2791"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1.47 (0.34, 6.27)</w:t>
            </w:r>
          </w:p>
        </w:tc>
      </w:tr>
      <w:tr w:rsidR="006C7872" w14:paraId="1272A9EF" w14:textId="77777777" w:rsidTr="006C7872">
        <w:trPr>
          <w:trHeight w:val="364"/>
        </w:trPr>
        <w:tc>
          <w:tcPr>
            <w:tcW w:w="3824" w:type="dxa"/>
            <w:tcBorders>
              <w:top w:val="nil"/>
              <w:left w:val="nil"/>
              <w:bottom w:val="nil"/>
              <w:right w:val="nil"/>
            </w:tcBorders>
            <w:hideMark/>
          </w:tcPr>
          <w:p w14:paraId="17AB0F6C" w14:textId="77777777" w:rsidR="006C7872" w:rsidRDefault="006C7872">
            <w:pPr>
              <w:tabs>
                <w:tab w:val="left" w:pos="1725"/>
              </w:tabs>
              <w:rPr>
                <w:rFonts w:ascii="Arial" w:hAnsi="Arial" w:cs="Arial"/>
                <w:sz w:val="20"/>
                <w:szCs w:val="20"/>
              </w:rPr>
            </w:pPr>
            <w:r>
              <w:rPr>
                <w:rFonts w:ascii="Arial" w:hAnsi="Arial" w:cs="Arial"/>
                <w:sz w:val="20"/>
                <w:szCs w:val="20"/>
              </w:rPr>
              <w:t>Heating/cooling combination: Space heater (combustion or electric) with central air conditioning</w:t>
            </w:r>
          </w:p>
        </w:tc>
        <w:tc>
          <w:tcPr>
            <w:tcW w:w="3006" w:type="dxa"/>
            <w:tcBorders>
              <w:top w:val="nil"/>
              <w:left w:val="nil"/>
              <w:bottom w:val="nil"/>
              <w:right w:val="nil"/>
            </w:tcBorders>
            <w:hideMark/>
          </w:tcPr>
          <w:p w14:paraId="187B503E" w14:textId="77777777" w:rsidR="006C7872" w:rsidRDefault="006C7872">
            <w:pPr>
              <w:tabs>
                <w:tab w:val="left" w:pos="1725"/>
              </w:tabs>
              <w:jc w:val="center"/>
              <w:rPr>
                <w:rFonts w:ascii="Arial" w:hAnsi="Arial" w:cs="Arial"/>
                <w:sz w:val="20"/>
                <w:szCs w:val="20"/>
              </w:rPr>
            </w:pPr>
            <w:r>
              <w:rPr>
                <w:rFonts w:ascii="Arial" w:hAnsi="Arial" w:cs="Arial"/>
                <w:sz w:val="20"/>
                <w:szCs w:val="20"/>
              </w:rPr>
              <w:t>0.93 (0.38, 2.24)</w:t>
            </w:r>
          </w:p>
          <w:p w14:paraId="4DC2223B" w14:textId="77777777" w:rsidR="006C7872" w:rsidRDefault="006C7872">
            <w:pPr>
              <w:tabs>
                <w:tab w:val="left" w:pos="1725"/>
              </w:tabs>
              <w:jc w:val="center"/>
              <w:rPr>
                <w:rFonts w:ascii="Arial" w:hAnsi="Arial" w:cs="Arial"/>
                <w:sz w:val="20"/>
                <w:szCs w:val="20"/>
              </w:rPr>
            </w:pPr>
            <w:r>
              <w:rPr>
                <w:rFonts w:ascii="Arial" w:hAnsi="Arial" w:cs="Arial"/>
                <w:sz w:val="20"/>
                <w:szCs w:val="20"/>
              </w:rPr>
              <w:t>0.85 (0.35, 2.08)</w:t>
            </w:r>
          </w:p>
          <w:p w14:paraId="2BA804C1"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0.88 (0.36, 2.14)</w:t>
            </w:r>
          </w:p>
        </w:tc>
        <w:tc>
          <w:tcPr>
            <w:tcW w:w="3006" w:type="dxa"/>
            <w:tcBorders>
              <w:top w:val="nil"/>
              <w:left w:val="nil"/>
              <w:bottom w:val="nil"/>
              <w:right w:val="nil"/>
            </w:tcBorders>
            <w:vAlign w:val="bottom"/>
            <w:hideMark/>
          </w:tcPr>
          <w:p w14:paraId="67CB395A" w14:textId="77777777" w:rsidR="006C7872" w:rsidRDefault="006C7872">
            <w:pPr>
              <w:tabs>
                <w:tab w:val="left" w:pos="1725"/>
              </w:tabs>
              <w:jc w:val="center"/>
              <w:rPr>
                <w:rFonts w:ascii="Arial" w:hAnsi="Arial" w:cs="Arial"/>
                <w:sz w:val="20"/>
                <w:szCs w:val="20"/>
              </w:rPr>
            </w:pPr>
            <w:r>
              <w:rPr>
                <w:rFonts w:ascii="Arial" w:hAnsi="Arial" w:cs="Arial"/>
                <w:sz w:val="20"/>
                <w:szCs w:val="20"/>
              </w:rPr>
              <w:t>1.76 (0.69, 4.52)</w:t>
            </w:r>
          </w:p>
          <w:p w14:paraId="7A641858" w14:textId="77777777" w:rsidR="006C7872" w:rsidRDefault="006C7872">
            <w:pPr>
              <w:tabs>
                <w:tab w:val="left" w:pos="1725"/>
              </w:tabs>
              <w:jc w:val="center"/>
              <w:rPr>
                <w:rFonts w:ascii="Arial" w:hAnsi="Arial" w:cs="Arial"/>
                <w:sz w:val="20"/>
                <w:szCs w:val="20"/>
              </w:rPr>
            </w:pPr>
            <w:r>
              <w:rPr>
                <w:rFonts w:ascii="Arial" w:hAnsi="Arial" w:cs="Arial"/>
                <w:sz w:val="20"/>
                <w:szCs w:val="20"/>
              </w:rPr>
              <w:t>1.74 (0.68, 4.45)</w:t>
            </w:r>
          </w:p>
          <w:p w14:paraId="6D06E253"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1.86 (0.71, 4.88)</w:t>
            </w:r>
          </w:p>
        </w:tc>
        <w:tc>
          <w:tcPr>
            <w:tcW w:w="3006" w:type="dxa"/>
            <w:tcBorders>
              <w:top w:val="nil"/>
              <w:left w:val="nil"/>
              <w:bottom w:val="nil"/>
              <w:right w:val="nil"/>
            </w:tcBorders>
            <w:vAlign w:val="bottom"/>
            <w:hideMark/>
          </w:tcPr>
          <w:p w14:paraId="3C257BD2" w14:textId="77777777" w:rsidR="006C7872" w:rsidRDefault="006C7872">
            <w:pPr>
              <w:tabs>
                <w:tab w:val="left" w:pos="1725"/>
              </w:tabs>
              <w:jc w:val="center"/>
              <w:rPr>
                <w:rFonts w:ascii="Arial" w:hAnsi="Arial" w:cs="Arial"/>
                <w:sz w:val="20"/>
                <w:szCs w:val="20"/>
              </w:rPr>
            </w:pPr>
            <w:r>
              <w:rPr>
                <w:rFonts w:ascii="Arial" w:hAnsi="Arial" w:cs="Arial"/>
                <w:sz w:val="20"/>
                <w:szCs w:val="20"/>
              </w:rPr>
              <w:t>0.82 (0.37, 1.82)</w:t>
            </w:r>
          </w:p>
          <w:p w14:paraId="050BEFE6" w14:textId="77777777" w:rsidR="006C7872" w:rsidRDefault="006C7872">
            <w:pPr>
              <w:tabs>
                <w:tab w:val="left" w:pos="1725"/>
              </w:tabs>
              <w:jc w:val="center"/>
              <w:rPr>
                <w:rFonts w:ascii="Arial" w:hAnsi="Arial" w:cs="Arial"/>
                <w:sz w:val="20"/>
                <w:szCs w:val="20"/>
              </w:rPr>
            </w:pPr>
            <w:r>
              <w:rPr>
                <w:rFonts w:ascii="Arial" w:hAnsi="Arial" w:cs="Arial"/>
                <w:sz w:val="20"/>
                <w:szCs w:val="20"/>
              </w:rPr>
              <w:t>0.99 (0.38, 2.61)</w:t>
            </w:r>
          </w:p>
          <w:p w14:paraId="35FEFE68"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0.95 (0.34, 2.68)</w:t>
            </w:r>
          </w:p>
        </w:tc>
      </w:tr>
      <w:tr w:rsidR="006C7872" w14:paraId="08CE22FF" w14:textId="77777777" w:rsidTr="006C7872">
        <w:trPr>
          <w:trHeight w:val="364"/>
        </w:trPr>
        <w:tc>
          <w:tcPr>
            <w:tcW w:w="3824" w:type="dxa"/>
            <w:tcBorders>
              <w:top w:val="nil"/>
              <w:left w:val="nil"/>
              <w:bottom w:val="nil"/>
              <w:right w:val="nil"/>
            </w:tcBorders>
            <w:hideMark/>
          </w:tcPr>
          <w:p w14:paraId="53EDFA9C" w14:textId="77777777" w:rsidR="006C7872" w:rsidRDefault="006C7872">
            <w:pPr>
              <w:tabs>
                <w:tab w:val="left" w:pos="1725"/>
              </w:tabs>
              <w:rPr>
                <w:rFonts w:ascii="Arial" w:hAnsi="Arial" w:cs="Arial"/>
                <w:sz w:val="20"/>
                <w:szCs w:val="20"/>
              </w:rPr>
            </w:pPr>
            <w:r>
              <w:rPr>
                <w:rFonts w:ascii="Arial" w:hAnsi="Arial" w:cs="Arial"/>
                <w:sz w:val="20"/>
                <w:szCs w:val="20"/>
              </w:rPr>
              <w:t>Heating/cooling combination: Space heater (combustion or electric) with window/wall air conditioning</w:t>
            </w:r>
          </w:p>
        </w:tc>
        <w:tc>
          <w:tcPr>
            <w:tcW w:w="3006" w:type="dxa"/>
            <w:tcBorders>
              <w:top w:val="nil"/>
              <w:left w:val="nil"/>
              <w:bottom w:val="nil"/>
              <w:right w:val="nil"/>
            </w:tcBorders>
            <w:hideMark/>
          </w:tcPr>
          <w:p w14:paraId="6BB402C5" w14:textId="77777777" w:rsidR="006C7872" w:rsidRDefault="006C7872">
            <w:pPr>
              <w:tabs>
                <w:tab w:val="left" w:pos="1725"/>
              </w:tabs>
              <w:jc w:val="center"/>
              <w:rPr>
                <w:rFonts w:ascii="Arial" w:hAnsi="Arial" w:cs="Arial"/>
                <w:sz w:val="20"/>
                <w:szCs w:val="20"/>
              </w:rPr>
            </w:pPr>
            <w:r>
              <w:rPr>
                <w:rFonts w:ascii="Arial" w:hAnsi="Arial" w:cs="Arial"/>
                <w:sz w:val="20"/>
                <w:szCs w:val="20"/>
              </w:rPr>
              <w:t>0.86 (0.34, 2.18)</w:t>
            </w:r>
          </w:p>
          <w:p w14:paraId="73DB2012" w14:textId="77777777" w:rsidR="006C7872" w:rsidRDefault="006C7872">
            <w:pPr>
              <w:tabs>
                <w:tab w:val="left" w:pos="1725"/>
              </w:tabs>
              <w:jc w:val="center"/>
              <w:rPr>
                <w:rFonts w:ascii="Arial" w:hAnsi="Arial" w:cs="Arial"/>
                <w:sz w:val="20"/>
                <w:szCs w:val="20"/>
              </w:rPr>
            </w:pPr>
            <w:r>
              <w:rPr>
                <w:rFonts w:ascii="Arial" w:hAnsi="Arial" w:cs="Arial"/>
                <w:sz w:val="20"/>
                <w:szCs w:val="20"/>
              </w:rPr>
              <w:t>0.73 (0.28, 1.89)</w:t>
            </w:r>
          </w:p>
          <w:p w14:paraId="386A50F2"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0.73 (0.28, 1.91)</w:t>
            </w:r>
          </w:p>
        </w:tc>
        <w:tc>
          <w:tcPr>
            <w:tcW w:w="3006" w:type="dxa"/>
            <w:tcBorders>
              <w:top w:val="nil"/>
              <w:left w:val="nil"/>
              <w:bottom w:val="nil"/>
              <w:right w:val="nil"/>
            </w:tcBorders>
            <w:vAlign w:val="bottom"/>
            <w:hideMark/>
          </w:tcPr>
          <w:p w14:paraId="61B017DF" w14:textId="77777777" w:rsidR="006C7872" w:rsidRDefault="006C7872">
            <w:pPr>
              <w:tabs>
                <w:tab w:val="left" w:pos="1725"/>
              </w:tabs>
              <w:jc w:val="center"/>
              <w:rPr>
                <w:rFonts w:ascii="Arial" w:hAnsi="Arial" w:cs="Arial"/>
                <w:sz w:val="20"/>
                <w:szCs w:val="20"/>
              </w:rPr>
            </w:pPr>
            <w:r>
              <w:rPr>
                <w:rFonts w:ascii="Arial" w:hAnsi="Arial" w:cs="Arial"/>
                <w:sz w:val="20"/>
                <w:szCs w:val="20"/>
              </w:rPr>
              <w:t>1.27 (0.41, 3.90)</w:t>
            </w:r>
          </w:p>
          <w:p w14:paraId="3B90BC8D"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1.16 (0.36, 3.68) </w:t>
            </w:r>
          </w:p>
          <w:p w14:paraId="3A9E2E56"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1.12 (0.35, 3.57)</w:t>
            </w:r>
          </w:p>
        </w:tc>
        <w:tc>
          <w:tcPr>
            <w:tcW w:w="3006" w:type="dxa"/>
            <w:tcBorders>
              <w:top w:val="nil"/>
              <w:left w:val="nil"/>
              <w:bottom w:val="nil"/>
              <w:right w:val="nil"/>
            </w:tcBorders>
            <w:vAlign w:val="bottom"/>
            <w:hideMark/>
          </w:tcPr>
          <w:p w14:paraId="61646D29" w14:textId="77777777" w:rsidR="006C7872" w:rsidRDefault="006C7872">
            <w:pPr>
              <w:tabs>
                <w:tab w:val="left" w:pos="1725"/>
              </w:tabs>
              <w:jc w:val="center"/>
              <w:rPr>
                <w:rFonts w:ascii="Arial" w:hAnsi="Arial" w:cs="Arial"/>
                <w:sz w:val="20"/>
                <w:szCs w:val="20"/>
              </w:rPr>
            </w:pPr>
            <w:r>
              <w:rPr>
                <w:rFonts w:ascii="Arial" w:hAnsi="Arial" w:cs="Arial"/>
                <w:sz w:val="20"/>
                <w:szCs w:val="20"/>
              </w:rPr>
              <w:t>0.57 (0.29, 1.12)</w:t>
            </w:r>
          </w:p>
          <w:p w14:paraId="64BCA884" w14:textId="77777777" w:rsidR="006C7872" w:rsidRDefault="006C7872">
            <w:pPr>
              <w:tabs>
                <w:tab w:val="left" w:pos="1725"/>
              </w:tabs>
              <w:jc w:val="center"/>
              <w:rPr>
                <w:rFonts w:ascii="Arial" w:hAnsi="Arial" w:cs="Arial"/>
                <w:sz w:val="20"/>
                <w:szCs w:val="20"/>
              </w:rPr>
            </w:pPr>
            <w:r>
              <w:rPr>
                <w:rFonts w:ascii="Arial" w:hAnsi="Arial" w:cs="Arial"/>
                <w:sz w:val="20"/>
                <w:szCs w:val="20"/>
              </w:rPr>
              <w:t>0.67 (0.35, 1.25)</w:t>
            </w:r>
          </w:p>
          <w:p w14:paraId="3499BC00"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0.73 (0.38, 1.40)</w:t>
            </w:r>
          </w:p>
        </w:tc>
      </w:tr>
      <w:tr w:rsidR="006C7872" w14:paraId="6FBBF5DE" w14:textId="77777777" w:rsidTr="006C7872">
        <w:trPr>
          <w:trHeight w:val="364"/>
        </w:trPr>
        <w:tc>
          <w:tcPr>
            <w:tcW w:w="3824" w:type="dxa"/>
            <w:tcBorders>
              <w:top w:val="nil"/>
              <w:left w:val="nil"/>
              <w:bottom w:val="nil"/>
              <w:right w:val="nil"/>
            </w:tcBorders>
            <w:hideMark/>
          </w:tcPr>
          <w:p w14:paraId="67213FB1" w14:textId="77777777" w:rsidR="006C7872" w:rsidRDefault="006C7872">
            <w:pPr>
              <w:tabs>
                <w:tab w:val="left" w:pos="1725"/>
              </w:tabs>
              <w:rPr>
                <w:rFonts w:ascii="Arial" w:hAnsi="Arial" w:cs="Arial"/>
                <w:sz w:val="20"/>
                <w:szCs w:val="20"/>
              </w:rPr>
            </w:pPr>
            <w:r>
              <w:rPr>
                <w:rFonts w:ascii="Arial" w:hAnsi="Arial" w:cs="Arial"/>
                <w:sz w:val="20"/>
                <w:szCs w:val="20"/>
              </w:rPr>
              <w:t>Heating/cooling combination: Space heater (combustion or electric) with fans</w:t>
            </w:r>
          </w:p>
        </w:tc>
        <w:tc>
          <w:tcPr>
            <w:tcW w:w="3006" w:type="dxa"/>
            <w:tcBorders>
              <w:top w:val="nil"/>
              <w:left w:val="nil"/>
              <w:bottom w:val="nil"/>
              <w:right w:val="nil"/>
            </w:tcBorders>
            <w:hideMark/>
          </w:tcPr>
          <w:p w14:paraId="019545D7" w14:textId="77777777" w:rsidR="006C7872" w:rsidRDefault="006C7872">
            <w:pPr>
              <w:tabs>
                <w:tab w:val="left" w:pos="1725"/>
              </w:tabs>
              <w:jc w:val="center"/>
              <w:rPr>
                <w:rFonts w:ascii="Arial" w:hAnsi="Arial" w:cs="Arial"/>
                <w:sz w:val="20"/>
                <w:szCs w:val="20"/>
              </w:rPr>
            </w:pPr>
            <w:r>
              <w:rPr>
                <w:rFonts w:ascii="Arial" w:hAnsi="Arial" w:cs="Arial"/>
                <w:sz w:val="20"/>
                <w:szCs w:val="20"/>
              </w:rPr>
              <w:t>1.01 (0.45, 2.24)</w:t>
            </w:r>
          </w:p>
          <w:p w14:paraId="56A50918" w14:textId="77777777" w:rsidR="006C7872" w:rsidRDefault="006C7872">
            <w:pPr>
              <w:tabs>
                <w:tab w:val="left" w:pos="1725"/>
              </w:tabs>
              <w:jc w:val="center"/>
              <w:rPr>
                <w:rFonts w:ascii="Arial" w:hAnsi="Arial" w:cs="Arial"/>
                <w:sz w:val="20"/>
                <w:szCs w:val="20"/>
              </w:rPr>
            </w:pPr>
            <w:r>
              <w:rPr>
                <w:rFonts w:ascii="Arial" w:hAnsi="Arial" w:cs="Arial"/>
                <w:sz w:val="20"/>
                <w:szCs w:val="20"/>
              </w:rPr>
              <w:t>0.94 (0.41, 2.12)</w:t>
            </w:r>
          </w:p>
          <w:p w14:paraId="145ABC35"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0.96 (0.43, 2.17)</w:t>
            </w:r>
          </w:p>
        </w:tc>
        <w:tc>
          <w:tcPr>
            <w:tcW w:w="3006" w:type="dxa"/>
            <w:tcBorders>
              <w:top w:val="nil"/>
              <w:left w:val="nil"/>
              <w:bottom w:val="nil"/>
              <w:right w:val="nil"/>
            </w:tcBorders>
            <w:vAlign w:val="bottom"/>
            <w:hideMark/>
          </w:tcPr>
          <w:p w14:paraId="77F2FE10" w14:textId="77777777" w:rsidR="006C7872" w:rsidRDefault="006C7872">
            <w:pPr>
              <w:tabs>
                <w:tab w:val="left" w:pos="1725"/>
              </w:tabs>
              <w:jc w:val="center"/>
              <w:rPr>
                <w:rFonts w:ascii="Arial" w:hAnsi="Arial" w:cs="Arial"/>
                <w:sz w:val="20"/>
                <w:szCs w:val="20"/>
              </w:rPr>
            </w:pPr>
            <w:r>
              <w:rPr>
                <w:rFonts w:ascii="Arial" w:hAnsi="Arial" w:cs="Arial"/>
                <w:sz w:val="20"/>
                <w:szCs w:val="20"/>
              </w:rPr>
              <w:t>0.87 (0.28, 2.76)</w:t>
            </w:r>
          </w:p>
          <w:p w14:paraId="4009B096"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0.87 (0.27, 2.80) </w:t>
            </w:r>
          </w:p>
          <w:p w14:paraId="4EC83F3C"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0.88 (0.27, 2.87)</w:t>
            </w:r>
          </w:p>
        </w:tc>
        <w:tc>
          <w:tcPr>
            <w:tcW w:w="3006" w:type="dxa"/>
            <w:tcBorders>
              <w:top w:val="nil"/>
              <w:left w:val="nil"/>
              <w:bottom w:val="nil"/>
              <w:right w:val="nil"/>
            </w:tcBorders>
            <w:vAlign w:val="bottom"/>
            <w:hideMark/>
          </w:tcPr>
          <w:p w14:paraId="732ECB58" w14:textId="77777777" w:rsidR="006C7872" w:rsidRDefault="006C7872">
            <w:pPr>
              <w:tabs>
                <w:tab w:val="left" w:pos="1725"/>
              </w:tabs>
              <w:jc w:val="center"/>
              <w:rPr>
                <w:rFonts w:ascii="Arial" w:hAnsi="Arial" w:cs="Arial"/>
                <w:sz w:val="20"/>
                <w:szCs w:val="20"/>
              </w:rPr>
            </w:pPr>
            <w:r>
              <w:rPr>
                <w:rFonts w:ascii="Arial" w:hAnsi="Arial" w:cs="Arial"/>
                <w:sz w:val="20"/>
                <w:szCs w:val="20"/>
              </w:rPr>
              <w:t>0.62 (0.31, 1.21)</w:t>
            </w:r>
          </w:p>
          <w:p w14:paraId="653BD40C" w14:textId="77777777" w:rsidR="006C7872" w:rsidRDefault="006C7872">
            <w:pPr>
              <w:tabs>
                <w:tab w:val="left" w:pos="1725"/>
              </w:tabs>
              <w:jc w:val="center"/>
              <w:rPr>
                <w:rFonts w:ascii="Arial" w:hAnsi="Arial" w:cs="Arial"/>
                <w:sz w:val="20"/>
                <w:szCs w:val="20"/>
              </w:rPr>
            </w:pPr>
            <w:r>
              <w:rPr>
                <w:rFonts w:ascii="Arial" w:hAnsi="Arial" w:cs="Arial"/>
                <w:sz w:val="20"/>
                <w:szCs w:val="20"/>
              </w:rPr>
              <w:t>0.75 (0.35, 1.63)</w:t>
            </w:r>
          </w:p>
          <w:p w14:paraId="4342AB8C"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0.79 (0.34, 1.84)</w:t>
            </w:r>
          </w:p>
        </w:tc>
      </w:tr>
      <w:tr w:rsidR="006C7872" w14:paraId="0071247D" w14:textId="77777777" w:rsidTr="006C7872">
        <w:trPr>
          <w:trHeight w:val="364"/>
        </w:trPr>
        <w:tc>
          <w:tcPr>
            <w:tcW w:w="3824" w:type="dxa"/>
            <w:tcBorders>
              <w:top w:val="nil"/>
              <w:left w:val="nil"/>
              <w:bottom w:val="nil"/>
              <w:right w:val="nil"/>
            </w:tcBorders>
            <w:hideMark/>
          </w:tcPr>
          <w:p w14:paraId="18D447F4" w14:textId="77777777" w:rsidR="006C7872" w:rsidRDefault="006C7872">
            <w:pPr>
              <w:tabs>
                <w:tab w:val="left" w:pos="1725"/>
              </w:tabs>
              <w:rPr>
                <w:rFonts w:ascii="Arial" w:hAnsi="Arial" w:cs="Arial"/>
                <w:sz w:val="20"/>
                <w:szCs w:val="20"/>
              </w:rPr>
            </w:pPr>
            <w:r>
              <w:rPr>
                <w:rFonts w:ascii="Arial" w:hAnsi="Arial" w:cs="Arial"/>
                <w:sz w:val="20"/>
                <w:szCs w:val="20"/>
              </w:rPr>
              <w:t>Heating/cooling combination: Space heater (combustion or electric) with open windows</w:t>
            </w:r>
          </w:p>
        </w:tc>
        <w:tc>
          <w:tcPr>
            <w:tcW w:w="3006" w:type="dxa"/>
            <w:tcBorders>
              <w:top w:val="nil"/>
              <w:left w:val="nil"/>
              <w:bottom w:val="nil"/>
              <w:right w:val="nil"/>
            </w:tcBorders>
            <w:hideMark/>
          </w:tcPr>
          <w:p w14:paraId="22D90A53" w14:textId="77777777" w:rsidR="006C7872" w:rsidRDefault="006C7872">
            <w:pPr>
              <w:tabs>
                <w:tab w:val="left" w:pos="1725"/>
              </w:tabs>
              <w:jc w:val="center"/>
              <w:rPr>
                <w:rFonts w:ascii="Arial" w:hAnsi="Arial" w:cs="Arial"/>
                <w:sz w:val="20"/>
                <w:szCs w:val="20"/>
              </w:rPr>
            </w:pPr>
            <w:r>
              <w:rPr>
                <w:rFonts w:ascii="Arial" w:hAnsi="Arial" w:cs="Arial"/>
                <w:sz w:val="20"/>
                <w:szCs w:val="20"/>
              </w:rPr>
              <w:t>0.38 (0.14, 1.08)</w:t>
            </w:r>
          </w:p>
          <w:p w14:paraId="7B6DCBD8" w14:textId="77777777" w:rsidR="006C7872" w:rsidRDefault="006C7872">
            <w:pPr>
              <w:tabs>
                <w:tab w:val="left" w:pos="1725"/>
              </w:tabs>
              <w:jc w:val="center"/>
              <w:rPr>
                <w:rFonts w:ascii="Arial" w:hAnsi="Arial" w:cs="Arial"/>
                <w:sz w:val="20"/>
                <w:szCs w:val="20"/>
              </w:rPr>
            </w:pPr>
            <w:r>
              <w:rPr>
                <w:rFonts w:ascii="Arial" w:hAnsi="Arial" w:cs="Arial"/>
                <w:sz w:val="20"/>
                <w:szCs w:val="20"/>
              </w:rPr>
              <w:t>0.36 (0.12, 1.04)</w:t>
            </w:r>
          </w:p>
          <w:p w14:paraId="3E32186D"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0.35 (0.12, 1.01)</w:t>
            </w:r>
          </w:p>
        </w:tc>
        <w:tc>
          <w:tcPr>
            <w:tcW w:w="3006" w:type="dxa"/>
            <w:tcBorders>
              <w:top w:val="nil"/>
              <w:left w:val="nil"/>
              <w:bottom w:val="nil"/>
              <w:right w:val="nil"/>
            </w:tcBorders>
            <w:vAlign w:val="bottom"/>
            <w:hideMark/>
          </w:tcPr>
          <w:p w14:paraId="22DFEA49" w14:textId="77777777" w:rsidR="006C7872" w:rsidRDefault="006C7872">
            <w:pPr>
              <w:tabs>
                <w:tab w:val="left" w:pos="1725"/>
              </w:tabs>
              <w:jc w:val="center"/>
              <w:rPr>
                <w:rFonts w:ascii="Arial" w:hAnsi="Arial" w:cs="Arial"/>
                <w:sz w:val="20"/>
                <w:szCs w:val="20"/>
              </w:rPr>
            </w:pPr>
            <w:r>
              <w:rPr>
                <w:rFonts w:ascii="Arial" w:hAnsi="Arial" w:cs="Arial"/>
                <w:sz w:val="20"/>
                <w:szCs w:val="20"/>
              </w:rPr>
              <w:t>0.17 (0.04, 0.74)*</w:t>
            </w:r>
          </w:p>
          <w:p w14:paraId="032BC073" w14:textId="77777777" w:rsidR="006C7872" w:rsidRDefault="006C7872">
            <w:pPr>
              <w:tabs>
                <w:tab w:val="left" w:pos="1725"/>
              </w:tabs>
              <w:jc w:val="center"/>
              <w:rPr>
                <w:rFonts w:ascii="Arial" w:hAnsi="Arial" w:cs="Arial"/>
                <w:sz w:val="20"/>
                <w:szCs w:val="20"/>
              </w:rPr>
            </w:pPr>
            <w:r>
              <w:rPr>
                <w:rFonts w:ascii="Arial" w:hAnsi="Arial" w:cs="Arial"/>
                <w:sz w:val="20"/>
                <w:szCs w:val="20"/>
              </w:rPr>
              <w:t>0.16 (0.04, 0.75)*</w:t>
            </w:r>
          </w:p>
          <w:p w14:paraId="4082ABA8"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0.15 (0.03, 0.69)*</w:t>
            </w:r>
          </w:p>
        </w:tc>
        <w:tc>
          <w:tcPr>
            <w:tcW w:w="3006" w:type="dxa"/>
            <w:tcBorders>
              <w:top w:val="nil"/>
              <w:left w:val="nil"/>
              <w:bottom w:val="nil"/>
              <w:right w:val="nil"/>
            </w:tcBorders>
            <w:vAlign w:val="bottom"/>
            <w:hideMark/>
          </w:tcPr>
          <w:p w14:paraId="7000287E" w14:textId="77777777" w:rsidR="006C7872" w:rsidRDefault="006C7872">
            <w:pPr>
              <w:tabs>
                <w:tab w:val="left" w:pos="1725"/>
              </w:tabs>
              <w:jc w:val="center"/>
              <w:rPr>
                <w:rFonts w:ascii="Arial" w:hAnsi="Arial" w:cs="Arial"/>
                <w:sz w:val="20"/>
                <w:szCs w:val="20"/>
              </w:rPr>
            </w:pPr>
            <w:r>
              <w:rPr>
                <w:rFonts w:ascii="Arial" w:hAnsi="Arial" w:cs="Arial"/>
                <w:sz w:val="20"/>
                <w:szCs w:val="20"/>
              </w:rPr>
              <w:t>0.96 (0.45, 2.07)</w:t>
            </w:r>
          </w:p>
          <w:p w14:paraId="511E6029" w14:textId="77777777" w:rsidR="006C7872" w:rsidRDefault="006C7872">
            <w:pPr>
              <w:tabs>
                <w:tab w:val="left" w:pos="1725"/>
              </w:tabs>
              <w:jc w:val="center"/>
              <w:rPr>
                <w:rFonts w:ascii="Arial" w:hAnsi="Arial" w:cs="Arial"/>
                <w:sz w:val="20"/>
                <w:szCs w:val="20"/>
              </w:rPr>
            </w:pPr>
            <w:r>
              <w:rPr>
                <w:rFonts w:ascii="Arial" w:hAnsi="Arial" w:cs="Arial"/>
                <w:sz w:val="20"/>
                <w:szCs w:val="20"/>
              </w:rPr>
              <w:t>0.94 (0.34, 2.61)</w:t>
            </w:r>
          </w:p>
          <w:p w14:paraId="155BDE70"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1.09 (0.39, 3.03)</w:t>
            </w:r>
          </w:p>
        </w:tc>
      </w:tr>
      <w:tr w:rsidR="006C7872" w14:paraId="7D0C59ED" w14:textId="77777777" w:rsidTr="006C7872">
        <w:trPr>
          <w:trHeight w:val="364"/>
        </w:trPr>
        <w:tc>
          <w:tcPr>
            <w:tcW w:w="3824" w:type="dxa"/>
            <w:tcBorders>
              <w:top w:val="nil"/>
              <w:left w:val="nil"/>
              <w:bottom w:val="nil"/>
              <w:right w:val="nil"/>
            </w:tcBorders>
            <w:hideMark/>
          </w:tcPr>
          <w:p w14:paraId="0F9192ED" w14:textId="77777777" w:rsidR="006C7872" w:rsidRDefault="006C7872">
            <w:pPr>
              <w:tabs>
                <w:tab w:val="left" w:pos="1725"/>
              </w:tabs>
              <w:rPr>
                <w:rFonts w:ascii="Arial" w:hAnsi="Arial" w:cs="Arial"/>
                <w:sz w:val="20"/>
                <w:szCs w:val="20"/>
              </w:rPr>
            </w:pPr>
            <w:r>
              <w:rPr>
                <w:rFonts w:ascii="Arial" w:hAnsi="Arial" w:cs="Arial"/>
                <w:sz w:val="20"/>
                <w:szCs w:val="20"/>
              </w:rPr>
              <w:t>Heating/cooling combination: Space heater (combustion or electric) with evaporative cooling, humidifier, or HEPA or electrostatic filter</w:t>
            </w:r>
          </w:p>
        </w:tc>
        <w:tc>
          <w:tcPr>
            <w:tcW w:w="3006" w:type="dxa"/>
            <w:tcBorders>
              <w:top w:val="nil"/>
              <w:left w:val="nil"/>
              <w:bottom w:val="nil"/>
              <w:right w:val="nil"/>
            </w:tcBorders>
            <w:hideMark/>
          </w:tcPr>
          <w:p w14:paraId="5EBE3476"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1.19 (0.44, 3.23) </w:t>
            </w:r>
          </w:p>
          <w:p w14:paraId="41EF7835" w14:textId="77777777" w:rsidR="006C7872" w:rsidRDefault="006C7872">
            <w:pPr>
              <w:tabs>
                <w:tab w:val="left" w:pos="1725"/>
              </w:tabs>
              <w:jc w:val="center"/>
              <w:rPr>
                <w:rFonts w:ascii="Arial" w:hAnsi="Arial" w:cs="Arial"/>
                <w:sz w:val="20"/>
                <w:szCs w:val="20"/>
              </w:rPr>
            </w:pPr>
            <w:r>
              <w:rPr>
                <w:rFonts w:ascii="Arial" w:hAnsi="Arial" w:cs="Arial"/>
                <w:sz w:val="20"/>
                <w:szCs w:val="20"/>
              </w:rPr>
              <w:t>1.20 (0.43, 3.34)</w:t>
            </w:r>
          </w:p>
          <w:p w14:paraId="1AE3699D"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1.16 (0.42, 3.19)</w:t>
            </w:r>
          </w:p>
        </w:tc>
        <w:tc>
          <w:tcPr>
            <w:tcW w:w="3006" w:type="dxa"/>
            <w:tcBorders>
              <w:top w:val="nil"/>
              <w:left w:val="nil"/>
              <w:bottom w:val="nil"/>
              <w:right w:val="nil"/>
            </w:tcBorders>
            <w:vAlign w:val="bottom"/>
            <w:hideMark/>
          </w:tcPr>
          <w:p w14:paraId="21577624"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1.81 (0.59, 5.63) </w:t>
            </w:r>
          </w:p>
          <w:p w14:paraId="335C0F35" w14:textId="77777777" w:rsidR="006C7872" w:rsidRDefault="006C7872">
            <w:pPr>
              <w:tabs>
                <w:tab w:val="left" w:pos="1725"/>
              </w:tabs>
              <w:jc w:val="center"/>
              <w:rPr>
                <w:rFonts w:ascii="Arial" w:hAnsi="Arial" w:cs="Arial"/>
                <w:sz w:val="20"/>
                <w:szCs w:val="20"/>
              </w:rPr>
            </w:pPr>
            <w:r>
              <w:rPr>
                <w:rFonts w:ascii="Arial" w:hAnsi="Arial" w:cs="Arial"/>
                <w:sz w:val="20"/>
                <w:szCs w:val="20"/>
              </w:rPr>
              <w:t>1.84 (0.55, 6.19)</w:t>
            </w:r>
          </w:p>
          <w:p w14:paraId="6DC02CB5"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1.76 (0.53, 5.86)</w:t>
            </w:r>
          </w:p>
        </w:tc>
        <w:tc>
          <w:tcPr>
            <w:tcW w:w="3006" w:type="dxa"/>
            <w:tcBorders>
              <w:top w:val="nil"/>
              <w:left w:val="nil"/>
              <w:bottom w:val="nil"/>
              <w:right w:val="nil"/>
            </w:tcBorders>
            <w:vAlign w:val="bottom"/>
            <w:hideMark/>
          </w:tcPr>
          <w:p w14:paraId="00800E66" w14:textId="77777777" w:rsidR="006C7872" w:rsidRDefault="006C7872">
            <w:pPr>
              <w:tabs>
                <w:tab w:val="left" w:pos="1725"/>
              </w:tabs>
              <w:jc w:val="center"/>
              <w:rPr>
                <w:rFonts w:ascii="Arial" w:hAnsi="Arial" w:cs="Arial"/>
                <w:sz w:val="20"/>
                <w:szCs w:val="20"/>
              </w:rPr>
            </w:pPr>
            <w:r>
              <w:rPr>
                <w:rFonts w:ascii="Arial" w:hAnsi="Arial" w:cs="Arial"/>
                <w:sz w:val="20"/>
                <w:szCs w:val="20"/>
              </w:rPr>
              <w:t>0.64 (0.24, 1.75)</w:t>
            </w:r>
          </w:p>
          <w:p w14:paraId="4BB50F3C" w14:textId="77777777" w:rsidR="006C7872" w:rsidRDefault="006C7872">
            <w:pPr>
              <w:tabs>
                <w:tab w:val="left" w:pos="1725"/>
              </w:tabs>
              <w:jc w:val="center"/>
              <w:rPr>
                <w:rFonts w:ascii="Arial" w:hAnsi="Arial" w:cs="Arial"/>
                <w:sz w:val="20"/>
                <w:szCs w:val="20"/>
              </w:rPr>
            </w:pPr>
            <w:r>
              <w:rPr>
                <w:rFonts w:ascii="Arial" w:hAnsi="Arial" w:cs="Arial"/>
                <w:sz w:val="20"/>
                <w:szCs w:val="20"/>
              </w:rPr>
              <w:t>0.55 (0.17, 1.77)</w:t>
            </w:r>
          </w:p>
          <w:p w14:paraId="7C1642C4"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0.56 (0.16, 1.93)</w:t>
            </w:r>
          </w:p>
        </w:tc>
      </w:tr>
      <w:tr w:rsidR="006C7872" w14:paraId="1B7FC1D2" w14:textId="77777777" w:rsidTr="006C7872">
        <w:trPr>
          <w:trHeight w:val="364"/>
        </w:trPr>
        <w:tc>
          <w:tcPr>
            <w:tcW w:w="3824" w:type="dxa"/>
            <w:tcBorders>
              <w:top w:val="nil"/>
              <w:left w:val="nil"/>
              <w:bottom w:val="nil"/>
              <w:right w:val="nil"/>
            </w:tcBorders>
            <w:hideMark/>
          </w:tcPr>
          <w:p w14:paraId="5DE2DBB2" w14:textId="77777777" w:rsidR="006C7872" w:rsidRDefault="006C7872">
            <w:pPr>
              <w:tabs>
                <w:tab w:val="left" w:pos="1725"/>
              </w:tabs>
              <w:rPr>
                <w:rFonts w:ascii="Arial" w:hAnsi="Arial" w:cs="Arial"/>
                <w:sz w:val="20"/>
                <w:szCs w:val="20"/>
              </w:rPr>
            </w:pPr>
            <w:r>
              <w:rPr>
                <w:rFonts w:ascii="Arial" w:hAnsi="Arial" w:cs="Arial"/>
                <w:sz w:val="20"/>
                <w:szCs w:val="20"/>
              </w:rPr>
              <w:t>Heating/cooling combination: Wood stove or gas/wood fireplace with fans</w:t>
            </w:r>
          </w:p>
        </w:tc>
        <w:tc>
          <w:tcPr>
            <w:tcW w:w="3006" w:type="dxa"/>
            <w:tcBorders>
              <w:top w:val="nil"/>
              <w:left w:val="nil"/>
              <w:bottom w:val="nil"/>
              <w:right w:val="nil"/>
            </w:tcBorders>
            <w:hideMark/>
          </w:tcPr>
          <w:p w14:paraId="63132C94" w14:textId="77777777" w:rsidR="006C7872" w:rsidRDefault="006C7872">
            <w:pPr>
              <w:tabs>
                <w:tab w:val="left" w:pos="1725"/>
              </w:tabs>
              <w:jc w:val="center"/>
              <w:rPr>
                <w:rFonts w:ascii="Arial" w:hAnsi="Arial" w:cs="Arial"/>
                <w:sz w:val="20"/>
                <w:szCs w:val="20"/>
              </w:rPr>
            </w:pPr>
            <w:r>
              <w:rPr>
                <w:rFonts w:ascii="Arial" w:hAnsi="Arial" w:cs="Arial"/>
                <w:sz w:val="20"/>
                <w:szCs w:val="20"/>
              </w:rPr>
              <w:t>0.78 (0.42, 1.48)</w:t>
            </w:r>
          </w:p>
          <w:p w14:paraId="71A21FB3" w14:textId="77777777" w:rsidR="006C7872" w:rsidRDefault="006C7872">
            <w:pPr>
              <w:tabs>
                <w:tab w:val="left" w:pos="1725"/>
              </w:tabs>
              <w:jc w:val="center"/>
              <w:rPr>
                <w:rFonts w:ascii="Arial" w:hAnsi="Arial" w:cs="Arial"/>
                <w:sz w:val="20"/>
                <w:szCs w:val="20"/>
              </w:rPr>
            </w:pPr>
            <w:r>
              <w:rPr>
                <w:rFonts w:ascii="Arial" w:hAnsi="Arial" w:cs="Arial"/>
                <w:sz w:val="20"/>
                <w:szCs w:val="20"/>
              </w:rPr>
              <w:t>0.76 (0.40, 1.43)</w:t>
            </w:r>
          </w:p>
          <w:p w14:paraId="73A7127B"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0.77 (0.41, 1.46)</w:t>
            </w:r>
          </w:p>
        </w:tc>
        <w:tc>
          <w:tcPr>
            <w:tcW w:w="3006" w:type="dxa"/>
            <w:tcBorders>
              <w:top w:val="nil"/>
              <w:left w:val="nil"/>
              <w:bottom w:val="nil"/>
              <w:right w:val="nil"/>
            </w:tcBorders>
            <w:vAlign w:val="bottom"/>
            <w:hideMark/>
          </w:tcPr>
          <w:p w14:paraId="6B7CEDA5"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0.37 (0.14, 1.00)* </w:t>
            </w:r>
          </w:p>
          <w:p w14:paraId="32B5C19D"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0.36 (0.13, 0.98)* </w:t>
            </w:r>
          </w:p>
          <w:p w14:paraId="01D16274"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0.35 (0.13, 0.94)*</w:t>
            </w:r>
          </w:p>
        </w:tc>
        <w:tc>
          <w:tcPr>
            <w:tcW w:w="3006" w:type="dxa"/>
            <w:tcBorders>
              <w:top w:val="nil"/>
              <w:left w:val="nil"/>
              <w:bottom w:val="nil"/>
              <w:right w:val="nil"/>
            </w:tcBorders>
            <w:vAlign w:val="bottom"/>
            <w:hideMark/>
          </w:tcPr>
          <w:p w14:paraId="58BABB61" w14:textId="77777777" w:rsidR="006C7872" w:rsidRDefault="006C7872">
            <w:pPr>
              <w:tabs>
                <w:tab w:val="left" w:pos="1725"/>
              </w:tabs>
              <w:jc w:val="center"/>
              <w:rPr>
                <w:rFonts w:ascii="Arial" w:hAnsi="Arial" w:cs="Arial"/>
                <w:sz w:val="20"/>
                <w:szCs w:val="20"/>
              </w:rPr>
            </w:pPr>
            <w:r>
              <w:rPr>
                <w:rFonts w:ascii="Arial" w:hAnsi="Arial" w:cs="Arial"/>
                <w:sz w:val="20"/>
                <w:szCs w:val="20"/>
              </w:rPr>
              <w:t>0.78 (0.42, 1.47)</w:t>
            </w:r>
          </w:p>
          <w:p w14:paraId="0EB35DC6" w14:textId="77777777" w:rsidR="006C7872" w:rsidRDefault="006C7872">
            <w:pPr>
              <w:tabs>
                <w:tab w:val="left" w:pos="1725"/>
              </w:tabs>
              <w:jc w:val="center"/>
              <w:rPr>
                <w:rFonts w:ascii="Arial" w:hAnsi="Arial" w:cs="Arial"/>
                <w:sz w:val="20"/>
                <w:szCs w:val="20"/>
              </w:rPr>
            </w:pPr>
            <w:r>
              <w:rPr>
                <w:rFonts w:ascii="Arial" w:hAnsi="Arial" w:cs="Arial"/>
                <w:sz w:val="20"/>
                <w:szCs w:val="20"/>
              </w:rPr>
              <w:t>0.61 (0.31, 1.19)</w:t>
            </w:r>
          </w:p>
          <w:p w14:paraId="12211DC5"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0.63 (0.33, 1.23)</w:t>
            </w:r>
          </w:p>
        </w:tc>
      </w:tr>
      <w:tr w:rsidR="006C7872" w14:paraId="5D82A410" w14:textId="77777777" w:rsidTr="006C7872">
        <w:trPr>
          <w:trHeight w:val="364"/>
        </w:trPr>
        <w:tc>
          <w:tcPr>
            <w:tcW w:w="3824" w:type="dxa"/>
            <w:tcBorders>
              <w:top w:val="nil"/>
              <w:left w:val="nil"/>
              <w:bottom w:val="nil"/>
              <w:right w:val="nil"/>
            </w:tcBorders>
            <w:hideMark/>
          </w:tcPr>
          <w:p w14:paraId="0F3B520F" w14:textId="77777777" w:rsidR="006C7872" w:rsidRDefault="006C7872">
            <w:pPr>
              <w:tabs>
                <w:tab w:val="left" w:pos="1725"/>
              </w:tabs>
              <w:rPr>
                <w:rFonts w:ascii="Arial" w:hAnsi="Arial" w:cs="Arial"/>
                <w:sz w:val="20"/>
                <w:szCs w:val="20"/>
              </w:rPr>
            </w:pPr>
            <w:r>
              <w:rPr>
                <w:rFonts w:ascii="Arial" w:hAnsi="Arial" w:cs="Arial"/>
                <w:sz w:val="20"/>
                <w:szCs w:val="20"/>
              </w:rPr>
              <w:t>Heating/cooling combination: Wood stove or gas/wood fireplace with open windows</w:t>
            </w:r>
          </w:p>
        </w:tc>
        <w:tc>
          <w:tcPr>
            <w:tcW w:w="3006" w:type="dxa"/>
            <w:tcBorders>
              <w:top w:val="nil"/>
              <w:left w:val="nil"/>
              <w:bottom w:val="nil"/>
              <w:right w:val="nil"/>
            </w:tcBorders>
            <w:hideMark/>
          </w:tcPr>
          <w:p w14:paraId="71C7C8D6" w14:textId="77777777" w:rsidR="006C7872" w:rsidRDefault="006C7872">
            <w:pPr>
              <w:tabs>
                <w:tab w:val="left" w:pos="1725"/>
              </w:tabs>
              <w:jc w:val="center"/>
              <w:rPr>
                <w:rFonts w:ascii="Arial" w:hAnsi="Arial" w:cs="Arial"/>
                <w:sz w:val="20"/>
                <w:szCs w:val="20"/>
              </w:rPr>
            </w:pPr>
            <w:r>
              <w:rPr>
                <w:rFonts w:ascii="Arial" w:hAnsi="Arial" w:cs="Arial"/>
                <w:sz w:val="20"/>
                <w:szCs w:val="20"/>
              </w:rPr>
              <w:t>0.97 (0.51, 1.84)</w:t>
            </w:r>
          </w:p>
          <w:p w14:paraId="1870AD36" w14:textId="77777777" w:rsidR="006C7872" w:rsidRDefault="006C7872">
            <w:pPr>
              <w:tabs>
                <w:tab w:val="left" w:pos="1725"/>
              </w:tabs>
              <w:jc w:val="center"/>
              <w:rPr>
                <w:rFonts w:ascii="Arial" w:hAnsi="Arial" w:cs="Arial"/>
                <w:sz w:val="20"/>
                <w:szCs w:val="20"/>
              </w:rPr>
            </w:pPr>
            <w:r>
              <w:rPr>
                <w:rFonts w:ascii="Arial" w:hAnsi="Arial" w:cs="Arial"/>
                <w:sz w:val="20"/>
                <w:szCs w:val="20"/>
              </w:rPr>
              <w:t>0.96 (0.50, 1.84)</w:t>
            </w:r>
          </w:p>
          <w:p w14:paraId="35B1A0A6"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0.99 (0.51, 1.89)</w:t>
            </w:r>
          </w:p>
        </w:tc>
        <w:tc>
          <w:tcPr>
            <w:tcW w:w="3006" w:type="dxa"/>
            <w:tcBorders>
              <w:top w:val="nil"/>
              <w:left w:val="nil"/>
              <w:bottom w:val="nil"/>
              <w:right w:val="nil"/>
            </w:tcBorders>
            <w:vAlign w:val="bottom"/>
            <w:hideMark/>
          </w:tcPr>
          <w:p w14:paraId="7A6CC456" w14:textId="77777777" w:rsidR="006C7872" w:rsidRDefault="006C7872">
            <w:pPr>
              <w:tabs>
                <w:tab w:val="left" w:pos="1725"/>
              </w:tabs>
              <w:jc w:val="center"/>
              <w:rPr>
                <w:rFonts w:ascii="Arial" w:hAnsi="Arial" w:cs="Arial"/>
                <w:sz w:val="20"/>
                <w:szCs w:val="20"/>
              </w:rPr>
            </w:pPr>
            <w:r>
              <w:rPr>
                <w:rFonts w:ascii="Arial" w:hAnsi="Arial" w:cs="Arial"/>
                <w:sz w:val="20"/>
                <w:szCs w:val="20"/>
              </w:rPr>
              <w:t>0.60 (0.22, 1.61)</w:t>
            </w:r>
          </w:p>
          <w:p w14:paraId="39B514BF" w14:textId="77777777" w:rsidR="006C7872" w:rsidRDefault="006C7872">
            <w:pPr>
              <w:tabs>
                <w:tab w:val="left" w:pos="1725"/>
              </w:tabs>
              <w:jc w:val="center"/>
              <w:rPr>
                <w:rFonts w:ascii="Arial" w:hAnsi="Arial" w:cs="Arial"/>
                <w:sz w:val="20"/>
                <w:szCs w:val="20"/>
              </w:rPr>
            </w:pPr>
            <w:r>
              <w:rPr>
                <w:rFonts w:ascii="Arial" w:hAnsi="Arial" w:cs="Arial"/>
                <w:sz w:val="20"/>
                <w:szCs w:val="20"/>
              </w:rPr>
              <w:t>0.61 (0.22, 1.67)</w:t>
            </w:r>
          </w:p>
          <w:p w14:paraId="72E9C6D0"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0.60 (0.22, 1.63)</w:t>
            </w:r>
          </w:p>
        </w:tc>
        <w:tc>
          <w:tcPr>
            <w:tcW w:w="3006" w:type="dxa"/>
            <w:tcBorders>
              <w:top w:val="nil"/>
              <w:left w:val="nil"/>
              <w:bottom w:val="nil"/>
              <w:right w:val="nil"/>
            </w:tcBorders>
            <w:vAlign w:val="bottom"/>
            <w:hideMark/>
          </w:tcPr>
          <w:p w14:paraId="0D7D1B31" w14:textId="77777777" w:rsidR="006C7872" w:rsidRDefault="006C7872">
            <w:pPr>
              <w:tabs>
                <w:tab w:val="left" w:pos="1725"/>
              </w:tabs>
              <w:jc w:val="center"/>
              <w:rPr>
                <w:rFonts w:ascii="Arial" w:hAnsi="Arial" w:cs="Arial"/>
                <w:sz w:val="20"/>
                <w:szCs w:val="20"/>
              </w:rPr>
            </w:pPr>
            <w:r>
              <w:rPr>
                <w:rFonts w:ascii="Arial" w:hAnsi="Arial" w:cs="Arial"/>
                <w:sz w:val="20"/>
                <w:szCs w:val="20"/>
              </w:rPr>
              <w:t>0.89 (0.46, 1.71)</w:t>
            </w:r>
          </w:p>
          <w:p w14:paraId="1388E392" w14:textId="77777777" w:rsidR="006C7872" w:rsidRDefault="006C7872">
            <w:pPr>
              <w:tabs>
                <w:tab w:val="left" w:pos="1725"/>
              </w:tabs>
              <w:jc w:val="center"/>
              <w:rPr>
                <w:rFonts w:ascii="Arial" w:hAnsi="Arial" w:cs="Arial"/>
                <w:sz w:val="20"/>
                <w:szCs w:val="20"/>
              </w:rPr>
            </w:pPr>
            <w:r>
              <w:rPr>
                <w:rFonts w:ascii="Arial" w:hAnsi="Arial" w:cs="Arial"/>
                <w:sz w:val="20"/>
                <w:szCs w:val="20"/>
              </w:rPr>
              <w:t>0.68 (0.34, 1.35)</w:t>
            </w:r>
          </w:p>
          <w:p w14:paraId="058F176F"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0.76 (0.38, 1.52)</w:t>
            </w:r>
          </w:p>
        </w:tc>
      </w:tr>
      <w:tr w:rsidR="006C7872" w14:paraId="66E89201" w14:textId="77777777" w:rsidTr="006C7872">
        <w:trPr>
          <w:trHeight w:val="364"/>
        </w:trPr>
        <w:tc>
          <w:tcPr>
            <w:tcW w:w="3824" w:type="dxa"/>
            <w:tcBorders>
              <w:top w:val="nil"/>
              <w:left w:val="nil"/>
              <w:bottom w:val="single" w:sz="4" w:space="0" w:color="auto"/>
              <w:right w:val="nil"/>
            </w:tcBorders>
            <w:hideMark/>
          </w:tcPr>
          <w:p w14:paraId="77DCD020" w14:textId="77777777" w:rsidR="006C7872" w:rsidRDefault="006C7872">
            <w:pPr>
              <w:tabs>
                <w:tab w:val="left" w:pos="1725"/>
              </w:tabs>
              <w:rPr>
                <w:rFonts w:ascii="Arial" w:hAnsi="Arial" w:cs="Arial"/>
                <w:sz w:val="20"/>
                <w:szCs w:val="20"/>
              </w:rPr>
            </w:pPr>
            <w:r>
              <w:rPr>
                <w:rFonts w:ascii="Arial" w:hAnsi="Arial" w:cs="Arial"/>
                <w:sz w:val="20"/>
                <w:szCs w:val="20"/>
              </w:rPr>
              <w:t>Heating/cooling combination: No heating with central air conditioning</w:t>
            </w:r>
          </w:p>
        </w:tc>
        <w:tc>
          <w:tcPr>
            <w:tcW w:w="3006" w:type="dxa"/>
            <w:tcBorders>
              <w:top w:val="nil"/>
              <w:left w:val="nil"/>
              <w:bottom w:val="single" w:sz="4" w:space="0" w:color="auto"/>
              <w:right w:val="nil"/>
            </w:tcBorders>
            <w:hideMark/>
          </w:tcPr>
          <w:p w14:paraId="6D29656A" w14:textId="77777777" w:rsidR="006C7872" w:rsidRDefault="006C7872">
            <w:pPr>
              <w:tabs>
                <w:tab w:val="left" w:pos="1725"/>
              </w:tabs>
              <w:jc w:val="center"/>
              <w:rPr>
                <w:rFonts w:ascii="Arial" w:hAnsi="Arial" w:cs="Arial"/>
                <w:sz w:val="20"/>
                <w:szCs w:val="20"/>
              </w:rPr>
            </w:pPr>
            <w:r>
              <w:rPr>
                <w:rFonts w:ascii="Arial" w:hAnsi="Arial" w:cs="Arial"/>
                <w:sz w:val="20"/>
                <w:szCs w:val="20"/>
              </w:rPr>
              <w:t>0.95 (0.55, 1.64)</w:t>
            </w:r>
          </w:p>
          <w:p w14:paraId="68249535" w14:textId="77777777" w:rsidR="006C7872" w:rsidRDefault="006C7872">
            <w:pPr>
              <w:tabs>
                <w:tab w:val="left" w:pos="1725"/>
              </w:tabs>
              <w:jc w:val="center"/>
              <w:rPr>
                <w:rFonts w:ascii="Arial" w:hAnsi="Arial" w:cs="Arial"/>
                <w:sz w:val="20"/>
                <w:szCs w:val="20"/>
              </w:rPr>
            </w:pPr>
            <w:r>
              <w:rPr>
                <w:rFonts w:ascii="Arial" w:hAnsi="Arial" w:cs="Arial"/>
                <w:sz w:val="20"/>
                <w:szCs w:val="20"/>
              </w:rPr>
              <w:t>0.95 (0.55, 1.64)</w:t>
            </w:r>
          </w:p>
          <w:p w14:paraId="5E7CFC47"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0.97 (0.56, 1.67)</w:t>
            </w:r>
          </w:p>
        </w:tc>
        <w:tc>
          <w:tcPr>
            <w:tcW w:w="3006" w:type="dxa"/>
            <w:tcBorders>
              <w:top w:val="nil"/>
              <w:left w:val="nil"/>
              <w:bottom w:val="single" w:sz="4" w:space="0" w:color="auto"/>
              <w:right w:val="nil"/>
            </w:tcBorders>
            <w:vAlign w:val="bottom"/>
            <w:hideMark/>
          </w:tcPr>
          <w:p w14:paraId="7BE70A74" w14:textId="77777777" w:rsidR="006C7872" w:rsidRDefault="006C7872">
            <w:pPr>
              <w:tabs>
                <w:tab w:val="left" w:pos="1725"/>
              </w:tabs>
              <w:jc w:val="center"/>
              <w:rPr>
                <w:rFonts w:ascii="Arial" w:hAnsi="Arial" w:cs="Arial"/>
                <w:sz w:val="20"/>
                <w:szCs w:val="20"/>
              </w:rPr>
            </w:pPr>
            <w:r>
              <w:rPr>
                <w:rFonts w:ascii="Arial" w:hAnsi="Arial" w:cs="Arial"/>
                <w:sz w:val="20"/>
                <w:szCs w:val="20"/>
              </w:rPr>
              <w:t>1.05 (0.53, 2.07)</w:t>
            </w:r>
          </w:p>
          <w:p w14:paraId="6988FC19" w14:textId="77777777" w:rsidR="006C7872" w:rsidRDefault="006C7872">
            <w:pPr>
              <w:tabs>
                <w:tab w:val="left" w:pos="1725"/>
              </w:tabs>
              <w:jc w:val="center"/>
              <w:rPr>
                <w:rFonts w:ascii="Arial" w:hAnsi="Arial" w:cs="Arial"/>
                <w:sz w:val="20"/>
                <w:szCs w:val="20"/>
              </w:rPr>
            </w:pPr>
            <w:r>
              <w:rPr>
                <w:rFonts w:ascii="Arial" w:hAnsi="Arial" w:cs="Arial"/>
                <w:sz w:val="20"/>
                <w:szCs w:val="20"/>
              </w:rPr>
              <w:t xml:space="preserve">0.95 (0.49, 1.86) </w:t>
            </w:r>
          </w:p>
          <w:p w14:paraId="473C43F1"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0.99 (0.51, 1.92)</w:t>
            </w:r>
          </w:p>
        </w:tc>
        <w:tc>
          <w:tcPr>
            <w:tcW w:w="3006" w:type="dxa"/>
            <w:tcBorders>
              <w:top w:val="nil"/>
              <w:left w:val="nil"/>
              <w:bottom w:val="single" w:sz="4" w:space="0" w:color="auto"/>
              <w:right w:val="nil"/>
            </w:tcBorders>
            <w:vAlign w:val="bottom"/>
            <w:hideMark/>
          </w:tcPr>
          <w:p w14:paraId="6E074DDD" w14:textId="77777777" w:rsidR="006C7872" w:rsidRDefault="006C7872">
            <w:pPr>
              <w:tabs>
                <w:tab w:val="left" w:pos="1725"/>
              </w:tabs>
              <w:jc w:val="center"/>
              <w:rPr>
                <w:rFonts w:ascii="Arial" w:hAnsi="Arial" w:cs="Arial"/>
                <w:sz w:val="20"/>
                <w:szCs w:val="20"/>
              </w:rPr>
            </w:pPr>
            <w:r>
              <w:rPr>
                <w:rFonts w:ascii="Arial" w:hAnsi="Arial" w:cs="Arial"/>
                <w:sz w:val="20"/>
                <w:szCs w:val="20"/>
              </w:rPr>
              <w:t>0.88 (0.54, 1.44)</w:t>
            </w:r>
          </w:p>
          <w:p w14:paraId="294304E8" w14:textId="77777777" w:rsidR="006C7872" w:rsidRDefault="006C7872">
            <w:pPr>
              <w:tabs>
                <w:tab w:val="left" w:pos="1725"/>
              </w:tabs>
              <w:jc w:val="center"/>
              <w:rPr>
                <w:rFonts w:ascii="Arial" w:hAnsi="Arial" w:cs="Arial"/>
                <w:sz w:val="20"/>
                <w:szCs w:val="20"/>
              </w:rPr>
            </w:pPr>
            <w:r>
              <w:rPr>
                <w:rFonts w:ascii="Arial" w:hAnsi="Arial" w:cs="Arial"/>
                <w:sz w:val="20"/>
                <w:szCs w:val="20"/>
              </w:rPr>
              <w:t>0.78 (0.43, 1.43)</w:t>
            </w:r>
          </w:p>
          <w:p w14:paraId="0B20083C" w14:textId="77777777" w:rsidR="006C7872" w:rsidRDefault="006C7872">
            <w:pPr>
              <w:tabs>
                <w:tab w:val="left" w:pos="1725"/>
              </w:tabs>
              <w:jc w:val="center"/>
              <w:rPr>
                <w:rFonts w:ascii="Arial" w:hAnsi="Arial" w:cs="Arial"/>
                <w:color w:val="4472C4" w:themeColor="accent1"/>
                <w:sz w:val="20"/>
                <w:szCs w:val="20"/>
              </w:rPr>
            </w:pPr>
            <w:r>
              <w:rPr>
                <w:rFonts w:ascii="Arial" w:hAnsi="Arial" w:cs="Arial"/>
                <w:sz w:val="20"/>
                <w:szCs w:val="20"/>
              </w:rPr>
              <w:t>0.86 (0.50, 1.47)</w:t>
            </w:r>
          </w:p>
        </w:tc>
      </w:tr>
    </w:tbl>
    <w:p w14:paraId="033610A6" w14:textId="77777777" w:rsidR="006C7872" w:rsidRDefault="006C7872" w:rsidP="006C7872">
      <w:pPr>
        <w:tabs>
          <w:tab w:val="left" w:pos="1725"/>
        </w:tabs>
        <w:rPr>
          <w:rFonts w:ascii="Arial" w:hAnsi="Arial" w:cs="Arial"/>
          <w:sz w:val="20"/>
          <w:szCs w:val="20"/>
        </w:rPr>
      </w:pPr>
      <w:r>
        <w:rPr>
          <w:rFonts w:ascii="Arial" w:hAnsi="Arial" w:cs="Arial"/>
          <w:sz w:val="20"/>
          <w:szCs w:val="20"/>
        </w:rPr>
        <w:lastRenderedPageBreak/>
        <w:t>*: p &lt; 0.05</w:t>
      </w:r>
    </w:p>
    <w:p w14:paraId="4C297371" w14:textId="77777777" w:rsidR="006C7872" w:rsidRDefault="006C7872" w:rsidP="006C7872">
      <w:pPr>
        <w:tabs>
          <w:tab w:val="left" w:pos="1725"/>
        </w:tabs>
        <w:rPr>
          <w:rFonts w:ascii="Arial" w:hAnsi="Arial" w:cs="Arial"/>
          <w:sz w:val="20"/>
          <w:szCs w:val="20"/>
        </w:rPr>
      </w:pPr>
      <w:r>
        <w:rPr>
          <w:rFonts w:ascii="Arial" w:hAnsi="Arial" w:cs="Arial"/>
          <w:sz w:val="20"/>
          <w:szCs w:val="20"/>
          <w:vertAlign w:val="superscript"/>
        </w:rPr>
        <w:t>1</w:t>
      </w:r>
      <w:r>
        <w:rPr>
          <w:rFonts w:ascii="Arial" w:hAnsi="Arial" w:cs="Arial"/>
          <w:sz w:val="20"/>
          <w:szCs w:val="20"/>
        </w:rPr>
        <w:t>OR: odds ratio; CI = confidence interval; p = value</w:t>
      </w:r>
    </w:p>
    <w:p w14:paraId="6D3E864D" w14:textId="77777777" w:rsidR="006C7872" w:rsidRDefault="006C7872" w:rsidP="006C7872">
      <w:pPr>
        <w:tabs>
          <w:tab w:val="left" w:pos="1725"/>
        </w:tabs>
        <w:rPr>
          <w:rFonts w:ascii="Arial" w:hAnsi="Arial" w:cs="Arial"/>
          <w:sz w:val="20"/>
          <w:szCs w:val="20"/>
        </w:rPr>
      </w:pPr>
      <w:r>
        <w:rPr>
          <w:rFonts w:ascii="Arial" w:hAnsi="Arial" w:cs="Arial"/>
          <w:sz w:val="20"/>
          <w:szCs w:val="20"/>
          <w:vertAlign w:val="superscript"/>
        </w:rPr>
        <w:t>2</w:t>
      </w:r>
      <w:r>
        <w:rPr>
          <w:rFonts w:ascii="Arial" w:hAnsi="Arial" w:cs="Arial"/>
          <w:sz w:val="20"/>
          <w:szCs w:val="20"/>
        </w:rPr>
        <w:t>Adjusted for age, gender, race/ethnicity, educational attainment, annual household income, ZIP-code level median household income, county-level population density, county-level annual air pollution, and county-level greenness</w:t>
      </w:r>
    </w:p>
    <w:p w14:paraId="12B3170F" w14:textId="77777777" w:rsidR="006C7872" w:rsidRDefault="006C7872" w:rsidP="006C7872">
      <w:pPr>
        <w:rPr>
          <w:rFonts w:ascii="Arial" w:hAnsi="Arial" w:cs="Arial"/>
          <w:sz w:val="20"/>
          <w:szCs w:val="20"/>
        </w:rPr>
      </w:pPr>
      <w:r>
        <w:rPr>
          <w:rFonts w:ascii="Arial" w:hAnsi="Arial" w:cs="Arial"/>
          <w:sz w:val="20"/>
          <w:szCs w:val="20"/>
          <w:vertAlign w:val="superscript"/>
        </w:rPr>
        <w:t>3</w:t>
      </w:r>
      <w:r>
        <w:rPr>
          <w:rFonts w:ascii="Arial" w:hAnsi="Arial" w:cs="Arial"/>
          <w:sz w:val="20"/>
          <w:szCs w:val="20"/>
        </w:rPr>
        <w:t>Primary models adjusted for race/ethnicity, annual household income, county-level population density, county-level annual air pollution, and county-level greenness. These values are also shown in Table 3 but are reproduced here for ease of comparison.</w:t>
      </w:r>
    </w:p>
    <w:p w14:paraId="7B886141" w14:textId="77777777" w:rsidR="006C7872" w:rsidRDefault="006C7872" w:rsidP="006C7872">
      <w:pPr>
        <w:rPr>
          <w:rFonts w:ascii="Arial" w:hAnsi="Arial" w:cs="Arial"/>
          <w:sz w:val="20"/>
          <w:szCs w:val="20"/>
        </w:rPr>
      </w:pPr>
      <w:r>
        <w:rPr>
          <w:rFonts w:ascii="Arial" w:hAnsi="Arial" w:cs="Arial"/>
          <w:sz w:val="20"/>
          <w:szCs w:val="20"/>
          <w:vertAlign w:val="superscript"/>
        </w:rPr>
        <w:t>4</w:t>
      </w:r>
      <w:r>
        <w:rPr>
          <w:rFonts w:ascii="Arial" w:hAnsi="Arial" w:cs="Arial"/>
          <w:sz w:val="20"/>
          <w:szCs w:val="20"/>
        </w:rPr>
        <w:t>Not applicable. No people with exposure and outcome.</w:t>
      </w:r>
    </w:p>
    <w:p w14:paraId="3A07ED67" w14:textId="77777777" w:rsidR="006C7872" w:rsidRDefault="006C7872" w:rsidP="006C7872">
      <w:pPr>
        <w:rPr>
          <w:rFonts w:ascii="Arial" w:hAnsi="Arial" w:cs="Arial"/>
          <w:sz w:val="20"/>
          <w:szCs w:val="20"/>
        </w:rPr>
      </w:pPr>
    </w:p>
    <w:p w14:paraId="5D2B6CBF" w14:textId="0298698E" w:rsidR="006C7872" w:rsidRDefault="006C7872" w:rsidP="006C7872">
      <w:pPr>
        <w:rPr>
          <w:rFonts w:ascii="Arial" w:hAnsi="Arial" w:cs="Arial"/>
          <w:sz w:val="20"/>
          <w:szCs w:val="20"/>
        </w:rPr>
      </w:pPr>
      <w:r>
        <w:rPr>
          <w:rFonts w:ascii="Arial" w:hAnsi="Arial" w:cs="Arial"/>
          <w:sz w:val="20"/>
          <w:szCs w:val="20"/>
        </w:rPr>
        <w:br w:type="page"/>
      </w:r>
    </w:p>
    <w:p w14:paraId="2C161C64" w14:textId="065B0B26" w:rsidR="00C82214" w:rsidRDefault="00C82214" w:rsidP="006C7872">
      <w:pPr>
        <w:rPr>
          <w:rFonts w:ascii="Arial" w:hAnsi="Arial" w:cs="Arial"/>
          <w:sz w:val="20"/>
          <w:szCs w:val="20"/>
        </w:rPr>
      </w:pPr>
      <w:r>
        <w:rPr>
          <w:noProof/>
        </w:rPr>
        <w:lastRenderedPageBreak/>
        <w:drawing>
          <wp:inline distT="0" distB="0" distL="0" distR="0" wp14:anchorId="7B5FB895" wp14:editId="22392C09">
            <wp:extent cx="8127365" cy="4838700"/>
            <wp:effectExtent l="0" t="0" r="6985" b="0"/>
            <wp:docPr id="1" name="Picture 1" descr="A picture containing diagram, line&#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A picture containing diagram, line&#10;&#10;Description automatically generated"/>
                    <pic:cNvPicPr/>
                  </pic:nvPicPr>
                  <pic:blipFill rotWithShape="1">
                    <a:blip r:embed="rId5">
                      <a:extLst>
                        <a:ext uri="{28A0092B-C50C-407E-A947-70E740481C1C}">
                          <a14:useLocalDpi xmlns:a14="http://schemas.microsoft.com/office/drawing/2010/main" val="0"/>
                        </a:ext>
                      </a:extLst>
                    </a:blip>
                    <a:srcRect t="2397" r="3685" b="40260"/>
                    <a:stretch/>
                  </pic:blipFill>
                  <pic:spPr bwMode="auto">
                    <a:xfrm>
                      <a:off x="0" y="0"/>
                      <a:ext cx="8127365" cy="4838700"/>
                    </a:xfrm>
                    <a:prstGeom prst="rect">
                      <a:avLst/>
                    </a:prstGeom>
                    <a:ln>
                      <a:noFill/>
                    </a:ln>
                    <a:extLst>
                      <a:ext uri="{53640926-AAD7-44D8-BBD7-CCE9431645EC}">
                        <a14:shadowObscured xmlns:a14="http://schemas.microsoft.com/office/drawing/2010/main"/>
                      </a:ext>
                    </a:extLst>
                  </pic:spPr>
                </pic:pic>
              </a:graphicData>
            </a:graphic>
          </wp:inline>
        </w:drawing>
      </w:r>
    </w:p>
    <w:p w14:paraId="6DC754EB" w14:textId="05F018BB" w:rsidR="00C82214" w:rsidRDefault="00C82214" w:rsidP="006C7872">
      <w:pPr>
        <w:rPr>
          <w:rFonts w:ascii="Arial" w:hAnsi="Arial" w:cs="Arial"/>
          <w:sz w:val="20"/>
          <w:szCs w:val="20"/>
        </w:rPr>
      </w:pPr>
    </w:p>
    <w:p w14:paraId="2C9672A2" w14:textId="77777777" w:rsidR="00C82214" w:rsidRDefault="00C82214" w:rsidP="00C82214">
      <w:pPr>
        <w:pStyle w:val="Caption"/>
        <w:rPr>
          <w:rFonts w:ascii="Arial" w:hAnsi="Arial" w:cs="Arial"/>
          <w:sz w:val="20"/>
          <w:szCs w:val="20"/>
        </w:rPr>
      </w:pPr>
      <w:r>
        <w:rPr>
          <w:rFonts w:ascii="Arial" w:hAnsi="Arial" w:cs="Arial"/>
          <w:b/>
          <w:bCs/>
          <w:i w:val="0"/>
          <w:iCs w:val="0"/>
          <w:color w:val="auto"/>
          <w:sz w:val="22"/>
          <w:szCs w:val="22"/>
        </w:rPr>
        <w:t>Supplemental Figure 1</w:t>
      </w:r>
      <w:r>
        <w:rPr>
          <w:rFonts w:ascii="Arial" w:hAnsi="Arial" w:cs="Arial"/>
          <w:i w:val="0"/>
          <w:iCs w:val="0"/>
          <w:color w:val="auto"/>
          <w:sz w:val="22"/>
          <w:szCs w:val="22"/>
        </w:rPr>
        <w:t xml:space="preserve">. Directed acyclic graph showing the conceptual model. </w:t>
      </w:r>
      <w:r>
        <w:rPr>
          <w:rFonts w:ascii="Arial" w:hAnsi="Arial" w:cs="Arial"/>
          <w:i w:val="0"/>
          <w:iCs w:val="0"/>
          <w:color w:val="auto"/>
          <w:sz w:val="22"/>
          <w:szCs w:val="22"/>
        </w:rPr>
        <w:br/>
        <w:t>“Housing conditions” and “household size” are the exposure variables (green box) and have causal paths (green arrows) to “COVID case” and “COVID vaccination” outcomes (blue box with a vertical rectangle). The pink arrows indicate biasing paths. The variables in pink circles are ancestors of both the exposure and outcome. To identify the minimal sufficient adjustment set, we used either exposure variable and allowed the other to remain as another node in the model.</w:t>
      </w:r>
    </w:p>
    <w:p w14:paraId="7E0CD638" w14:textId="4D4869AA" w:rsidR="00C82214" w:rsidRDefault="00C82214" w:rsidP="00C82214">
      <w:pPr>
        <w:pStyle w:val="ListParagraph"/>
        <w:numPr>
          <w:ilvl w:val="0"/>
          <w:numId w:val="1"/>
        </w:numPr>
        <w:tabs>
          <w:tab w:val="left" w:pos="1725"/>
        </w:tabs>
        <w:rPr>
          <w:rFonts w:ascii="Arial" w:hAnsi="Arial" w:cs="Arial"/>
          <w:b/>
          <w:bCs/>
          <w:sz w:val="20"/>
          <w:szCs w:val="20"/>
        </w:rPr>
      </w:pPr>
      <w:r>
        <w:rPr>
          <w:rFonts w:ascii="Arial" w:hAnsi="Arial" w:cs="Arial"/>
          <w:b/>
          <w:noProof/>
          <w:sz w:val="20"/>
          <w:szCs w:val="20"/>
        </w:rPr>
        <w:lastRenderedPageBreak/>
        <w:drawing>
          <wp:inline distT="0" distB="0" distL="0" distR="0" wp14:anchorId="145F3073" wp14:editId="6BD108B8">
            <wp:extent cx="5080000" cy="3409950"/>
            <wp:effectExtent l="0" t="0" r="6350" b="0"/>
            <wp:docPr id="3" name="Picture 3" descr="A picture containing text, screenshot, diagram,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text, screenshot, diagram, plo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l="15105" r="13541" b="4167"/>
                    <a:stretch>
                      <a:fillRect/>
                    </a:stretch>
                  </pic:blipFill>
                  <pic:spPr bwMode="auto">
                    <a:xfrm>
                      <a:off x="0" y="0"/>
                      <a:ext cx="5080000" cy="3409950"/>
                    </a:xfrm>
                    <a:prstGeom prst="rect">
                      <a:avLst/>
                    </a:prstGeom>
                    <a:noFill/>
                    <a:ln>
                      <a:noFill/>
                    </a:ln>
                  </pic:spPr>
                </pic:pic>
              </a:graphicData>
            </a:graphic>
          </wp:inline>
        </w:drawing>
      </w:r>
    </w:p>
    <w:p w14:paraId="4D83162F" w14:textId="3235B332" w:rsidR="00C82214" w:rsidRDefault="00C82214" w:rsidP="00C82214">
      <w:pPr>
        <w:pStyle w:val="ListParagraph"/>
        <w:numPr>
          <w:ilvl w:val="0"/>
          <w:numId w:val="1"/>
        </w:numPr>
        <w:tabs>
          <w:tab w:val="left" w:pos="1725"/>
        </w:tabs>
        <w:rPr>
          <w:rFonts w:ascii="Arial" w:hAnsi="Arial" w:cs="Arial"/>
          <w:b/>
          <w:bCs/>
          <w:sz w:val="20"/>
          <w:szCs w:val="20"/>
        </w:rPr>
      </w:pPr>
      <w:r>
        <w:rPr>
          <w:rFonts w:ascii="Arial" w:hAnsi="Arial" w:cs="Arial"/>
          <w:b/>
          <w:noProof/>
          <w:sz w:val="20"/>
          <w:szCs w:val="20"/>
        </w:rPr>
        <w:lastRenderedPageBreak/>
        <w:drawing>
          <wp:inline distT="0" distB="0" distL="0" distR="0" wp14:anchorId="22D26F84" wp14:editId="77B69316">
            <wp:extent cx="5581650" cy="3829050"/>
            <wp:effectExtent l="0" t="0" r="0" b="0"/>
            <wp:docPr id="2" name="Picture 2" descr="A picture containing text, screenshot, diagram,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picture containing text, screenshot, diagram, lin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l="13802" r="13281"/>
                    <a:stretch>
                      <a:fillRect/>
                    </a:stretch>
                  </pic:blipFill>
                  <pic:spPr bwMode="auto">
                    <a:xfrm>
                      <a:off x="0" y="0"/>
                      <a:ext cx="5581650" cy="3829050"/>
                    </a:xfrm>
                    <a:prstGeom prst="rect">
                      <a:avLst/>
                    </a:prstGeom>
                    <a:noFill/>
                    <a:ln>
                      <a:noFill/>
                    </a:ln>
                  </pic:spPr>
                </pic:pic>
              </a:graphicData>
            </a:graphic>
          </wp:inline>
        </w:drawing>
      </w:r>
    </w:p>
    <w:p w14:paraId="38F6DC05" w14:textId="77777777" w:rsidR="00C82214" w:rsidRDefault="00C82214" w:rsidP="00C82214">
      <w:pPr>
        <w:tabs>
          <w:tab w:val="left" w:pos="1725"/>
        </w:tabs>
        <w:ind w:left="360"/>
        <w:rPr>
          <w:rFonts w:ascii="Arial" w:hAnsi="Arial" w:cs="Arial"/>
          <w:b/>
          <w:bCs/>
          <w:sz w:val="20"/>
          <w:szCs w:val="20"/>
        </w:rPr>
      </w:pPr>
      <w:r>
        <w:rPr>
          <w:rFonts w:ascii="Arial" w:hAnsi="Arial" w:cs="Arial"/>
          <w:b/>
          <w:bCs/>
          <w:sz w:val="20"/>
          <w:szCs w:val="20"/>
        </w:rPr>
        <w:t xml:space="preserve">Supplemental Figure 2. Unweighted tetrachoric correlations among select self-reported household exposures in the Tufts Equity in Health, Wealth, and Civic Engagement Study for 2021 (a) and 2022 (b). </w:t>
      </w:r>
      <w:r>
        <w:rPr>
          <w:rFonts w:ascii="Arial" w:hAnsi="Arial" w:cs="Arial"/>
          <w:sz w:val="20"/>
          <w:szCs w:val="20"/>
        </w:rPr>
        <w:t>** p &lt; 0.01; * p &lt; 0.05</w:t>
      </w:r>
    </w:p>
    <w:p w14:paraId="71638893" w14:textId="77777777" w:rsidR="00C82214" w:rsidRDefault="00C82214" w:rsidP="00C82214">
      <w:pPr>
        <w:tabs>
          <w:tab w:val="left" w:pos="1725"/>
        </w:tabs>
        <w:ind w:left="360"/>
        <w:rPr>
          <w:rFonts w:ascii="Arial" w:hAnsi="Arial" w:cs="Arial"/>
          <w:b/>
          <w:bCs/>
          <w:sz w:val="20"/>
          <w:szCs w:val="20"/>
        </w:rPr>
      </w:pPr>
    </w:p>
    <w:p w14:paraId="127B6AAA" w14:textId="77777777" w:rsidR="00C82214" w:rsidRDefault="00C82214" w:rsidP="00C82214">
      <w:pPr>
        <w:rPr>
          <w:rFonts w:ascii="Arial" w:hAnsi="Arial" w:cs="Arial"/>
          <w:b/>
          <w:bCs/>
          <w:sz w:val="20"/>
          <w:szCs w:val="20"/>
        </w:rPr>
      </w:pPr>
    </w:p>
    <w:p w14:paraId="4D6EDA92" w14:textId="77777777" w:rsidR="00C82214" w:rsidRDefault="00C82214" w:rsidP="00C82214">
      <w:pPr>
        <w:rPr>
          <w:rFonts w:ascii="Arial" w:hAnsi="Arial" w:cs="Arial"/>
          <w:b/>
          <w:bCs/>
          <w:sz w:val="22"/>
          <w:szCs w:val="22"/>
        </w:rPr>
      </w:pPr>
      <w:r>
        <w:rPr>
          <w:rFonts w:ascii="Arial" w:hAnsi="Arial" w:cs="Arial"/>
          <w:b/>
          <w:bCs/>
          <w:sz w:val="22"/>
          <w:szCs w:val="22"/>
        </w:rPr>
        <w:t xml:space="preserve">Supplementary Text </w:t>
      </w:r>
    </w:p>
    <w:p w14:paraId="30C3EBAE" w14:textId="77777777" w:rsidR="00C82214" w:rsidRDefault="00C82214" w:rsidP="00C82214">
      <w:pPr>
        <w:rPr>
          <w:rFonts w:ascii="Arial" w:hAnsi="Arial" w:cs="Arial"/>
          <w:sz w:val="22"/>
          <w:szCs w:val="22"/>
        </w:rPr>
      </w:pPr>
    </w:p>
    <w:p w14:paraId="6735477A" w14:textId="77777777" w:rsidR="00C82214" w:rsidRDefault="00C82214" w:rsidP="00C82214">
      <w:pPr>
        <w:rPr>
          <w:rFonts w:ascii="Arial" w:hAnsi="Arial" w:cs="Arial"/>
          <w:sz w:val="22"/>
          <w:szCs w:val="22"/>
        </w:rPr>
      </w:pPr>
      <w:r>
        <w:rPr>
          <w:rFonts w:ascii="Arial" w:hAnsi="Arial" w:cs="Arial"/>
          <w:sz w:val="22"/>
          <w:szCs w:val="22"/>
        </w:rPr>
        <w:t>We identified 13 target variables (age, gender, race/ethnicity, educational attainment, individual income, community-level median household income, population density, particulate matter (PM</w:t>
      </w:r>
      <w:r>
        <w:rPr>
          <w:rFonts w:ascii="Arial" w:hAnsi="Arial" w:cs="Arial"/>
          <w:sz w:val="22"/>
          <w:szCs w:val="22"/>
          <w:vertAlign w:val="subscript"/>
        </w:rPr>
        <w:t>2.5</w:t>
      </w:r>
      <w:r>
        <w:rPr>
          <w:rFonts w:ascii="Arial" w:hAnsi="Arial" w:cs="Arial"/>
          <w:sz w:val="22"/>
          <w:szCs w:val="22"/>
        </w:rPr>
        <w:t>), greenness, region/state, having COVID-19 comorbidities, occupation, and political affiliation) that possibly confound the relationship between exposures (household size or housing conditions) and outcomes (COVID-19 diagnosis or vaccination). We searched the literature for associations between the target variables and the exposure or outcome variables. This was done using a Google Scholar search with the following terms: “Effect of/association between/relationship between” [Variable A] and [Variable B]; or “how does [Variable A] affect [Variable B]”. Additional literature was also found in the references of identified articles.</w:t>
      </w:r>
    </w:p>
    <w:p w14:paraId="0204084A" w14:textId="77777777" w:rsidR="00C82214" w:rsidRDefault="00C82214" w:rsidP="00C82214">
      <w:pPr>
        <w:rPr>
          <w:rFonts w:ascii="Arial" w:hAnsi="Arial" w:cs="Arial"/>
          <w:sz w:val="22"/>
          <w:szCs w:val="22"/>
        </w:rPr>
      </w:pPr>
    </w:p>
    <w:p w14:paraId="6FBEA0BF" w14:textId="77777777" w:rsidR="00C82214" w:rsidRDefault="00C82214" w:rsidP="00C82214">
      <w:pPr>
        <w:rPr>
          <w:rFonts w:ascii="Arial" w:hAnsi="Arial" w:cs="Arial"/>
          <w:i/>
          <w:iCs/>
          <w:sz w:val="22"/>
          <w:szCs w:val="22"/>
          <w:u w:val="single"/>
        </w:rPr>
      </w:pPr>
      <w:r>
        <w:rPr>
          <w:rFonts w:ascii="Arial" w:hAnsi="Arial" w:cs="Arial"/>
          <w:i/>
          <w:iCs/>
          <w:sz w:val="22"/>
          <w:szCs w:val="22"/>
          <w:u w:val="single"/>
        </w:rPr>
        <w:t>Literature supporting our conceptual model</w:t>
      </w:r>
    </w:p>
    <w:p w14:paraId="7F29C37C" w14:textId="77777777" w:rsidR="00C82214" w:rsidRDefault="00C82214" w:rsidP="00C82214">
      <w:pPr>
        <w:rPr>
          <w:rFonts w:ascii="Arial" w:hAnsi="Arial" w:cs="Arial"/>
          <w:i/>
          <w:iCs/>
          <w:sz w:val="22"/>
          <w:szCs w:val="22"/>
        </w:rPr>
      </w:pPr>
    </w:p>
    <w:p w14:paraId="003D65CF"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Age is associated with…</w:t>
      </w:r>
    </w:p>
    <w:p w14:paraId="4E77701E"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Income </w:t>
      </w:r>
      <w:r>
        <w:rPr>
          <w:rFonts w:ascii="Arial" w:hAnsi="Arial" w:cs="Arial"/>
          <w:sz w:val="22"/>
          <w:szCs w:val="22"/>
        </w:rPr>
        <w:fldChar w:fldCharType="begin"/>
      </w:r>
      <w:r>
        <w:rPr>
          <w:rFonts w:ascii="Arial" w:hAnsi="Arial" w:cs="Arial"/>
          <w:sz w:val="22"/>
          <w:szCs w:val="22"/>
        </w:rPr>
        <w:instrText xml:space="preserve"> ADDIN ZOTERO_ITEM CSL_CITATION {"citationID":"Dc9i6nz4","properties":{"formattedCitation":"[46]","plainCitation":"[46]","noteIndex":0},"citationItems":[{"id":"EETchYnv/0yGwqdp1","uris":["http://zotero.org/users/5542045/items/6YX3Q7NV",["http://zotero.org/users/5542045/items/6YX3Q7NV"]],"itemData":{"id":514,"type":"webpage","language":"en-us","title":"Education Pays 2013 — The Benefits of Higher Education for Individuals and Society","URL":"http://www.rilin.state.ri.us/Special/ses15/commdocs/Education%20Pays,%20The%20College%20Board.pdf","author":[{"family":"Baum","given":"Sandy"},{"family":"Ma","given":"Jennifer"},{"family":"Payea","given":"Kathleen"}]}}],"schema":"https://github.com/citation-style-language/schema/raw/master/csl-citation.json"} </w:instrText>
      </w:r>
      <w:r>
        <w:rPr>
          <w:rFonts w:ascii="Arial" w:hAnsi="Arial" w:cs="Arial"/>
          <w:sz w:val="22"/>
          <w:szCs w:val="22"/>
        </w:rPr>
        <w:fldChar w:fldCharType="separate"/>
      </w:r>
      <w:r>
        <w:rPr>
          <w:rFonts w:ascii="Arial" w:hAnsi="Arial" w:cs="Arial"/>
          <w:sz w:val="22"/>
        </w:rPr>
        <w:t>[46]</w:t>
      </w:r>
      <w:r>
        <w:rPr>
          <w:rFonts w:ascii="Arial" w:hAnsi="Arial" w:cs="Arial"/>
          <w:sz w:val="22"/>
          <w:szCs w:val="22"/>
        </w:rPr>
        <w:fldChar w:fldCharType="end"/>
      </w:r>
    </w:p>
    <w:p w14:paraId="57151866"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PM</w:t>
      </w:r>
      <w:r>
        <w:rPr>
          <w:rFonts w:ascii="Arial" w:hAnsi="Arial" w:cs="Arial"/>
          <w:sz w:val="22"/>
          <w:szCs w:val="22"/>
          <w:vertAlign w:val="subscript"/>
        </w:rPr>
        <w:t>2.5</w:t>
      </w:r>
      <w:r>
        <w:rPr>
          <w:rFonts w:ascii="Arial" w:hAnsi="Arial" w:cs="Arial"/>
          <w:sz w:val="22"/>
          <w:szCs w:val="22"/>
        </w:rPr>
        <w:t xml:space="preserve"> exposure </w:t>
      </w:r>
      <w:r>
        <w:rPr>
          <w:rFonts w:ascii="Arial" w:hAnsi="Arial" w:cs="Arial"/>
          <w:sz w:val="22"/>
          <w:szCs w:val="22"/>
        </w:rPr>
        <w:fldChar w:fldCharType="begin"/>
      </w:r>
      <w:r>
        <w:rPr>
          <w:rFonts w:ascii="Arial" w:hAnsi="Arial" w:cs="Arial"/>
          <w:sz w:val="22"/>
          <w:szCs w:val="22"/>
        </w:rPr>
        <w:instrText xml:space="preserve"> ADDIN ZOTERO_ITEM CSL_CITATION {"citationID":"awv5La07","properties":{"formattedCitation":"[47]","plainCitation":"[47]","noteIndex":0},"citationItems":[{"id":"EETchYnv/WOUJK7vB","uris":["http://zotero.org/users/5542045/items/TKV7SNUJ",["http://zotero.org/users/5542045/items/TKV7SNUJ"]],"itemData":{"id":610,"type":"article-journal","abstract":"The shape of the exposure-response curve for long-term ambient fine particulate (PM2.5) exposure and cause-specific mortality is poorly understood, especially for rural populations and underrepresented minorities.","container-title":"Environmental Health","DOI":"10.1186/s12940-020-00575-0","ISSN":"1476-069X","issue":"1","journalAbbreviation":"Environmental Health","page":"20","source":"BioMed Central","title":"The impact of long-term PM2.5 exposure on specific causes of death: exposure-response curves and effect modification among 53 million U.S. Medicare beneficiaries","title-short":"The impact of long-term PM2.5 exposure on specific causes of death","volume":"19","author":[{"family":"Wang","given":"Bingyu"},{"family":"Eum","given":"Ki-Do"},{"family":"Kazemiparkouhi","given":"Fatemeh"},{"family":"Li","given":"Cheng"},{"family":"Manjourides","given":"Justin"},{"family":"Pavlu","given":"Virgil"},{"family":"Suh","given":"Helen"}],"issued":{"date-parts":[["2020",2,17]]}}}],"schema":"https://github.com/citation-style-language/schema/raw/master/csl-citation.json"} </w:instrText>
      </w:r>
      <w:r>
        <w:rPr>
          <w:rFonts w:ascii="Arial" w:hAnsi="Arial" w:cs="Arial"/>
          <w:sz w:val="22"/>
          <w:szCs w:val="22"/>
        </w:rPr>
        <w:fldChar w:fldCharType="separate"/>
      </w:r>
      <w:r>
        <w:rPr>
          <w:rFonts w:ascii="Arial" w:hAnsi="Arial" w:cs="Arial"/>
          <w:sz w:val="22"/>
        </w:rPr>
        <w:t>[47]</w:t>
      </w:r>
      <w:r>
        <w:rPr>
          <w:rFonts w:ascii="Arial" w:hAnsi="Arial" w:cs="Arial"/>
          <w:sz w:val="22"/>
          <w:szCs w:val="22"/>
        </w:rPr>
        <w:fldChar w:fldCharType="end"/>
      </w:r>
    </w:p>
    <w:p w14:paraId="5F55DFB0"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comorbidities </w:t>
      </w:r>
      <w:r>
        <w:rPr>
          <w:rFonts w:ascii="Arial" w:hAnsi="Arial" w:cs="Arial"/>
          <w:sz w:val="22"/>
          <w:szCs w:val="22"/>
        </w:rPr>
        <w:fldChar w:fldCharType="begin"/>
      </w:r>
      <w:r>
        <w:rPr>
          <w:rFonts w:ascii="Arial" w:hAnsi="Arial" w:cs="Arial"/>
          <w:sz w:val="22"/>
          <w:szCs w:val="22"/>
        </w:rPr>
        <w:instrText xml:space="preserve"> ADDIN ZOTERO_ITEM CSL_CITATION {"citationID":"HmRy057E","properties":{"formattedCitation":"[48]","plainCitation":"[48]","noteIndex":0},"citationItems":[{"id":"EETchYnv/Jgf1l6uc","uris":["http://zotero.org/users/5542045/items/CK6SATIY",["http://zotero.org/users/5542045/items/CK6SATIY"]],"itemData":{"id":521,"type":"article-journal","abstract":"We evaluate in this study the factors associated with the effect of age on blood pressure in more than 4800 patients. Their physicians referred them to evaluate for secondary causes for their hypertension. Factors studied included history and physical examination, serum sodium, potassium and creatinine, a stimulated plasma renin and catecholamine. We also studied the blood pressure response to infusion of either saralasin (an angiotensin II analogue) or enalapril (an angiotensin converting enzyme inhibitor), and plasma aldosterone and cortisol after infusion of saline. We measured serum thyroxin and thyroid stimulating hormone concentrations on 1061 consecutive patients in this series. The results of our study show that increased age is associated with a significant increase in the prevalence of hypertension and especially of systolic hypertension after age 60 years. Increased obesity between age 30-50 years is associated with significant increases in diastolic blood pressure and this trend is also seen in African-Americans who are heavier than whites. Increased age is associated with an increased prevalence of secondary forms of hypertension including atherosclerotic renovascular hypertension, renal insufficiency and primary hypothyroidism.","container-title":"Saudi Journal of Kidney Diseases and Transplantation","ISSN":"1319-2442","issue":"3","language":"en","note":"publisher: Medknow Publications\nPMID: 18212439","page":"286","source":"www.sjkdt.org","title":"Effect of Age on Hypertension: Analysis of Over 4,800 Referred Hypertensive Patients","title-short":"Effect of Age on Hypertension","volume":"10","author":[{"family":"Anderson","given":"Gunnar H."}],"issued":{"date-parts":[["1999",7,1]]}}}],"schema":"https://github.com/citation-style-language/schema/raw/master/csl-citation.json"} </w:instrText>
      </w:r>
      <w:r>
        <w:rPr>
          <w:rFonts w:ascii="Arial" w:hAnsi="Arial" w:cs="Arial"/>
          <w:sz w:val="22"/>
          <w:szCs w:val="22"/>
        </w:rPr>
        <w:fldChar w:fldCharType="separate"/>
      </w:r>
      <w:r>
        <w:rPr>
          <w:rFonts w:ascii="Arial" w:hAnsi="Arial" w:cs="Arial"/>
          <w:sz w:val="22"/>
        </w:rPr>
        <w:t>[48]</w:t>
      </w:r>
      <w:r>
        <w:rPr>
          <w:rFonts w:ascii="Arial" w:hAnsi="Arial" w:cs="Arial"/>
          <w:sz w:val="22"/>
          <w:szCs w:val="22"/>
        </w:rPr>
        <w:fldChar w:fldCharType="end"/>
      </w:r>
    </w:p>
    <w:p w14:paraId="7C734C95"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Occupation </w:t>
      </w:r>
      <w:r>
        <w:rPr>
          <w:rFonts w:ascii="Arial" w:hAnsi="Arial" w:cs="Arial"/>
          <w:sz w:val="22"/>
          <w:szCs w:val="22"/>
        </w:rPr>
        <w:fldChar w:fldCharType="begin"/>
      </w:r>
      <w:r>
        <w:rPr>
          <w:rFonts w:ascii="Arial" w:hAnsi="Arial" w:cs="Arial"/>
          <w:sz w:val="22"/>
          <w:szCs w:val="22"/>
        </w:rPr>
        <w:instrText xml:space="preserve"> ADDIN ZOTERO_ITEM CSL_CITATION {"citationID":"SfpVX9l3","properties":{"formattedCitation":"[49]","plainCitation":"[49]","noteIndex":0},"citationItems":[{"id":"EETchYnv/UnSzHYuK","uris":["http://zotero.org/users/5542045/items/BAXK62IS",["http://zotero.org/users/5542045/items/BAXK62IS"]],"itemData":{"id":594,"type":"article-journal","abstract":"BACKGROUND: Physical job demands (PJD), age, disability and lifestyle may influence the risk of occupational injury.\nAIM: To assess the relationships between PJD, lifestyle and injury in workers of various ages.\nMETHODS: A total of 2888 randomly selected workers from northeastern France, aged &gt;or=15, completed a postal questionnaire. The PJD score was defined as the total number of the following reported job demands: using pneumatic tools, other vibrating hand tools, hammers, machine tools or vibrating platforms and exposure to manual handling tasks, awkward postures, high pace of work, high physical workload, work at heights, work in adverse climates or exposure to noise, cold or heat. Data were analysed using logistic regression.\nRESULTS: Nine per cent of subjects reported an injury during the previous 2 years. The PJD score was related to the injury rate for workers aged &gt;or=45: crude odds ratio (OR) 3.5 (95% confidence interval = 1.5-8.0) for PJD = 1, 5.0 (2.2-11.3) for PJD = 2-3 and 14.5 (6.5-32.2) for PJD &gt;or=4, versus PJD = 0. Lower ORs were found for those aged &lt;30 (1.4, 4.2 and 9.9, respectively) and 30-44 (1.5, 4.4 and 6.5, respectively). The differences between age groups remained when controlling for all factors studied. Obesity, smoking and musculoskeletal disorders were associated with injury risk in workers aged &gt;or=45 (adjusted ORs 1.7-2.6). Smoking was also an injury risk factor for workers aged &lt;30.\nCONCLUSIONS: PJD and lifestyle have a higher impact on injury rates among older workers than among younger ones. Injury prevention should address reducing PJD and improving relevant lifestyle factors, especially for older workers.","container-title":"Occupational Medicine (Oxford, England)","DOI":"10.1093/occmed/kqp002","ISSN":"1471-8405","issue":"2","journalAbbreviation":"Occup Med (Lond)","language":"eng","note":"PMID: 19233831","page":"114-119","source":"PubMed","title":"Relationship between job, lifestyle, age and occupational injuries","volume":"59","author":[{"family":"Chau","given":"N."},{"family":"Bhattacherjee","given":"A."},{"family":"Kunar","given":"B. M."},{"literal":"Lorhandicap Group"}],"issued":{"date-parts":[["2009",3]]}}}],"schema":"https://github.com/citation-style-language/schema/raw/master/csl-citation.json"} </w:instrText>
      </w:r>
      <w:r>
        <w:rPr>
          <w:rFonts w:ascii="Arial" w:hAnsi="Arial" w:cs="Arial"/>
          <w:sz w:val="22"/>
          <w:szCs w:val="22"/>
        </w:rPr>
        <w:fldChar w:fldCharType="separate"/>
      </w:r>
      <w:r>
        <w:rPr>
          <w:rFonts w:ascii="Arial" w:hAnsi="Arial" w:cs="Arial"/>
          <w:sz w:val="22"/>
        </w:rPr>
        <w:t>[49]</w:t>
      </w:r>
      <w:r>
        <w:rPr>
          <w:rFonts w:ascii="Arial" w:hAnsi="Arial" w:cs="Arial"/>
          <w:sz w:val="22"/>
          <w:szCs w:val="22"/>
        </w:rPr>
        <w:fldChar w:fldCharType="end"/>
      </w:r>
    </w:p>
    <w:p w14:paraId="6E4DF4AD"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Political affiliation </w:t>
      </w:r>
      <w:r>
        <w:rPr>
          <w:rFonts w:ascii="Arial" w:hAnsi="Arial" w:cs="Arial"/>
          <w:sz w:val="22"/>
          <w:szCs w:val="22"/>
        </w:rPr>
        <w:fldChar w:fldCharType="begin"/>
      </w:r>
      <w:r>
        <w:rPr>
          <w:rFonts w:ascii="Arial" w:hAnsi="Arial" w:cs="Arial"/>
          <w:sz w:val="22"/>
          <w:szCs w:val="22"/>
        </w:rPr>
        <w:instrText xml:space="preserve"> ADDIN ZOTERO_ITEM CSL_CITATION {"citationID":"U6mCqrnM","properties":{"formattedCitation":"[50]","plainCitation":"[50]","noteIndex":0},"citationItems":[{"id":"EETchYnv/D0XB3UCw","uris":["http://zotero.org/users/5542045/items/ZSE65TUC",["http://zotero.org/users/5542045/items/ZSE65TUC"]],"itemData":{"id":593,"type":"article-journal","container-title":"SSRN Electronic Journal","DOI":"10.2139/ssrn.3501174","ISSN":"1556-5068","journalAbbreviation":"SSRN Journal","language":"en","source":"DOI.org (Crossref)","title":"Political Ideology over the Life Course","URL":"https://www.ssrn.com/abstract=3501174","author":[{"family":"Peltzman","given":"Sam"}],"accessed":{"date-parts":[["2021",7,16]]},"issued":{"date-parts":[["2019"]]}}}],"schema":"https://github.com/citation-style-language/schema/raw/master/csl-citation.json"} </w:instrText>
      </w:r>
      <w:r>
        <w:rPr>
          <w:rFonts w:ascii="Arial" w:hAnsi="Arial" w:cs="Arial"/>
          <w:sz w:val="22"/>
          <w:szCs w:val="22"/>
        </w:rPr>
        <w:fldChar w:fldCharType="separate"/>
      </w:r>
      <w:r>
        <w:rPr>
          <w:rFonts w:ascii="Arial" w:hAnsi="Arial" w:cs="Arial"/>
          <w:sz w:val="22"/>
        </w:rPr>
        <w:t>[50]</w:t>
      </w:r>
      <w:r>
        <w:rPr>
          <w:rFonts w:ascii="Arial" w:hAnsi="Arial" w:cs="Arial"/>
          <w:sz w:val="22"/>
          <w:szCs w:val="22"/>
        </w:rPr>
        <w:fldChar w:fldCharType="end"/>
      </w:r>
    </w:p>
    <w:p w14:paraId="3FB07720"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Household size </w:t>
      </w:r>
      <w:r>
        <w:rPr>
          <w:rFonts w:ascii="Arial" w:hAnsi="Arial" w:cs="Arial"/>
          <w:sz w:val="22"/>
          <w:szCs w:val="22"/>
        </w:rPr>
        <w:fldChar w:fldCharType="begin"/>
      </w:r>
      <w:r>
        <w:rPr>
          <w:rFonts w:ascii="Arial" w:hAnsi="Arial" w:cs="Arial"/>
          <w:sz w:val="22"/>
          <w:szCs w:val="22"/>
        </w:rPr>
        <w:instrText xml:space="preserve"> ADDIN ZOTERO_ITEM CSL_CITATION {"citationID":"cnVPiKwy","properties":{"formattedCitation":"[51]","plainCitation":"[51]","noteIndex":0},"citationItems":[{"id":"EETchYnv/vczr7h09","uris":["http://zotero.org/users/5542045/items/ADDDI792",["http://zotero.org/users/5542045/items/ADDDI792"]],"itemData":{"id":605,"type":"article-journal","container-title":"Population Reference Bureau","issue":"1","title":"America's Changing Popualtion: What to Expect in the 2020 Census","URL":"https://www.prb.org/wp-content/uploads/2020/10/2019-74-1-Pop-Bulletin-Census.pdf","volume":"74","author":[{"family":"Mather","given":"Mark"},{"family":"Jacobsen","given":"Linda"},{"family":"Jarosz","given":"Beth"},{"family":"Kilduff","given":"Lillian"},{"family":"Lee","given":"Amanda"},{"family":"Pollard","given":"Kelvin"},{"family":"Scommegna","given":"Paola"},{"family":"Vanorman","given":"Alicia"}],"accessed":{"date-parts":[["2021",7,20]]}}}],"schema":"https://github.com/citation-style-language/schema/raw/master/csl-citation.json"} </w:instrText>
      </w:r>
      <w:r>
        <w:rPr>
          <w:rFonts w:ascii="Arial" w:hAnsi="Arial" w:cs="Arial"/>
          <w:sz w:val="22"/>
          <w:szCs w:val="22"/>
        </w:rPr>
        <w:fldChar w:fldCharType="separate"/>
      </w:r>
      <w:r>
        <w:rPr>
          <w:rFonts w:ascii="Arial" w:hAnsi="Arial" w:cs="Arial"/>
          <w:sz w:val="22"/>
        </w:rPr>
        <w:t>[51]</w:t>
      </w:r>
      <w:r>
        <w:rPr>
          <w:rFonts w:ascii="Arial" w:hAnsi="Arial" w:cs="Arial"/>
          <w:sz w:val="22"/>
          <w:szCs w:val="22"/>
        </w:rPr>
        <w:fldChar w:fldCharType="end"/>
      </w:r>
    </w:p>
    <w:p w14:paraId="6FD6DE37"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cases </w:t>
      </w:r>
      <w:r>
        <w:rPr>
          <w:rFonts w:ascii="Arial" w:hAnsi="Arial" w:cs="Arial"/>
          <w:sz w:val="22"/>
          <w:szCs w:val="22"/>
        </w:rPr>
        <w:fldChar w:fldCharType="begin"/>
      </w:r>
      <w:r>
        <w:rPr>
          <w:rFonts w:ascii="Arial" w:hAnsi="Arial" w:cs="Arial"/>
          <w:sz w:val="22"/>
          <w:szCs w:val="22"/>
        </w:rPr>
        <w:instrText xml:space="preserve"> ADDIN ZOTERO_ITEM CSL_CITATION {"citationID":"0gG1Pj94","properties":{"formattedCitation":"[52]","plainCitation":"[52]","noteIndex":0},"citationItems":[{"id":"EETchYnv/1gIcz7Vh","uris":["http://zotero.org/users/5542045/items/2RVK9UGL",["http://zotero.org/users/5542045/items/2RVK9UGL"]],"itemData":{"id":456,"type":"article-journal","abstract":"&lt;p&gt;Many competing criteria are under consideration for prioritizing COVID-19 vaccination. Two criteria based on age are demographic: lives saved and years of future life saved. Vaccinating the very old against COVID-19 saves the most lives, but, since older age is accompanied by falling life expectancy, it is widely supposed that these two goals are in conflict. We show this to be mistaken. The age patterns of COVID-19 mortality are such that vaccinating the oldest first saves the most lives and, surprisingly, also maximizes years of remaining life expectancy. We demonstrate this relationship empirically in the United States, Germany, and South Korea and with mathematical analysis of life tables. Our age-risk results, under usual conditions, also apply to health risks.&lt;/p&gt;","container-title":"Proceedings of the National Academy of Sciences","DOI":"10.1073/pnas.2026322118","ISSN":"0027-8424, 1091-6490","issue":"11","journalAbbreviation":"PNAS","language":"en","license":"Copyright © 2021 the Author(s). Published by PNAS.. https://creativecommons.org/licenses/by-nc-nd/4.0/This open access article is distributed under Creative Commons Attribution-NonCommercial-NoDerivatives License 4.0 (CC BY-NC-ND).","note":"publisher: National Academy of Sciences\nsection: Social Sciences\nPMID: 33632802","source":"www.pnas.org","title":"Vaccinating the oldest against COVID-19 saves both the most lives and most years of life","URL":"https://www.pnas.org/content/118/11/e2026322118","volume":"118","author":[{"family":"Goldstein","given":"Joshua R."},{"family":"Cassidy","given":"Thomas"},{"family":"Wachter","given":"Kenneth W."}],"accessed":{"date-parts":[["2021",7,7]]},"issued":{"date-parts":[["2021",3,16]]}}}],"schema":"https://github.com/citation-style-language/schema/raw/master/csl-citation.json"} </w:instrText>
      </w:r>
      <w:r>
        <w:rPr>
          <w:rFonts w:ascii="Arial" w:hAnsi="Arial" w:cs="Arial"/>
          <w:sz w:val="22"/>
          <w:szCs w:val="22"/>
        </w:rPr>
        <w:fldChar w:fldCharType="separate"/>
      </w:r>
      <w:r>
        <w:rPr>
          <w:rFonts w:ascii="Arial" w:hAnsi="Arial" w:cs="Arial"/>
          <w:sz w:val="22"/>
        </w:rPr>
        <w:t>[52]</w:t>
      </w:r>
      <w:r>
        <w:rPr>
          <w:rFonts w:ascii="Arial" w:hAnsi="Arial" w:cs="Arial"/>
          <w:sz w:val="22"/>
          <w:szCs w:val="22"/>
        </w:rPr>
        <w:fldChar w:fldCharType="end"/>
      </w:r>
    </w:p>
    <w:p w14:paraId="2117CAC9"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vaccination </w:t>
      </w:r>
      <w:r>
        <w:rPr>
          <w:rFonts w:ascii="Arial" w:hAnsi="Arial" w:cs="Arial"/>
          <w:sz w:val="22"/>
          <w:szCs w:val="22"/>
        </w:rPr>
        <w:fldChar w:fldCharType="begin"/>
      </w:r>
      <w:r>
        <w:rPr>
          <w:rFonts w:ascii="Arial" w:hAnsi="Arial" w:cs="Arial"/>
          <w:sz w:val="22"/>
          <w:szCs w:val="22"/>
        </w:rPr>
        <w:instrText xml:space="preserve"> ADDIN ZOTERO_ITEM CSL_CITATION {"citationID":"MPo8BuSi","properties":{"formattedCitation":"[53]","plainCitation":"[53]","noteIndex":0},"citationItems":[{"id":"EETchYnv/PPEcG259","uris":["http://zotero.org/users/5542045/items/LB6TPMKA",["http://zotero.org/users/5542045/items/LB6TPMKA"]],"itemData":{"id":573,"type":"article-journal","abstract":"Given the results from early trials, COVID-19 vaccines will be available by 2021. However, little is known about what Americans think of getting immunized with a COVID-19 vaccine. Thus, the purpose of this study was to conduct a comprehensive and systematic national assessment of COVID-19 vaccine hesitancy in a community-based sample of the American adult population. A multi</w:instrText>
      </w:r>
      <w:r>
        <w:rPr>
          <w:rFonts w:ascii="Cambria Math" w:hAnsi="Cambria Math" w:cs="Cambria Math"/>
          <w:sz w:val="22"/>
          <w:szCs w:val="22"/>
        </w:rPr>
        <w:instrText>‐</w:instrText>
      </w:r>
      <w:r>
        <w:rPr>
          <w:rFonts w:ascii="Arial" w:hAnsi="Arial" w:cs="Arial"/>
          <w:sz w:val="22"/>
          <w:szCs w:val="22"/>
        </w:rPr>
        <w:instrText xml:space="preserve">item valid and reliable questionnaire was deployed online via mTurk and social media sites to recruit U.S. adults from the general population. A total of 1878 individuals participated in the study where the majority were: females (52%), Whites (74%), non-Hispanic (81%), married (56%), employed full time (68%), and with a bachelor’s degree or higher (77%). The likelihood of getting a COVID-19 immunization in the study population was: very likely (52%), somewhat likely (27%), not likely (15%), definitely not (7%), with individuals who had lower education, income, or perceived threat of getting infected being more likely to report that they were not likely/definitely not going to get COVID-19 vaccine (i.e., vaccine hesitancy). In unadjusted group comparisons, compared to their counterparts, vaccine hesitancy was higher among African-Americans (34%), Hispanics (29%), those who had children at home (25%), rural dwellers (29%), people in the northeastern U.S. (25%), and those who identified as Republicans (29%). In multiple regression analyses, vaccine hesitancy was predicted significantly by sex, education, employment, income, having children at home, political affiliation, and the perceived threat of getting infected with COVID-19 in the next 1 year. Given the high prevalence of COVID-19 vaccine hesitancy, evidence-based communication, mass media strategies, and policy measures will have to be implemented across the U.S. to convert vaccines into vaccinations and mass immunization with special attention to the groups identified in this study.","container-title":"Journal of Community Health","DOI":"10.1007/s10900-020-00958-x","ISSN":"1573-3610","issue":"2","journalAbbreviation":"J Community Health","language":"en","license":"2021 The Author(s), under exclusive licence to Springer Science+Business Media, LLC part of Springer Nature","note":"Company: Springer\nDistributor: Springer\nInstitution: Springer\nLabel: Springer\nnumber: 2\npublisher: Springer US","page":"270-277","source":"link.springer.com","title":"COVID-19 Vaccination Hesitancy in the United States: A Rapid National Assessment","title-short":"COVID-19 Vaccination Hesitancy in the United States","volume":"46","author":[{"family":"Khubchandani","given":"Jagdish"},{"family":"Sharma","given":"Sushil"},{"family":"Price","given":"James H."},{"family":"Wiblishauser","given":"Michael J."},{"family":"Sharma","given":"Manoj"},{"family":"Webb","given":"Fern J."}],"issued":{"date-parts":[["2021",4,1]]}}}],"schema":"https://github.com/citation-style-language/schema/raw/master/csl-citation.json"} </w:instrText>
      </w:r>
      <w:r>
        <w:rPr>
          <w:rFonts w:ascii="Arial" w:hAnsi="Arial" w:cs="Arial"/>
          <w:sz w:val="22"/>
          <w:szCs w:val="22"/>
        </w:rPr>
        <w:fldChar w:fldCharType="separate"/>
      </w:r>
      <w:r>
        <w:rPr>
          <w:rFonts w:ascii="Arial" w:hAnsi="Arial" w:cs="Arial"/>
          <w:sz w:val="22"/>
        </w:rPr>
        <w:t>[53]</w:t>
      </w:r>
      <w:r>
        <w:rPr>
          <w:rFonts w:ascii="Arial" w:hAnsi="Arial" w:cs="Arial"/>
          <w:sz w:val="22"/>
          <w:szCs w:val="22"/>
        </w:rPr>
        <w:fldChar w:fldCharType="end"/>
      </w:r>
    </w:p>
    <w:p w14:paraId="28CB3C97"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Gender is associated with…</w:t>
      </w:r>
    </w:p>
    <w:p w14:paraId="17E02FD8"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Education </w:t>
      </w:r>
      <w:r>
        <w:rPr>
          <w:rFonts w:ascii="Arial" w:hAnsi="Arial" w:cs="Arial"/>
          <w:sz w:val="22"/>
          <w:szCs w:val="22"/>
        </w:rPr>
        <w:fldChar w:fldCharType="begin"/>
      </w:r>
      <w:r>
        <w:rPr>
          <w:rFonts w:ascii="Arial" w:hAnsi="Arial" w:cs="Arial"/>
          <w:sz w:val="22"/>
          <w:szCs w:val="22"/>
        </w:rPr>
        <w:instrText xml:space="preserve"> ADDIN ZOTERO_ITEM CSL_CITATION {"citationID":"QSUk24FU","properties":{"formattedCitation":"[54]","plainCitation":"[54]","noteIndex":0},"citationItems":[{"id":"EETchYnv/LkrwEUgJ","uris":["http://zotero.org/users/5542045/items/AWWXR6YU",["http://zotero.org/users/5542045/items/AWWXR6YU"]],"itemData":{"id":493,"type":"article-journal","abstract":"Sixty years have passed since the pivotal 1954 Supreme Court case of Brown v. Board of Education of Topeka, Kansas and almost fifty years have elapsed since the Higher Education Act of 1965. The Brown decision dismantled public segregated schools in many parts of the country, especially in the South, and racial access in schools expanded. However, current assessments of educational progress such as troubling signs of “re-segregated schools,” lower retention and graduation rates for non-white high school students, declining academic performance, and smaller college enrollment and graduation rates have raised the question of whether the intent of Brown has been achieved. Compounding these adverse indicators of educational progress is a more serious post-Brown issue affecting all racial groups, namely, the growing gender disparity in undergraduate, graduate and professional school enrollment and attainment. The data in this article not only documents growing gender “gaps” within each ethnic group for bachelor’s, master’s, doctoral and first-professional degrees, but also confirms that women of all races have surpassed men in every degree category except first-professional degrees. Regardless of whether the disparity is an unintended consequence of Brown, this article provides some solutions to resolve this perplexing phenomenon.","container-title":"The Journal of Negro Education","issue":"3","page":"371-384","title":"The Expanding Gender and Racial Gap in American Higher Education on JSTOR","volume":"83","author":[{"family":"Garibaldi","given":"Antoine"}],"issued":{"date-parts":[["2014"]],"season":"Summer"}}}],"schema":"https://github.com/citation-style-language/schema/raw/master/csl-citation.json"} </w:instrText>
      </w:r>
      <w:r>
        <w:rPr>
          <w:rFonts w:ascii="Arial" w:hAnsi="Arial" w:cs="Arial"/>
          <w:sz w:val="22"/>
          <w:szCs w:val="22"/>
        </w:rPr>
        <w:fldChar w:fldCharType="separate"/>
      </w:r>
      <w:r>
        <w:rPr>
          <w:rFonts w:ascii="Arial" w:hAnsi="Arial" w:cs="Arial"/>
          <w:sz w:val="22"/>
        </w:rPr>
        <w:t>[54]</w:t>
      </w:r>
      <w:r>
        <w:rPr>
          <w:rFonts w:ascii="Arial" w:hAnsi="Arial" w:cs="Arial"/>
          <w:sz w:val="22"/>
          <w:szCs w:val="22"/>
        </w:rPr>
        <w:fldChar w:fldCharType="end"/>
      </w:r>
    </w:p>
    <w:p w14:paraId="0E9833C9"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Income </w:t>
      </w:r>
      <w:r>
        <w:rPr>
          <w:rFonts w:ascii="Arial" w:hAnsi="Arial" w:cs="Arial"/>
          <w:sz w:val="22"/>
          <w:szCs w:val="22"/>
        </w:rPr>
        <w:fldChar w:fldCharType="begin"/>
      </w:r>
      <w:r>
        <w:rPr>
          <w:rFonts w:ascii="Arial" w:hAnsi="Arial" w:cs="Arial"/>
          <w:sz w:val="22"/>
          <w:szCs w:val="22"/>
        </w:rPr>
        <w:instrText xml:space="preserve"> ADDIN ZOTERO_ITEM CSL_CITATION {"citationID":"ilLLvYcD","properties":{"formattedCitation":"[55]","plainCitation":"[55]","noteIndex":0},"citationItems":[{"id":"EETchYnv/oNPdbyo2","uris":["http://zotero.org/users/5542045/items/B83PKPIA",["http://zotero.org/users/5542045/items/B83PKPIA"]],"itemData":{"id":490,"type":"article-journal","abstract":"Abstract. Since the early 1970s, a number of authors have calculated gender wage differentials between women and men of equal productivity. This meta-study provides a new quantitative review of this vast amount of empirical literature on gender wage differentials as it concerns not only differences in methodology, data, and time periods, but also different countries. We place particular emphasis on a proper consideration of the quality of the underlying study which is done by a weighting with quality indicators. The results show that data restrictions – i.e. the limitation of the analysis to new entrants, never-marrieds, or one narrow occupation only – have the biggest impact on the resulting gender wage gap. Moreover, we are able to show what effect a misspecification of the underlying wage equation – like the frequent use of potential experience – has on the calculated gender wage gap. Over time, raw wage differentials worldwide have fallen substantially; however, most of this decrease is due to better labor market endowments of females.","container-title":"Journal of Economic Surveys","DOI":"10.1111/j.0950-0804.2005.00256.x","ISSN":"1467-6419","issue":"3","language":"en","note":"_eprint: https://onlinelibrary.wiley.com/doi/pdf/10.1111/j.0950-0804.2005.00256.x","page":"479-511","source":"Wiley Online Library","title":"A Meta-Analysis of the International Gender Wage Gap","volume":"19","author":[{"family":"Weichselbaumer","given":"Doris"},{"family":"Winter-Ebmer","given":"Rudolf"}],"issued":{"date-parts":[["2005"]]}}}],"schema":"https://github.com/citation-style-language/schema/raw/master/csl-citation.json"} </w:instrText>
      </w:r>
      <w:r>
        <w:rPr>
          <w:rFonts w:ascii="Arial" w:hAnsi="Arial" w:cs="Arial"/>
          <w:sz w:val="22"/>
          <w:szCs w:val="22"/>
        </w:rPr>
        <w:fldChar w:fldCharType="separate"/>
      </w:r>
      <w:r>
        <w:rPr>
          <w:rFonts w:ascii="Arial" w:hAnsi="Arial" w:cs="Arial"/>
          <w:sz w:val="22"/>
        </w:rPr>
        <w:t>[55]</w:t>
      </w:r>
      <w:r>
        <w:rPr>
          <w:rFonts w:ascii="Arial" w:hAnsi="Arial" w:cs="Arial"/>
          <w:sz w:val="22"/>
          <w:szCs w:val="22"/>
        </w:rPr>
        <w:fldChar w:fldCharType="end"/>
      </w:r>
    </w:p>
    <w:p w14:paraId="00074FFC"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comorbidities </w:t>
      </w:r>
      <w:r>
        <w:rPr>
          <w:rFonts w:ascii="Arial" w:hAnsi="Arial" w:cs="Arial"/>
          <w:sz w:val="22"/>
          <w:szCs w:val="22"/>
        </w:rPr>
        <w:fldChar w:fldCharType="begin"/>
      </w:r>
      <w:r>
        <w:rPr>
          <w:rFonts w:ascii="Arial" w:hAnsi="Arial" w:cs="Arial"/>
          <w:sz w:val="22"/>
          <w:szCs w:val="22"/>
        </w:rPr>
        <w:instrText xml:space="preserve"> ADDIN ZOTERO_ITEM CSL_CITATION {"citationID":"6FkBnxhK","properties":{"formattedCitation":"[56]","plainCitation":"[56]","noteIndex":0},"citationItems":[{"id":"EETchYnv/l0ViE1IG","uris":["http://zotero.org/users/5542045/items/RTMTEK54",["http://zotero.org/users/5542045/items/RTMTEK54"]],"itemData":{"id":579,"type":"article-journal","abstract":"Preventing Chronic Disease (PCD) is a peer-reviewed electronic journal established by the National Center for Chronic Disease Prevention and Health Promotion. PCD provides an open exchange of information and knowledge among researchers, practitioners, policy makers, and others who strive to improve the health of the public through chronic disease prevention.","container-title":"Preventing Chronic Disease","DOI":"10.5888/pcd17.200247","ISSN":"1545-1151","journalAbbreviation":"Prev. Chronic Dis.","language":"en-us","source":"www.cdc.gov","title":"Men and COVID-19: A Biopsychosocial Approach to Understanding Sex Differences in Mortality and Recommendations for Practice and Policy Interventions","title-short":"Men and COVID-19","URL":"https://www.cdc.gov/pcd/issues/2020/20_0247.htm","volume":"17","author":[{"family":"Griffith","given":"Derek M."}],"accessed":{"date-parts":[["2021",7,16]]},"issued":{"date-parts":[["2020"]]}}}],"schema":"https://github.com/citation-style-language/schema/raw/master/csl-citation.json"} </w:instrText>
      </w:r>
      <w:r>
        <w:rPr>
          <w:rFonts w:ascii="Arial" w:hAnsi="Arial" w:cs="Arial"/>
          <w:sz w:val="22"/>
          <w:szCs w:val="22"/>
        </w:rPr>
        <w:fldChar w:fldCharType="separate"/>
      </w:r>
      <w:r>
        <w:rPr>
          <w:rFonts w:ascii="Arial" w:hAnsi="Arial" w:cs="Arial"/>
          <w:sz w:val="22"/>
        </w:rPr>
        <w:t>[56]</w:t>
      </w:r>
      <w:r>
        <w:rPr>
          <w:rFonts w:ascii="Arial" w:hAnsi="Arial" w:cs="Arial"/>
          <w:sz w:val="22"/>
          <w:szCs w:val="22"/>
        </w:rPr>
        <w:fldChar w:fldCharType="end"/>
      </w:r>
    </w:p>
    <w:p w14:paraId="33941F3C"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Occupation </w:t>
      </w:r>
      <w:r>
        <w:rPr>
          <w:rFonts w:ascii="Arial" w:hAnsi="Arial" w:cs="Arial"/>
          <w:sz w:val="22"/>
          <w:szCs w:val="22"/>
        </w:rPr>
        <w:fldChar w:fldCharType="begin"/>
      </w:r>
      <w:r>
        <w:rPr>
          <w:rFonts w:ascii="Arial" w:hAnsi="Arial" w:cs="Arial"/>
          <w:sz w:val="22"/>
          <w:szCs w:val="22"/>
        </w:rPr>
        <w:instrText xml:space="preserve"> ADDIN ZOTERO_ITEM CSL_CITATION {"citationID":"WHttnh41","properties":{"formattedCitation":"[57]","plainCitation":"[57]","noteIndex":0},"citationItems":[{"id":"EETchYnv/bosRkkM3","uris":["http://zotero.org/users/5542045/items/IWRTMFQG",["http://zotero.org/users/5542045/items/IWRTMFQG"]],"itemData":{"id":531,"type":"webpage","title":"Employment and Earnings by Occupation | U.S. Department of Labor","URL":"https://www.dol.gov/agencies/wb/data/occupations","accessed":{"date-parts":[["2021",7,14]]}}}],"schema":"https://github.com/citation-style-language/schema/raw/master/csl-citation.json"} </w:instrText>
      </w:r>
      <w:r>
        <w:rPr>
          <w:rFonts w:ascii="Arial" w:hAnsi="Arial" w:cs="Arial"/>
          <w:sz w:val="22"/>
          <w:szCs w:val="22"/>
        </w:rPr>
        <w:fldChar w:fldCharType="separate"/>
      </w:r>
      <w:r>
        <w:rPr>
          <w:rFonts w:ascii="Arial" w:hAnsi="Arial" w:cs="Arial"/>
          <w:sz w:val="22"/>
        </w:rPr>
        <w:t>[57]</w:t>
      </w:r>
      <w:r>
        <w:rPr>
          <w:rFonts w:ascii="Arial" w:hAnsi="Arial" w:cs="Arial"/>
          <w:sz w:val="22"/>
          <w:szCs w:val="22"/>
        </w:rPr>
        <w:fldChar w:fldCharType="end"/>
      </w:r>
    </w:p>
    <w:p w14:paraId="547F0C7A"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Political affiliation </w:t>
      </w:r>
      <w:r>
        <w:rPr>
          <w:rFonts w:ascii="Arial" w:hAnsi="Arial" w:cs="Arial"/>
          <w:sz w:val="22"/>
          <w:szCs w:val="22"/>
        </w:rPr>
        <w:fldChar w:fldCharType="begin"/>
      </w:r>
      <w:r>
        <w:rPr>
          <w:rFonts w:ascii="Arial" w:hAnsi="Arial" w:cs="Arial"/>
          <w:sz w:val="22"/>
          <w:szCs w:val="22"/>
        </w:rPr>
        <w:instrText xml:space="preserve"> ADDIN ZOTERO_ITEM CSL_CITATION {"citationID":"q7VHwTHs","properties":{"formattedCitation":"[58]","plainCitation":"[58]","noteIndex":0},"citationItems":[{"id":"EETchYnv/n392v6om","uris":["http://zotero.org/users/5542045/items/HVGHMA7R",["http://zotero.org/users/5542045/items/HVGHMA7R"]],"itemData":{"id":550,"type":"article-journal","abstract":"The last three decades have witnessed the rise of a political gender gap in the United States wherein more women than men favor the Democratic party. We trace this development to the decline in marriage, which we posit has made men richer and women poorer. Data for the United States support this argument. First, there is a strong positive correlation between state divorce prevalence and the political gender gap – higher divorce prevalence reduces support for the Democrats among men but not women. Second, longitudinal data show that following marriage (divorce), women are less (more) likely to support the Democratic party.","container-title":"The Quarterly Journal of Economics","DOI":"10.1162/003355302760193922","ISSN":"0033-5533, 1531-4650","issue":"3","journalAbbreviation":"The Quarterly Journal of Economics","language":"en","page":"917-961","source":"DOI.org (Crossref)","title":"Why Have Women Become Left-Wing? The Political Gender Gap and the Decline in Marriage","title-short":"Why Have Women Become Left-Wing?","volume":"117","author":[{"family":"Edlund","given":"L."},{"family":"Pande","given":"R."}],"issued":{"date-parts":[["2002",8,1]]}}}],"schema":"https://github.com/citation-style-language/schema/raw/master/csl-citation.json"} </w:instrText>
      </w:r>
      <w:r>
        <w:rPr>
          <w:rFonts w:ascii="Arial" w:hAnsi="Arial" w:cs="Arial"/>
          <w:sz w:val="22"/>
          <w:szCs w:val="22"/>
        </w:rPr>
        <w:fldChar w:fldCharType="separate"/>
      </w:r>
      <w:r>
        <w:rPr>
          <w:rFonts w:ascii="Arial" w:hAnsi="Arial" w:cs="Arial"/>
          <w:sz w:val="22"/>
        </w:rPr>
        <w:t>[58]</w:t>
      </w:r>
      <w:r>
        <w:rPr>
          <w:rFonts w:ascii="Arial" w:hAnsi="Arial" w:cs="Arial"/>
          <w:sz w:val="22"/>
          <w:szCs w:val="22"/>
        </w:rPr>
        <w:fldChar w:fldCharType="end"/>
      </w:r>
    </w:p>
    <w:p w14:paraId="290E76F8"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Household size </w:t>
      </w:r>
      <w:r>
        <w:rPr>
          <w:rFonts w:ascii="Arial" w:hAnsi="Arial" w:cs="Arial"/>
          <w:sz w:val="22"/>
          <w:szCs w:val="22"/>
        </w:rPr>
        <w:fldChar w:fldCharType="begin"/>
      </w:r>
      <w:r>
        <w:rPr>
          <w:rFonts w:ascii="Arial" w:hAnsi="Arial" w:cs="Arial"/>
          <w:sz w:val="22"/>
          <w:szCs w:val="22"/>
        </w:rPr>
        <w:instrText xml:space="preserve"> ADDIN ZOTERO_ITEM CSL_CITATION {"citationID":"PjWcKzV7","properties":{"formattedCitation":"[59]","plainCitation":"[59]","noteIndex":0},"citationItems":[{"id":"EETchYnv/4N51BDep","uris":["http://zotero.org/users/5542045/items/LG76HK3S",["http://zotero.org/users/5542045/items/LG76HK3S"]],"itemData":{"id":602,"type":"webpage","abstract":"These America’s Families and Living Arrangements: 2019 data tables are from Families and Living Arrangement.","container-title":"The United States Census Bureau","language":"EN-US","note":"section: Government","title":"America’s Families and Living Arrangements: 2020","title-short":"America’s Families and Living Arrangements","URL":"https://www.census.gov/data/tables/2020/demo/families/cps-2020.html","author":[{"family":"Bureau","given":"US Census"}],"accessed":{"date-parts":[["2021",7,20]]}}}],"schema":"https://github.com/citation-style-language/schema/raw/master/csl-citation.json"} </w:instrText>
      </w:r>
      <w:r>
        <w:rPr>
          <w:rFonts w:ascii="Arial" w:hAnsi="Arial" w:cs="Arial"/>
          <w:sz w:val="22"/>
          <w:szCs w:val="22"/>
        </w:rPr>
        <w:fldChar w:fldCharType="separate"/>
      </w:r>
      <w:r>
        <w:rPr>
          <w:rFonts w:ascii="Arial" w:hAnsi="Arial" w:cs="Arial"/>
          <w:sz w:val="22"/>
        </w:rPr>
        <w:t>[59]</w:t>
      </w:r>
      <w:r>
        <w:rPr>
          <w:rFonts w:ascii="Arial" w:hAnsi="Arial" w:cs="Arial"/>
          <w:sz w:val="22"/>
          <w:szCs w:val="22"/>
        </w:rPr>
        <w:fldChar w:fldCharType="end"/>
      </w:r>
    </w:p>
    <w:p w14:paraId="2AF6C8FC"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vaccination </w:t>
      </w:r>
      <w:r>
        <w:rPr>
          <w:rFonts w:ascii="Arial" w:hAnsi="Arial" w:cs="Arial"/>
          <w:sz w:val="22"/>
          <w:szCs w:val="22"/>
        </w:rPr>
        <w:fldChar w:fldCharType="begin"/>
      </w:r>
      <w:r>
        <w:rPr>
          <w:rFonts w:ascii="Arial" w:hAnsi="Arial" w:cs="Arial"/>
          <w:sz w:val="22"/>
          <w:szCs w:val="22"/>
        </w:rPr>
        <w:instrText xml:space="preserve"> ADDIN ZOTERO_ITEM CSL_CITATION {"citationID":"PqNyxBMJ","properties":{"formattedCitation":"[42]","plainCitation":"[42]","noteIndex":0},"citationItems":[{"id":"EETchYnv/Gl2XozT1","uris":["http://zotero.org/users/local/aTKyTUT2/items/BS6765IN",["http://zotero.org/users/local/aTKyTUT2/items/BS6765IN"]],"itemData":{"id":"BXr6SGqc/0BxmCWFY","type":"article-journal","abstract":"We assessed COVID-19 booster vaccination coverage and reasons for non-receipt using a large, nationally representative survey (June – August, 2022). Booster vaccination coverage was 71.7% among adults, 36.8% among children, and 51.6% among adolescents. Reasons for non-receipt included the belief that it was not necessary and lack of time for vaccination. All eligible individuals should receive the updated booster vaccines as soon as possible to protect against new variants of COVID-19.","container-title":"American Journal of Infection Control","DOI":"10.1016/j.ajic.2023.01.008","ISSN":"0196-6553","journalAbbreviation":"American Journal of Infection Control","language":"en","source":"ScienceDirect","title":"COVID-19 booster vaccination coverage among adults, children and adolescents and reasons for non-receipt, United States","URL":"https://www.sciencedirect.com/science/article/pii/S0196655323000494","author":[{"family":"Nguyen","given":"Kimberly H."},{"family":"Chen","given":"Yutong"},{"family":"Huang","given":"Jing"},{"family":"Beninger","given":"Paul"},{"family":"Corlin","given":"Laura"}],"accessed":{"date-parts":[["2023",3,7]]},"issued":{"date-parts":[["2023",2,1]]}}}],"schema":"https://github.com/citation-style-language/schema/raw/master/csl-citation.json"} </w:instrText>
      </w:r>
      <w:r>
        <w:rPr>
          <w:rFonts w:ascii="Arial" w:hAnsi="Arial" w:cs="Arial"/>
          <w:sz w:val="22"/>
          <w:szCs w:val="22"/>
        </w:rPr>
        <w:fldChar w:fldCharType="separate"/>
      </w:r>
      <w:r>
        <w:rPr>
          <w:rFonts w:ascii="Arial" w:hAnsi="Arial" w:cs="Arial"/>
          <w:sz w:val="22"/>
        </w:rPr>
        <w:t>[42]</w:t>
      </w:r>
      <w:r>
        <w:rPr>
          <w:rFonts w:ascii="Arial" w:hAnsi="Arial" w:cs="Arial"/>
          <w:sz w:val="22"/>
          <w:szCs w:val="22"/>
        </w:rPr>
        <w:fldChar w:fldCharType="end"/>
      </w:r>
    </w:p>
    <w:p w14:paraId="58892A8F"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Race is associated with…</w:t>
      </w:r>
    </w:p>
    <w:p w14:paraId="2132A6F0"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Education </w:t>
      </w:r>
      <w:r>
        <w:rPr>
          <w:rFonts w:ascii="Arial" w:hAnsi="Arial" w:cs="Arial"/>
          <w:sz w:val="22"/>
          <w:szCs w:val="22"/>
        </w:rPr>
        <w:fldChar w:fldCharType="begin"/>
      </w:r>
      <w:r>
        <w:rPr>
          <w:rFonts w:ascii="Arial" w:hAnsi="Arial" w:cs="Arial"/>
          <w:sz w:val="22"/>
          <w:szCs w:val="22"/>
        </w:rPr>
        <w:instrText xml:space="preserve"> ADDIN ZOTERO_ITEM CSL_CITATION {"citationID":"8vdwdKa8","properties":{"formattedCitation":"[60]","plainCitation":"[60]","noteIndex":0},"citationItems":[{"id":"EETchYnv/gz2Unw7y","uris":["http://zotero.org/users/5542045/items/Y3GXTIPW",["http://zotero.org/users/5542045/items/Y3GXTIPW"]],"itemData":{"id":481,"type":"article-journal","abstract":"Education is critical to poverty reduction and upward mobility, and rising education inequality has drawn broad concern in the United States. However, the role of neighborhood context in education remains under-studied. This paper integrates the ordinary least squares (OLS) regression, spatial filtering regression and geographically weighted regression (GWR) to explore determinants of student performance in Salt Lake County, and better understand the underlying causes. Path analysis is used to examine the interactions among school performance, student background, and neighborhood environments. We find that over 60% of the variation in student performance can be explained by school resource, student background and neighborhood environments using OLS and spatial filtering regressions. The GWR model further reveals that student performance in the eastern region with a higher percentage of whites, higher household income and higher education levels, is more sensitive to the neighborhood environment than in poorer and more diversified northwestern regions. Finally, path analysis finds that household income and population density influence student performance indirectly by attracting more whites to the neighborhoods. These findings confirm the significance of neighborhood context in students' academic performance, and the importance of integrating GIS spatial analysis tools into studying education inequality.","container-title":"Cities","DOI":"10.1016/j.cities.2017.09.013","ISSN":"0264-2751","journalAbbreviation":"Cities","language":"en","page":"1-13","source":"ScienceDirect","title":"Neighborhood, race and educational inequality","volume":"73","author":[{"family":"Wei","given":"Yehua Dennis"},{"family":"Xiao","given":"Weiye"},{"family":"Simon","given":"Christopher A."},{"family":"Liu","given":"Baodong"},{"family":"Ni","given":"Yongmei"}],"issued":{"date-parts":[["2018",3,1]]}}}],"schema":"https://github.com/citation-style-language/schema/raw/master/csl-citation.json"} </w:instrText>
      </w:r>
      <w:r>
        <w:rPr>
          <w:rFonts w:ascii="Arial" w:hAnsi="Arial" w:cs="Arial"/>
          <w:sz w:val="22"/>
          <w:szCs w:val="22"/>
        </w:rPr>
        <w:fldChar w:fldCharType="separate"/>
      </w:r>
      <w:r>
        <w:rPr>
          <w:rFonts w:ascii="Arial" w:hAnsi="Arial" w:cs="Arial"/>
          <w:sz w:val="22"/>
        </w:rPr>
        <w:t>[60]</w:t>
      </w:r>
      <w:r>
        <w:rPr>
          <w:rFonts w:ascii="Arial" w:hAnsi="Arial" w:cs="Arial"/>
          <w:sz w:val="22"/>
          <w:szCs w:val="22"/>
        </w:rPr>
        <w:fldChar w:fldCharType="end"/>
      </w:r>
    </w:p>
    <w:p w14:paraId="2F3B09C0"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Household size </w:t>
      </w:r>
      <w:r>
        <w:rPr>
          <w:rFonts w:ascii="Arial" w:hAnsi="Arial" w:cs="Arial"/>
          <w:sz w:val="22"/>
          <w:szCs w:val="22"/>
        </w:rPr>
        <w:fldChar w:fldCharType="begin"/>
      </w:r>
      <w:r>
        <w:rPr>
          <w:rFonts w:ascii="Arial" w:hAnsi="Arial" w:cs="Arial"/>
          <w:sz w:val="22"/>
          <w:szCs w:val="22"/>
        </w:rPr>
        <w:instrText xml:space="preserve"> ADDIN ZOTERO_ITEM CSL_CITATION {"citationID":"96fnkmM3","properties":{"formattedCitation":"[61]","plainCitation":"[61]","noteIndex":0},"citationItems":[{"id":"EETchYnv/jtN8Dlub","uris":["http://zotero.org/users/5542045/items/5VA3R33C",["http://zotero.org/users/5542045/items/5VA3R33C"]],"itemData":{"id":590,"type":"article-journal","abstract":"Background\nAccumulating evidence indicates that COVID-19 causes adverse outcomes in ethnic minority groups. However, little is known about the impact of ethnicity and household size on acquiring infection with SARS-CoV-2.\nMethods\nWe undertook a retrospective cohort study, in Leicester (UK), of all individuals assessed for COVID-19 with polymerase chain reaction (PCR) testing at University Hospitals of Leicester NHS Trust between 1st March and 28th April 2020. We used logistic regression to identify sociodemographic, clinical and temporal factors associated with SARS-CoV-2 PCR positivity before/after lockdown.\nFindings\n971/4051 (24.0%) patients with suspected COVID-19 were found to be PCR positive for SARS-CoV-2. PCR positivity was more common amongst individuals from ethnic minortiy backgrounds than their White counterparts (White 20.0%, South Asian 37.5%, Black 36.1%, Other 32.2%; p&lt;0.001 for all ethnic minority groups vs White). After adjustment, compared to White ethnicity, South Asian (aOR 2.44 95%CI 2.01, 2.97), Black (aOR 2.56 95%CI 1.71, 3.84) and Other (aOR 2.53 95%CI 1.74, 3.70) ethnicities were more likely to test positive, as were those with a larger estimated household size (aOR 1.06 95%CI 1.02, 1.11). We saw increasing proportions of positive tests in the three weeks post-lockdown amongst the ethnic minority , but not the White, cohort. Estimated household size was associated with PCR positivity after, but not before, lockdown (aOR 1.10 95%CI 1.03, 1.16).\nInterpretation\nIn individuals presenting with suspected COVID-19, those from ethnic minority communities and larger households had an increased likelihood of SARS-CoV-2 PCR positivity. Pandemic control measures may have more rapid impact on slowing viral transmission amongst those of White ethnicity compared to ethnic minority groups, Research is urgently required to understand the mechanisms underlying these disparities and whether public health interventions have differential effects on individuals from ethnic minority groups.\nFunding\nNIHR","container-title":"EClinicalMedicine","DOI":"10.1016/j.eclinm.2020.100466","ISSN":"2589-5370","journalAbbreviation":"EClinicalMedicine","language":"en","page":"100466","source":"ScienceDirect","title":"Socio-demographic heterogeneity in the prevalence of COVID-19 during lockdown is associated with ethnicity and household size: Results from an observational cohort study","title-short":"Socio-demographic heterogeneity in the prevalence of COVID-19 during lockdown is associated with ethnicity and household size","volume":"25","author":[{"family":"Martin","given":"Christopher A."},{"family":"Jenkins","given":"David R."},{"family":"Minhas","given":"Jatinder S."},{"family":"Gray","given":"Laura J."},{"family":"Tang","given":"Julian"},{"family":"Williams","given":"Caroline"},{"family":"Sze","given":"Shirley"},{"family":"Pan","given":"Daniel"},{"family":"Jones","given":"William"},{"family":"Verma","given":"Raman"},{"family":"Knapp","given":"Scott"},{"family":"Major","given":"Rupert"},{"family":"Davies","given":"Melanie"},{"family":"Brunskill","given":"Nigel"},{"family":"Wiselka","given":"Martin"},{"family":"Brightling","given":"Chris"},{"family":"Khunti","given":"Kamlesh"},{"family":"Haldar","given":"Pranab"},{"family":"Pareek","given":"Manish"}],"issued":{"date-parts":[["2020",8,1]]}}}],"schema":"https://github.com/citation-style-language/schema/raw/master/csl-citation.json"} </w:instrText>
      </w:r>
      <w:r>
        <w:rPr>
          <w:rFonts w:ascii="Arial" w:hAnsi="Arial" w:cs="Arial"/>
          <w:sz w:val="22"/>
          <w:szCs w:val="22"/>
        </w:rPr>
        <w:fldChar w:fldCharType="separate"/>
      </w:r>
      <w:r>
        <w:rPr>
          <w:rFonts w:ascii="Arial" w:hAnsi="Arial" w:cs="Arial"/>
          <w:sz w:val="22"/>
        </w:rPr>
        <w:t>[61]</w:t>
      </w:r>
      <w:r>
        <w:rPr>
          <w:rFonts w:ascii="Arial" w:hAnsi="Arial" w:cs="Arial"/>
          <w:sz w:val="22"/>
          <w:szCs w:val="22"/>
        </w:rPr>
        <w:fldChar w:fldCharType="end"/>
      </w:r>
    </w:p>
    <w:p w14:paraId="06F1C5F2"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Housing quality </w:t>
      </w:r>
      <w:r>
        <w:rPr>
          <w:rFonts w:ascii="Arial" w:hAnsi="Arial" w:cs="Arial"/>
          <w:sz w:val="22"/>
          <w:szCs w:val="22"/>
        </w:rPr>
        <w:fldChar w:fldCharType="begin"/>
      </w:r>
      <w:r>
        <w:rPr>
          <w:rFonts w:ascii="Arial" w:hAnsi="Arial" w:cs="Arial"/>
          <w:sz w:val="22"/>
          <w:szCs w:val="22"/>
        </w:rPr>
        <w:instrText xml:space="preserve"> ADDIN ZOTERO_ITEM CSL_CITATION {"citationID":"d4p3BddX","properties":{"formattedCitation":"[62,63]","plainCitation":"[62,63]","noteIndex":0},"citationItems":[{"id":"EETchYnv/lORTUhit","uris":["http://zotero.org/users/5542045/items/7YKDJQ94",["http://zotero.org/users/5542045/items/7YKDJQ94"]],"itemData":{"id":547,"type":"article-journal","abstract":"Energy insecurity refers to a household’s inability to meet its basic energy needs. Previous research has shown that this type of material hardship can lead to negative mental and physical health outcomes, especially for children and the elderly. This study analyzes a state-representative sample of low-income households to evaluate if households of color are more likely than white households to be energy insecure, and, if the reasons are either poor housing conditions or higher energy burdens. We find that energy insecurity is widespread. Over a year period, 30 percent of respondents were unable to pay at least one energy bill, 33 percent received at least one disconnection notice, and 13 percent were disconnected from their electric utility service. Regression analysis further suggests that Black and Hispanic households are more likely than white households to be energy insecure. Additionally, deficient housing conditions and higher energy burdens are both independent predictors of household energy insecurity. Through a mediating variables analysis, however, we find that housing conditions and energy burdens only explain a small proportion of the association between race and energy insecurity. These results indicate that there remains considerable uncertainty about the reasons that households of color experience energy insecurity at higher rates than white households and that future research is needed to uncover the mechanisms underlying these disparities.","container-title":"Energy Research &amp; Social Science","DOI":"10.1016/j.erss.2021.102144","ISSN":"2214-6296","journalAbbreviation":"Energy Research &amp; Social Science","language":"en","page":"102144","source":"ScienceDirect","title":"Which households are energy insecure? An empirical analysis of race, housing conditions, and energy burdens in the United States","title-short":"Which households are energy insecure?","volume":"79","author":[{"family":"Graff","given":"Michelle"},{"family":"Carley","given":"Sanya"},{"family":"Konisky","given":"David M."},{"family":"Memmott","given":"Trevor"}],"issued":{"date-parts":[["2021",9,1]]}}},{"id":"EETchYnv/RdvzAiqy","uris":["http://zotero.org/users/5542045/items/K3UB928X",["http://zotero.org/users/5542045/items/K3UB928X"]],"itemData":{"id":454,"type":"article-journal","abstract":"Housing is a major pathway through which health disparities emerge and are sustained over time. However, no existing unified conceptual model has comprehensively elucidated the relationship between housing and health equity with attention to the full range of harmful exposures, their cumulative burden and their historical production. We synthesized literature from a diverse array of disciplines to explore the varied aspects of the relationship between housing and health and developed an original conceptual model highlighting these complexities. This holistic conceptual model of the impact of housing on health disparities illustrates how structural inequalities shape unequal distribution of access to health-promoting housing factors, which span four pillars: 1) cost (housing affordability); 2) conditions (housing quality); 3) consistency (residential stability); and 4) context (neighborhood opportunity). We further demonstrate that these four pillars can lead to cumulative burden by interacting with one another and with other structurally-rooted inequalities to produce and reify health disparities. We conclude by offering a comprehensive vision for healthy housing that situates housing's impact on health through a historical and social justice lens, which can help to better design policies and interventions that use housing to promote health equity.","container-title":"Social Science &amp; Medicine","DOI":"10.1016/j.socscimed.2019.112571","ISSN":"0277-9536","journalAbbreviation":"Social Science &amp; Medicine","language":"en","page":"112571","source":"ScienceDirect","title":"Housing as a determinant of health equity: A conceptual model","title-short":"Housing as a determinant of health equity","volume":"243","author":[{"family":"Swope","given":"Carolyn B."},{"family":"Hernández","given":"Diana"}],"issued":{"date-parts":[["2019",12,1]]}}}],"schema":"https://github.com/citation-style-language/schema/raw/master/csl-citation.json"} </w:instrText>
      </w:r>
      <w:r>
        <w:rPr>
          <w:rFonts w:ascii="Arial" w:hAnsi="Arial" w:cs="Arial"/>
          <w:sz w:val="22"/>
          <w:szCs w:val="22"/>
        </w:rPr>
        <w:fldChar w:fldCharType="separate"/>
      </w:r>
      <w:r>
        <w:rPr>
          <w:rFonts w:ascii="Arial" w:hAnsi="Arial" w:cs="Arial"/>
          <w:sz w:val="22"/>
        </w:rPr>
        <w:t>[62,63]</w:t>
      </w:r>
      <w:r>
        <w:rPr>
          <w:rFonts w:ascii="Arial" w:hAnsi="Arial" w:cs="Arial"/>
          <w:sz w:val="22"/>
          <w:szCs w:val="22"/>
        </w:rPr>
        <w:fldChar w:fldCharType="end"/>
      </w:r>
    </w:p>
    <w:p w14:paraId="04439B6D"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Income </w:t>
      </w:r>
      <w:r>
        <w:rPr>
          <w:rFonts w:ascii="Arial" w:hAnsi="Arial" w:cs="Arial"/>
          <w:sz w:val="22"/>
          <w:szCs w:val="22"/>
        </w:rPr>
        <w:fldChar w:fldCharType="begin"/>
      </w:r>
      <w:r>
        <w:rPr>
          <w:rFonts w:ascii="Arial" w:hAnsi="Arial" w:cs="Arial"/>
          <w:sz w:val="22"/>
          <w:szCs w:val="22"/>
        </w:rPr>
        <w:instrText xml:space="preserve"> ADDIN ZOTERO_ITEM CSL_CITATION {"citationID":"uHSnrTXR","properties":{"formattedCitation":"[64]","plainCitation":"[64]","noteIndex":0},"citationItems":[{"id":"EETchYnv/BKVCpC0F","uris":["http://zotero.org/users/5542045/items/ZKGKEK55",["http://zotero.org/users/5542045/items/ZKGKEK55"]],"itemData":{"id":451,"type":"article-journal","abstract":"More than 50 years after the Civil Rights Act, black–white family income disparities in the United States remain almost exactly the same as what they were in 1968. This article argues that a key and underappreciated driver of the racial income gap has been the national trend of rising income inequality. From 1968 to 2016, black–white disparities in family income rank narrowed by almost one-third. But this relative gain was negated by changes to the national income distribution that resulted in rapid income growth for the richest—and most disproportionately white—few percentiles of the country combined with income stagnation for the poor and middle class. But for the rise in income inequality, the median black–white family income gap would have decreased by about 30 percent. Conversely, without the partial closing of the rank gap, growing inequality alone would have increased the racial income gap by 30 percent.","container-title":"Sociological Science","DOI":"10.15195/v5.a8","ISSN":"2330-6696","language":"en-US","page":"182-205","source":"sociologicalscience.com","title":"Income Inequality and the Persistence of Racial Economic Disparities","volume":"5","author":[{"family":"Manduca","given":"Robert"}],"issued":{"date-parts":[["2018",3,12]]}}}],"schema":"https://github.com/citation-style-language/schema/raw/master/csl-citation.json"} </w:instrText>
      </w:r>
      <w:r>
        <w:rPr>
          <w:rFonts w:ascii="Arial" w:hAnsi="Arial" w:cs="Arial"/>
          <w:sz w:val="22"/>
          <w:szCs w:val="22"/>
        </w:rPr>
        <w:fldChar w:fldCharType="separate"/>
      </w:r>
      <w:r>
        <w:rPr>
          <w:rFonts w:ascii="Arial" w:hAnsi="Arial" w:cs="Arial"/>
          <w:sz w:val="22"/>
        </w:rPr>
        <w:t>[64]</w:t>
      </w:r>
      <w:r>
        <w:rPr>
          <w:rFonts w:ascii="Arial" w:hAnsi="Arial" w:cs="Arial"/>
          <w:sz w:val="22"/>
          <w:szCs w:val="22"/>
        </w:rPr>
        <w:fldChar w:fldCharType="end"/>
      </w:r>
    </w:p>
    <w:p w14:paraId="30AE5527"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PM</w:t>
      </w:r>
      <w:r>
        <w:rPr>
          <w:rFonts w:ascii="Arial" w:hAnsi="Arial" w:cs="Arial"/>
          <w:sz w:val="22"/>
          <w:szCs w:val="22"/>
          <w:vertAlign w:val="subscript"/>
        </w:rPr>
        <w:t>2.5</w:t>
      </w:r>
      <w:r>
        <w:rPr>
          <w:rFonts w:ascii="Arial" w:hAnsi="Arial" w:cs="Arial"/>
          <w:sz w:val="22"/>
          <w:szCs w:val="22"/>
        </w:rPr>
        <w:t xml:space="preserve"> exposure </w:t>
      </w:r>
      <w:r>
        <w:rPr>
          <w:rFonts w:ascii="Arial" w:hAnsi="Arial" w:cs="Arial"/>
          <w:sz w:val="22"/>
          <w:szCs w:val="22"/>
        </w:rPr>
        <w:fldChar w:fldCharType="begin"/>
      </w:r>
      <w:r>
        <w:rPr>
          <w:rFonts w:ascii="Arial" w:hAnsi="Arial" w:cs="Arial"/>
          <w:sz w:val="22"/>
          <w:szCs w:val="22"/>
        </w:rPr>
        <w:instrText xml:space="preserve"> ADDIN ZOTERO_ITEM CSL_CITATION {"citationID":"mxPkk9BE","properties":{"formattedCitation":"[65]","plainCitation":"[65]","noteIndex":0},"citationItems":[{"id":"EETchYnv/e4Vhot9Q","uris":["http://zotero.org/users/5542045/items/AML4QRPW",["http://zotero.org/users/5542045/items/AML4QRPW"]],"itemData":{"id":487,"type":"article-journal","abstract":"The California Community Environmental Health Screening Tool (CalEnviroScreen) advances research and policy pertaining to environmental health vulnerability. However, CalEnviroScreen departs from its historical foundations and comparable screening tools by no longer considering racial status as an indicator of environmental health vulnerability and predictor of cumulative pollution burden. This study used conceptual frameworks and analytical techniques from environmental health and inequality literature to address the limitations of CalEnviroScreen, especially its inattention to race-based environmental health vulnerabilities. It developed an adjusted measure of cumulative pollution burden from the CalEnviroScreen 2.0 data that facilitates multivariate analyses of the effect of neighborhood racial composition on cumulative pollution burden, net of other indicators of population vulnerability, traffic density, industrial zoning, and local and regional clustering of pollution burden. Principal component analyses produced three new measures of population vulnerability, including Latina/o cumulative disadvantage that represents the spatial concentration of Latinas/os, economic disadvantage, limited English-speaking ability, and health vulnerability. Spatial error regression analyses demonstrated that concentrations of Latinas/os, followed by Latina/o cumulative disadvantage, are the strongest demographic determinants of adjusted cumulative pollution burden. Findings have implications for research and policy pertaining to cumulative impacts and race-based environmental health vulnerabilities within and beyond California.","container-title":"International Journal of Environmental Research and Public Health","DOI":"10.3390/ijerph15040762","issue":"4","language":"en","license":"http://creativecommons.org/licenses/by/3.0/","note":"number: 4\npublisher: Multidisciplinary Digital Publishing Institute","page":"762","source":"www.mdpi.com","title":"Retooling CalEnviroScreen: Cumulative Pollution Burden and Race-Based Environmental Health Vulnerabilities in California","title-short":"Retooling CalEnviroScreen","volume":"15","author":[{"family":"Liévanos","given":"Raoul S."}],"issued":{"date-parts":[["2018",4]]}}}],"schema":"https://github.com/citation-style-language/schema/raw/master/csl-citation.json"} </w:instrText>
      </w:r>
      <w:r>
        <w:rPr>
          <w:rFonts w:ascii="Arial" w:hAnsi="Arial" w:cs="Arial"/>
          <w:sz w:val="22"/>
          <w:szCs w:val="22"/>
        </w:rPr>
        <w:fldChar w:fldCharType="separate"/>
      </w:r>
      <w:r>
        <w:rPr>
          <w:rFonts w:ascii="Arial" w:hAnsi="Arial" w:cs="Arial"/>
          <w:sz w:val="22"/>
        </w:rPr>
        <w:t>[65]</w:t>
      </w:r>
      <w:r>
        <w:rPr>
          <w:rFonts w:ascii="Arial" w:hAnsi="Arial" w:cs="Arial"/>
          <w:sz w:val="22"/>
          <w:szCs w:val="22"/>
        </w:rPr>
        <w:fldChar w:fldCharType="end"/>
      </w:r>
    </w:p>
    <w:p w14:paraId="2B05879F"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Greenness </w:t>
      </w:r>
      <w:r>
        <w:rPr>
          <w:rFonts w:ascii="Arial" w:hAnsi="Arial" w:cs="Arial"/>
          <w:sz w:val="22"/>
          <w:szCs w:val="22"/>
        </w:rPr>
        <w:fldChar w:fldCharType="begin"/>
      </w:r>
      <w:r>
        <w:rPr>
          <w:rFonts w:ascii="Arial" w:hAnsi="Arial" w:cs="Arial"/>
          <w:sz w:val="22"/>
          <w:szCs w:val="22"/>
        </w:rPr>
        <w:instrText xml:space="preserve"> ADDIN ZOTERO_ITEM CSL_CITATION {"citationID":"LU5LP5WX","properties":{"formattedCitation":"[2]","plainCitation":"[2]","noteIndex":0},"citationItems":[{"id":"EETchYnv/s2x8YX8v","uris":["http://zotero.org/users/local/fq2WXZPB/items/PMXINZ8K",["http://zotero.org/users/local/fq2WXZPB/items/PMXINZ8K"]],"itemData":{"id":"EETchYnv/s2x8YX8v","type":"article-journal","abstract":"Introduction:\n\nRedlining, a racist mortgage appraisal practice of the 1930s, established and exacerbated racial residential segregation boundaries in the United States. Investment risk grades assigned \n&gt;80y\n&gt;80y\n ago through security maps from the Home Owners’ Loan Corporation (HOLC) are associated with current sociodemographics and adverse health outcomes. We assessed whether historical HOLC investment grades are associated with 2010 greenspace, a health-promoting neighborhood resource.\n\nObjectives:\n\nWe compared 2010 normalized difference vegetation index (NDVI) across previous HOLC neighborhood grades using propensity score restriction and matching.\n\nMethods:\n\nSecurity map shapefiles were downloaded from the Mapping Inequality Project. Neighborhood investment risk grades included A (best, green), B (blue), C (yellow), and D (hazardous, red, i.e., redlined). We used 2010 satellite imagery to calculate the average NDVI for each HOLC neighborhood. Our main outcomes were 2010 annual average NDVI and summer NDVI. We assigned areal-apportioned 1940 census measures to each HOLC neighborhood. We used propensity score restriction, matching, and targeted maximum likelihood estimation to limit model extrapolation, reduce confounding, and estimate the association between HOLC grade and NDVI for the following comparisons: Grades B vs. A, C vs. B, and D vs. C.\n\nResults:\n\nAcross 102 urban areas (4,141 HOLC polygons), annual average \n±standard deviation (SD)\n±standard deviation (SD)\n 2010 NDVI was 0.47 (\n±0.09\n±0.09\n), 0.43 (\n±0.09\n±0.09\n), 0.39 (\n±0.09\n±0.09\n), and 0.36 (\n±0.10\n±0.10\n) in Grades A–D, respectively. In analyses adjusted for current ecoregion and census region, 1940s census measures, and 1940s population density, annual average NDVI values in 2010 were estimated at \n−0.039\n−0.039\n (95% CI: \n−0.045\n−0.045\n, \n−0.034\n−0.034\n), \n−0.024\n−0.024\n (95% CI: \n−0.030\n−0.030\n, \n−0.018\n−0.018\n), and \n−0.026\n−0.026\n (95% CI: \n−0.037\n−0.037\n, \n−0.015\n−0.015\n) for Grades B vs. A, C vs. B, and D vs. C, respectively, in the 1930s.\n\nDiscussion:\n\nEstimates adjusted for historical characteristics indicate that neighborhoods assigned worse HOLC grades in the 1930s are associated with reduced present-day greenspace. https://doi.org/10.1289/EHP7495","container-title":"Environmental Health Perspectives","DOI":"10.1289/EHP7495","issue":"1","note":"publisher: Environmental Health Perspectives","page":"017006","source":"ehp.niehs.nih.gov (Atypon)","title":"Redlines and Greenspace: The Relationship between Historical Redlining and 2010 Greenspace across the United States","title-short":"Redlines and Greenspace","volume":"129","author":[{"family":"Nardone","given":"Anthony"},{"family":"Rudolph","given":"Kara E."},{"family":"Morello","given":"-Frosch Rachel"},{"family":"Casey","given":"Joan A."}]}}],"schema":"https://github.com/citation-style-language/schema/raw/master/csl-citation.json"} </w:instrText>
      </w:r>
      <w:r>
        <w:rPr>
          <w:rFonts w:ascii="Arial" w:hAnsi="Arial" w:cs="Arial"/>
          <w:sz w:val="22"/>
          <w:szCs w:val="22"/>
        </w:rPr>
        <w:fldChar w:fldCharType="separate"/>
      </w:r>
      <w:r>
        <w:rPr>
          <w:rFonts w:ascii="Arial" w:hAnsi="Arial" w:cs="Arial"/>
          <w:sz w:val="22"/>
        </w:rPr>
        <w:t>[2]</w:t>
      </w:r>
      <w:r>
        <w:rPr>
          <w:rFonts w:ascii="Arial" w:hAnsi="Arial" w:cs="Arial"/>
          <w:sz w:val="22"/>
          <w:szCs w:val="22"/>
        </w:rPr>
        <w:fldChar w:fldCharType="end"/>
      </w:r>
    </w:p>
    <w:p w14:paraId="0E30990F"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Political affiliation </w:t>
      </w:r>
      <w:r>
        <w:rPr>
          <w:rFonts w:ascii="Arial" w:hAnsi="Arial" w:cs="Arial"/>
          <w:sz w:val="22"/>
          <w:szCs w:val="22"/>
        </w:rPr>
        <w:fldChar w:fldCharType="begin"/>
      </w:r>
      <w:r>
        <w:rPr>
          <w:rFonts w:ascii="Arial" w:hAnsi="Arial" w:cs="Arial"/>
          <w:sz w:val="22"/>
          <w:szCs w:val="22"/>
        </w:rPr>
        <w:instrText xml:space="preserve"> ADDIN ZOTERO_ITEM CSL_CITATION {"citationID":"OEzdRjtk","properties":{"formattedCitation":"[66]","plainCitation":"[66]","noteIndex":0},"citationItems":[{"id":"EETchYnv/gy76ENNb","uris":["http://zotero.org/users/5542045/items/D2PLK4W6",["http://zotero.org/users/5542045/items/D2PLK4W6"]],"itemData":{"id":551,"type":"webpage","abstract":"What Happened in 2020 By Yair Ghitza and Jonathan Robinson Interactive Data Visualizations by Chase Stolworthy, Edited by Aaron Huertas, Site design by Melissa Amarawardana The 2020 election was historic and uniquely challenging. Not only was it conducted in the middle of a global pandemic, but it was one of the most intensely partisan elections in…","container-title":"Catalist","language":"en-US","title":"What Happened in 2020 National Analysis","URL":"https://catalist.us/wh-national/","accessed":{"date-parts":[["2021",7,16]]}}}],"schema":"https://github.com/citation-style-language/schema/raw/master/csl-citation.json"} </w:instrText>
      </w:r>
      <w:r>
        <w:rPr>
          <w:rFonts w:ascii="Arial" w:hAnsi="Arial" w:cs="Arial"/>
          <w:sz w:val="22"/>
          <w:szCs w:val="22"/>
        </w:rPr>
        <w:fldChar w:fldCharType="separate"/>
      </w:r>
      <w:r>
        <w:rPr>
          <w:rFonts w:ascii="Arial" w:hAnsi="Arial" w:cs="Arial"/>
          <w:sz w:val="22"/>
        </w:rPr>
        <w:t>[66]</w:t>
      </w:r>
      <w:r>
        <w:rPr>
          <w:rFonts w:ascii="Arial" w:hAnsi="Arial" w:cs="Arial"/>
          <w:sz w:val="22"/>
          <w:szCs w:val="22"/>
        </w:rPr>
        <w:fldChar w:fldCharType="end"/>
      </w:r>
    </w:p>
    <w:p w14:paraId="796C940F"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cases </w:t>
      </w:r>
      <w:r>
        <w:rPr>
          <w:rFonts w:ascii="Arial" w:hAnsi="Arial" w:cs="Arial"/>
          <w:sz w:val="22"/>
          <w:szCs w:val="22"/>
        </w:rPr>
        <w:fldChar w:fldCharType="begin"/>
      </w:r>
      <w:r>
        <w:rPr>
          <w:rFonts w:ascii="Arial" w:hAnsi="Arial" w:cs="Arial"/>
          <w:sz w:val="22"/>
          <w:szCs w:val="22"/>
        </w:rPr>
        <w:instrText xml:space="preserve"> ADDIN ZOTERO_ITEM CSL_CITATION {"citationID":"6gOzodkn","properties":{"formattedCitation":"[67\\uc0\\u8211{}70]","plainCitation":"[67–70]","noteIndex":0},"citationItems":[{"id":"EETchYnv/Vrt5IDuh","uris":["http://zotero.org/users/5542045/items/VEWLR7PJ",["http://zotero.org/users/5542045/items/VEWLR7PJ"]],"itemData":{"id":463,"type":"article-journal","abstract":"&lt;h3&gt;Introduction&lt;/h3&gt; &lt;p&gt;Data on race and ethnic disparities for severe acute respiratory syndrome coronavirus 2 (SARS-CoV-2) infection are limited. We analysed sociodemographic factors associated with higher likelihood of SARS-CoV-2 infection and explore mediating pathways for race and ethnic disparities in the SARS-CoV-2 pandemic.&lt;/p&gt;&lt;h3&gt;Methods&lt;/h3&gt; &lt;p&gt;This is a cross-sectional analysis of the COVID-19 Surveillance and Outcomes Registry, which captures data for a large healthcare system, comprising one central tertiary care hospital, seven large community hospitals and an expansive ambulatory/emergency care network in the Greater Houston area. Nasopharyngeal samples for individuals inclusive of all ages, races, ethnicities and sex were tested for SARS-CoV-2. We analysed sociodemographic (age, sex, race, ethnicity, household income, residence population density) and comorbidity (Charlson Comorbidity Index, hypertension, diabetes, obesity) factors. Multivariable logistic regression models were fitted to provide adjusted OR (aOR) and 95% CI for likelihood of a positive SARS-CoV-2 test. Structural equation modelling (SEM) framework was used to explore three mediation pathways (low income, high population density, high comorbidity burden) for the association between non-Hispanic black (NHB) race, Hispanic ethnicity and SARS-CoV-2 infection.&lt;/p&gt;&lt;h3&gt;Results&lt;/h3&gt; &lt;p&gt;Among 20 228 tested individuals, 1551 (7.7%) tested positive. The overall mean (SD) age was 51.1 (19.0) years, 62% were females, 22% were black and 18% were Hispanic. NHB and Hispanic ethnicity were associated with lower socioeconomic status and higher population density residence. In the fully adjusted model, NHB (vs non-Hispanic white; aOR, 2.23, CI 1.90 to 2.60) and Hispanic ethnicity (vs non-Hispanic; aOR, 1.95, CI 1.72 to 2.20) had a higher likelihood of infection. Older individuals and males were also at higher risk of infection. The SEM framework demonstrated a significant indirect effect of NHB and Hispanic ethnicity on SARS-CoV-2 infection mediated via a pathway including residence in densely populated zip code.&lt;/p&gt;&lt;h3&gt;Conclusions&lt;/h3&gt; &lt;p&gt;There is strong evidence of race and ethnic disparities in the SARS-CoV-2 pandemic that are potentially mediated through unique social determinants of health.&lt;/p&gt;","container-title":"BMJ Open","DOI":"10.1136/bmjopen-2020-039849","ISSN":"2044-6055, 2044-6055","issue":"8","language":"en","license":"© Author(s) (or their employer(s)) 2020. Re-use permitted under CC BY-NC. No commercial re-use. See rights and permissions. Published by BMJ.. http://creativecommons.org/licenses/by-nc/4.0/This is an open access article distributed in accordance with the Creative Commons Attribution Non Commercial (CC BY-NC 4.0) license, which permits others to distribute, remix, adapt, build upon this work non-commercially, and license their derivative works on different terms, provided the original work is properly cited, appropriate credit is given, any changes made indicated, and the use is non-commercial. See: http://creativecommons.org/licenses/by-nc/4.0/.","note":"publisher: British Medical Journal Publishing Group\nsection: Epidemiology\nPMID: 32784264","page":"e039849","source":"bmjopen.bmj.com","title":"Racial and ethnic disparities in SARS-CoV-2 pandemic: analysis of a COVID-19 observational registry for a diverse US metropolitan population","title-short":"Racial and ethnic disparities in SARS-CoV-2 pandemic","volume":"10","author":[{"family":"Vahidy","given":"Farhaan S."},{"family":"Nicolas","given":"Juan Carlos"},{"family":"Meeks","given":"Jennifer R."},{"family":"Khan","given":"Osman"},{"family":"Pan","given":"Alan"},{"family":"Jones","given":"Stephen L."},{"family":"Masud","given":"Faisal"},{"family":"Sostman","given":"H. Dirk"},{"family":"Phillips","given":"Robert"},{"family":"Andrieni","given":"Julia D."},{"family":"Kash","given":"Bita A."},{"family":"Nasir","given":"Khurram"}],"issued":{"date-parts":[["2020",8,1]]}}},{"id":"EETchYnv/Wjag8veH","uris":["http://zotero.org/users/5542045/items/DATL3XJQ",["http://zotero.org/users/5542045/items/DATL3XJQ"]],"itemData":{"id":483,"type":"article-journal","abstract":"There is preliminary evidence of racial and social economic disparities in the population infected by and dying from COVID-19. The goal of this study is to report the associations of COVID-19 with respect to race, health, and economic inequality in the United States.","container-title":"Journal of Racial and Ethnic Health Disparities","DOI":"10.1007/s40615-020-00833-4","ISSN":"2196-8837","issue":"3","journalAbbreviation":"J. Racial and Ethnic Health Disparities","language":"en","page":"732-742","source":"Springer Link","title":"Racial, Economic, and Health Inequality and COVID-19 Infection in the United States","volume":"8","author":[{"family":"Abedi","given":"Vida"},{"family":"Olulana","given":"Oluwaseyi"},{"family":"Avula","given":"Venkatesh"},{"family":"Chaudhary","given":"Durgesh"},{"family":"Khan","given":"Ayesha"},{"family":"Shahjouei","given":"Shima"},{"family":"Li","given":"Jiang"},{"family":"Zand","given":"Ramin"}],"issued":{"date-parts":[["2021",6,1]]}}},{"id":"EETchYnv/m0nbGSZr","uris":["http://zotero.org/users/5542045/items/43JVAGDF",["http://zotero.org/users/5542045/items/43JVAGDF"]],"itemData":{"id":441,"type":"article-journal","abstract":"Background\nPeople from racial minority groups in western countries experience disproportionate socioeconomic and structural determinants of health disadvantages. These disadvantages have led to inequalities and inequities in health care access and poorer health outcomes. We report disproportionate disparities in prevalence, hospitalisation, and deaths from COVID-19 by racial minority populations.\n\nMethods\nWe conducted a systematic literature search of relevant databases to identify studies reporting on prevalence, hospitalisations, and deaths from COVID-19 by race groups between 01 January 2020 – 15 April 2021. We grouped race categories into Blacks, Hispanics, Whites and Others. Random effects model using the method of DerSimonian and Laird were fitted, and forest plot with respective ratio estimates and 95% confidence interval (CI) for each race category, and subgroup meta-regression analyses and the overall pooled ratio estimates for prevalence, hospitalisation and mortality rate were presented.\n\nResults\nBlacks experienced significantly higher burden of COVID-19: prevalence ratio 1.79 (95% confidence interval (CI) = 1.59-1.99), hospitalisation ratio 1.87 (95% CI = 1.69-2.04), mortality ratio 1.68 (95% CI = 1.52-1.83), compared to Whites: prevalence ratio 0.70 (95% CI = 0.0.64-0.77), hospitalisation ratio 0.74 (95% CI = 0.65-0.82), mortality ratio 0.82 (95% CI = 0.78-0.87). Also, Hispanics experienced a higher burden: prevalence ratio 1.78 (95% CI = 1.63-1.94), hospitalisation ratio 1.32 (95% CI = 1.08-1.55), mortality ratio 0.94 (95% CI = 0.84-1.04) compared to Whites. A higher burden was also observed for Other race groups: prevalence ratio 1.43 (95% CI = 1.19-1.67), hospitalisation ratio 1.12 (95% CI = 0.89-1.35), mortality ratio 1.06 (95% CI = 0.89-1.23) compared to Whites. The disproportionate burden among Blacks and Hispanics remained following correction for publication bias.\n\nConclusions\nBlacks and Hispanics have been disproportionately affected by COVID-19. This is deeply concerning and highlights the systemically entrenched disadvantages (social, economic, and political) experienced by racial minorities in western countries; and this study underscores the need to address inequities in these communities to improve overall health outcomes.","container-title":"Journal of Global Health","DOI":"10.7189/jogh.11.05015","ISSN":"2047-2978","journalAbbreviation":"J Glob Health","note":"PMID: 34221360\nPMCID: PMC8248751","page":"05015","source":"PubMed Central","title":"Racial disparities in COVID-19 pandemic cases, hospitalisations, and deaths: A systematic review and meta-analysis","title-short":"Racial disparities in COVID-19 pandemic cases, hospitalisations, and deaths","volume":"11","author":[{"family":"Mude","given":"William"},{"family":"Oguoma","given":"Victor M"},{"family":"Nyanhanda","given":"Tafadzwa"},{"family":"Mwanri","given":"Lillian"},{"family":"Njue","given":"Carolyne"}]}},{"id":"EETchYnv/PY6TZGbE","uris":["http://zotero.org/users/5542045/items/WAMN565N",["http://zotero.org/users/5542045/items/WAMN565N"]],"itemData":{"id":444,"type":"article-journal","abstract":"This article evaluates if ethnicity is an independent poor prognostic factor in COVID-19 disease.","container-title":"Journal of Racial and Ethnic Health Disparities","DOI":"10.1007/s40615-020-00921-5","ISSN":"2196-8837","journalAbbreviation":"J. Racial and Ethnic Health Disparities","language":"en","source":"Springer Link","title":"Association Between Ethnicity and Severe COVID-19 Disease: a Systematic Review and Meta-analysis","title-short":"Association Between Ethnicity and Severe COVID-19 Disease","URL":"https://doi.org/10.1007/s40615-020-00921-5","author":[{"family":"Raharja","given":"Antony"},{"family":"Tamara","given":"Alice"},{"family":"Kok","given":"Li Teng"}],"accessed":{"date-parts":[["2021",7,7]]},"issued":{"date-parts":[["2020",11,12]]}}}],"schema":"https://github.com/citation-style-language/schema/raw/master/csl-citation.json"} </w:instrText>
      </w:r>
      <w:r>
        <w:rPr>
          <w:rFonts w:ascii="Arial" w:hAnsi="Arial" w:cs="Arial"/>
          <w:sz w:val="22"/>
          <w:szCs w:val="22"/>
        </w:rPr>
        <w:fldChar w:fldCharType="separate"/>
      </w:r>
      <w:r>
        <w:rPr>
          <w:rFonts w:ascii="Arial" w:hAnsi="Arial" w:cs="Arial"/>
          <w:sz w:val="22"/>
        </w:rPr>
        <w:t>[67–70]</w:t>
      </w:r>
      <w:r>
        <w:rPr>
          <w:rFonts w:ascii="Arial" w:hAnsi="Arial" w:cs="Arial"/>
          <w:sz w:val="22"/>
          <w:szCs w:val="22"/>
        </w:rPr>
        <w:fldChar w:fldCharType="end"/>
      </w:r>
    </w:p>
    <w:p w14:paraId="55790BD1"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vaccination </w:t>
      </w:r>
      <w:r>
        <w:rPr>
          <w:rFonts w:ascii="Arial" w:hAnsi="Arial" w:cs="Arial"/>
          <w:sz w:val="22"/>
          <w:szCs w:val="22"/>
        </w:rPr>
        <w:fldChar w:fldCharType="begin"/>
      </w:r>
      <w:r>
        <w:rPr>
          <w:rFonts w:ascii="Arial" w:hAnsi="Arial" w:cs="Arial"/>
          <w:sz w:val="22"/>
          <w:szCs w:val="22"/>
        </w:rPr>
        <w:instrText xml:space="preserve"> ADDIN ZOTERO_ITEM CSL_CITATION {"citationID":"98aKc0mp","properties":{"formattedCitation":"[53]","plainCitation":"[53]","noteIndex":0},"citationItems":[{"id":"EETchYnv/PPEcG259","uris":["http://zotero.org/users/5542045/items/LB6TPMKA",["http://zotero.org/users/5542045/items/LB6TPMKA"]],"itemData":{"id":573,"type":"article-journal","abstract":"Given the results from early trials, COVID-19 vaccines will be available by 2021. However, little is known about what Americans think of getting immunized with a COVID-19 vaccine. Thus, the purpose of this study was to conduct a comprehensive and systematic national assessment of COVID-19 vaccine hesitancy in a community-based sample of the American adult population. A multi</w:instrText>
      </w:r>
      <w:r>
        <w:rPr>
          <w:rFonts w:ascii="Cambria Math" w:hAnsi="Cambria Math" w:cs="Cambria Math"/>
          <w:sz w:val="22"/>
          <w:szCs w:val="22"/>
        </w:rPr>
        <w:instrText>‐</w:instrText>
      </w:r>
      <w:r>
        <w:rPr>
          <w:rFonts w:ascii="Arial" w:hAnsi="Arial" w:cs="Arial"/>
          <w:sz w:val="22"/>
          <w:szCs w:val="22"/>
        </w:rPr>
        <w:instrText xml:space="preserve">item valid and reliable questionnaire was deployed online via mTurk and social media sites to recruit U.S. adults from the general population. A total of 1878 individuals participated in the study where the majority were: females (52%), Whites (74%), non-Hispanic (81%), married (56%), employed full time (68%), and with a bachelor’s degree or higher (77%). The likelihood of getting a COVID-19 immunization in the study population was: very likely (52%), somewhat likely (27%), not likely (15%), definitely not (7%), with individuals who had lower education, income, or perceived threat of getting infected being more likely to report that they were not likely/definitely not going to get COVID-19 vaccine (i.e., vaccine hesitancy). In unadjusted group comparisons, compared to their counterparts, vaccine hesitancy was higher among African-Americans (34%), Hispanics (29%), those who had children at home (25%), rural dwellers (29%), people in the northeastern U.S. (25%), and those who identified as Republicans (29%). In multiple regression analyses, vaccine hesitancy was predicted significantly by sex, education, employment, income, having children at home, political affiliation, and the perceived threat of getting infected with COVID-19 in the next 1 year. Given the high prevalence of COVID-19 vaccine hesitancy, evidence-based communication, mass media strategies, and policy measures will have to be implemented across the U.S. to convert vaccines into vaccinations and mass immunization with special attention to the groups identified in this study.","container-title":"Journal of Community Health","DOI":"10.1007/s10900-020-00958-x","ISSN":"1573-3610","issue":"2","journalAbbreviation":"J Community Health","language":"en","license":"2021 The Author(s), under exclusive licence to Springer Science+Business Media, LLC part of Springer Nature","note":"Company: Springer\nDistributor: Springer\nInstitution: Springer\nLabel: Springer\nnumber: 2\npublisher: Springer US","page":"270-277","source":"link.springer.com","title":"COVID-19 Vaccination Hesitancy in the United States: A Rapid National Assessment","title-short":"COVID-19 Vaccination Hesitancy in the United States","volume":"46","author":[{"family":"Khubchandani","given":"Jagdish"},{"family":"Sharma","given":"Sushil"},{"family":"Price","given":"James H."},{"family":"Wiblishauser","given":"Michael J."},{"family":"Sharma","given":"Manoj"},{"family":"Webb","given":"Fern J."}],"issued":{"date-parts":[["2021",4,1]]}}}],"schema":"https://github.com/citation-style-language/schema/raw/master/csl-citation.json"} </w:instrText>
      </w:r>
      <w:r>
        <w:rPr>
          <w:rFonts w:ascii="Arial" w:hAnsi="Arial" w:cs="Arial"/>
          <w:sz w:val="22"/>
          <w:szCs w:val="22"/>
        </w:rPr>
        <w:fldChar w:fldCharType="separate"/>
      </w:r>
      <w:r>
        <w:rPr>
          <w:rFonts w:ascii="Arial" w:hAnsi="Arial" w:cs="Arial"/>
          <w:sz w:val="22"/>
        </w:rPr>
        <w:t>[53]</w:t>
      </w:r>
      <w:r>
        <w:rPr>
          <w:rFonts w:ascii="Arial" w:hAnsi="Arial" w:cs="Arial"/>
          <w:sz w:val="22"/>
          <w:szCs w:val="22"/>
        </w:rPr>
        <w:fldChar w:fldCharType="end"/>
      </w:r>
    </w:p>
    <w:p w14:paraId="1FC7413F"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Education is associated with…</w:t>
      </w:r>
    </w:p>
    <w:p w14:paraId="3A1ECC14"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Income </w:t>
      </w:r>
      <w:r>
        <w:rPr>
          <w:rFonts w:ascii="Arial" w:hAnsi="Arial" w:cs="Arial"/>
          <w:sz w:val="22"/>
          <w:szCs w:val="22"/>
        </w:rPr>
        <w:fldChar w:fldCharType="begin"/>
      </w:r>
      <w:r>
        <w:rPr>
          <w:rFonts w:ascii="Arial" w:hAnsi="Arial" w:cs="Arial"/>
          <w:sz w:val="22"/>
          <w:szCs w:val="22"/>
        </w:rPr>
        <w:instrText xml:space="preserve"> ADDIN ZOTERO_ITEM CSL_CITATION {"citationID":"n6UKchm9","properties":{"formattedCitation":"[46]","plainCitation":"[46]","noteIndex":0},"citationItems":[{"id":"EETchYnv/0yGwqdp1","uris":["http://zotero.org/users/5542045/items/6YX3Q7NV",["http://zotero.org/users/5542045/items/6YX3Q7NV"]],"itemData":{"id":514,"type":"webpage","language":"en-us","title":"Education Pays 2013 — The Benefits of Higher Education for Individuals and Society","URL":"http://www.rilin.state.ri.us/Special/ses15/commdocs/Education%20Pays,%20The%20College%20Board.pdf","author":[{"family":"Baum","given":"Sandy"},{"family":"Ma","given":"Jennifer"},{"family":"Payea","given":"Kathleen"}]}}],"schema":"https://github.com/citation-style-language/schema/raw/master/csl-citation.json"} </w:instrText>
      </w:r>
      <w:r>
        <w:rPr>
          <w:rFonts w:ascii="Arial" w:hAnsi="Arial" w:cs="Arial"/>
          <w:sz w:val="22"/>
          <w:szCs w:val="22"/>
        </w:rPr>
        <w:fldChar w:fldCharType="separate"/>
      </w:r>
      <w:r>
        <w:rPr>
          <w:rFonts w:ascii="Arial" w:hAnsi="Arial" w:cs="Arial"/>
          <w:sz w:val="22"/>
        </w:rPr>
        <w:t>[46]</w:t>
      </w:r>
      <w:r>
        <w:rPr>
          <w:rFonts w:ascii="Arial" w:hAnsi="Arial" w:cs="Arial"/>
          <w:sz w:val="22"/>
          <w:szCs w:val="22"/>
        </w:rPr>
        <w:fldChar w:fldCharType="end"/>
      </w:r>
    </w:p>
    <w:p w14:paraId="4A87EBF7"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Population density </w:t>
      </w:r>
      <w:r>
        <w:rPr>
          <w:rFonts w:ascii="Arial" w:hAnsi="Arial" w:cs="Arial"/>
          <w:sz w:val="22"/>
          <w:szCs w:val="22"/>
        </w:rPr>
        <w:fldChar w:fldCharType="begin"/>
      </w:r>
      <w:r>
        <w:rPr>
          <w:rFonts w:ascii="Arial" w:hAnsi="Arial" w:cs="Arial"/>
          <w:sz w:val="22"/>
          <w:szCs w:val="22"/>
        </w:rPr>
        <w:instrText xml:space="preserve"> ADDIN ZOTERO_ITEM CSL_CITATION {"citationID":"LCd9tkvK","properties":{"formattedCitation":"[71]","plainCitation":"[71]","noteIndex":0},"citationItems":[{"id":"EETchYnv/kE3uzwnM","uris":["http://zotero.org/users/5542045/items/Y8TU33JF",["http://zotero.org/users/5542045/items/Y8TU33JF"]],"itemData":{"id":565,"type":"webpage","container-title":"United States Department of Agriculture","language":"en","title":"Rural Education At A Glance, 2017","URL":"https://www.ers.usda.gov/webdocs/publications/83078/eib-171.pdf?v=7754.3","author":[{"family":"Marré","given":"Alexander"}],"accessed":{"date-parts":[["2021",7,16]]}}}],"schema":"https://github.com/citation-style-language/schema/raw/master/csl-citation.json"} </w:instrText>
      </w:r>
      <w:r>
        <w:rPr>
          <w:rFonts w:ascii="Arial" w:hAnsi="Arial" w:cs="Arial"/>
          <w:sz w:val="22"/>
          <w:szCs w:val="22"/>
        </w:rPr>
        <w:fldChar w:fldCharType="separate"/>
      </w:r>
      <w:r>
        <w:rPr>
          <w:rFonts w:ascii="Arial" w:hAnsi="Arial" w:cs="Arial"/>
          <w:sz w:val="22"/>
        </w:rPr>
        <w:t>[71]</w:t>
      </w:r>
      <w:r>
        <w:rPr>
          <w:rFonts w:ascii="Arial" w:hAnsi="Arial" w:cs="Arial"/>
          <w:sz w:val="22"/>
          <w:szCs w:val="22"/>
        </w:rPr>
        <w:fldChar w:fldCharType="end"/>
      </w:r>
    </w:p>
    <w:p w14:paraId="5B742E42"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comorbidities </w:t>
      </w:r>
      <w:r>
        <w:rPr>
          <w:rFonts w:ascii="Arial" w:hAnsi="Arial" w:cs="Arial"/>
          <w:sz w:val="22"/>
          <w:szCs w:val="22"/>
        </w:rPr>
        <w:fldChar w:fldCharType="begin"/>
      </w:r>
      <w:r>
        <w:rPr>
          <w:rFonts w:ascii="Arial" w:hAnsi="Arial" w:cs="Arial"/>
          <w:sz w:val="22"/>
          <w:szCs w:val="22"/>
        </w:rPr>
        <w:instrText xml:space="preserve"> ADDIN ZOTERO_ITEM CSL_CITATION {"citationID":"9mqihvO0","properties":{"formattedCitation":"[72]","plainCitation":"[72]","noteIndex":0},"citationItems":[{"id":"EETchYnv/KIiJhroH","uris":["http://zotero.org/users/5542045/items/8GIUFGHY",["http://zotero.org/users/5542045/items/8GIUFGHY"]],"itemData":{"id":542,"type":"article-journal","abstract":"Purpose\nAttaining a degree may offer greater opportunities for health than years of schooling alone. This study examines whether there is a degree, or “sheepskin”, effect on the association between education and blood pressure.\n\nMethods\nMultivariable-adjusted ordinal and linear regression models assessed associations of years of schooling and degree attainment with systolic and diastolic blood pressure in a sample of 552 adults aged 38–47 years.\n\nResults\nYears of schooling was inversely associated with systolic blood pressure adjusting for age, gender and race (β=−0.4, 95% CL:−0.7,−0.1 mmHg systolic blood pressure/year of schooling). Additional adjustment for mother’s education, childhood verbal intelligence quotient, childhood health and childhood socioeconomic status had minimal impact on effect size (β= −0.3, 95% CI=−0.7,0.0). However, years of schooling was no longer associated with blood pressure in the fully adjusted model which included additional adjustment for degree attained (β=0.0, 95% CL:−0.5, 0.4). In the fully adjusted model (including adjustment for years of schooling), individuals with a graduate degree still had significantly lower systolic blood pressure than HS degree-holders (e.g. β=−9.2, 95% CL:−15.2,−3.2 for graduate vs. high school degree). Findings were similar for diastolic blood pressure.\n\nConclusion\nThe association of years of schooling with blood pressure may be largely due to degree attainment rather than simply the knowledge and skills accumulated due to years of schooling alone.","container-title":"Annals of epidemiology","DOI":"10.1016/j.annepidem.2010.11.004","ISSN":"1047-2797","issue":"2","journalAbbreviation":"Ann Epidemiol","note":"PMID: 21184953\nPMCID: PMC4703088","page":"128-138","source":"PubMed Central","title":"The association between blood pressure and years of schooling versus educational credentials: Test of the sheepskin effect","title-short":"The association between blood pressure and years of schooling versus educational credentials","volume":"21","author":[{"family":"Liu","given":"Sze Yan"},{"family":"Buka","given":"Stephen L."},{"family":"Linkletter","given":"Crystal D."},{"family":"Kawachi","given":"Ichiro"},{"family":"Kubzansky","given":"Laura"},{"family":"Loucks","given":"Eric B."}],"issued":{"date-parts":[["2011",2]]}}}],"schema":"https://github.com/citation-style-language/schema/raw/master/csl-citation.json"} </w:instrText>
      </w:r>
      <w:r>
        <w:rPr>
          <w:rFonts w:ascii="Arial" w:hAnsi="Arial" w:cs="Arial"/>
          <w:sz w:val="22"/>
          <w:szCs w:val="22"/>
        </w:rPr>
        <w:fldChar w:fldCharType="separate"/>
      </w:r>
      <w:r>
        <w:rPr>
          <w:rFonts w:ascii="Arial" w:hAnsi="Arial" w:cs="Arial"/>
          <w:sz w:val="22"/>
        </w:rPr>
        <w:t>[72]</w:t>
      </w:r>
      <w:r>
        <w:rPr>
          <w:rFonts w:ascii="Arial" w:hAnsi="Arial" w:cs="Arial"/>
          <w:sz w:val="22"/>
          <w:szCs w:val="22"/>
        </w:rPr>
        <w:fldChar w:fldCharType="end"/>
      </w:r>
    </w:p>
    <w:p w14:paraId="131F776A"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Occupation </w:t>
      </w:r>
      <w:r>
        <w:rPr>
          <w:rFonts w:ascii="Arial" w:hAnsi="Arial" w:cs="Arial"/>
          <w:sz w:val="22"/>
          <w:szCs w:val="22"/>
        </w:rPr>
        <w:fldChar w:fldCharType="begin"/>
      </w:r>
      <w:r>
        <w:rPr>
          <w:rFonts w:ascii="Arial" w:hAnsi="Arial" w:cs="Arial"/>
          <w:sz w:val="22"/>
          <w:szCs w:val="22"/>
        </w:rPr>
        <w:instrText xml:space="preserve"> ADDIN ZOTERO_ITEM CSL_CITATION {"citationID":"qQuPQhdF","properties":{"formattedCitation":"[73]","plainCitation":"[73]","noteIndex":0},"citationItems":[{"id":"EETchYnv/v29mokMf","uris":["http://zotero.org/users/5542045/items/XBEYCYQU",["http://zotero.org/users/5542045/items/XBEYCYQU"]],"itemData":{"id":566,"type":"webpage","abstract":"Read this article to find out which state might offer better opportunities for your education level.","language":"en","title":"Education level and jobs: Opportunities by state : Career Outlook: U.S. Bureau of Labor Statistics","title-short":"Education level and jobs","URL":"https://www.bls.gov/careeroutlook/2014/article/education-level-and-jobs.htm","author":[{"family":"Watson","given":"Elka Torpey and Audrey"}],"accessed":{"date-parts":[["2021",7,16]]}}}],"schema":"https://github.com/citation-style-language/schema/raw/master/csl-citation.json"} </w:instrText>
      </w:r>
      <w:r>
        <w:rPr>
          <w:rFonts w:ascii="Arial" w:hAnsi="Arial" w:cs="Arial"/>
          <w:sz w:val="22"/>
          <w:szCs w:val="22"/>
        </w:rPr>
        <w:fldChar w:fldCharType="separate"/>
      </w:r>
      <w:r>
        <w:rPr>
          <w:rFonts w:ascii="Arial" w:hAnsi="Arial" w:cs="Arial"/>
          <w:sz w:val="22"/>
        </w:rPr>
        <w:t>[73]</w:t>
      </w:r>
      <w:r>
        <w:rPr>
          <w:rFonts w:ascii="Arial" w:hAnsi="Arial" w:cs="Arial"/>
          <w:sz w:val="22"/>
          <w:szCs w:val="22"/>
        </w:rPr>
        <w:fldChar w:fldCharType="end"/>
      </w:r>
    </w:p>
    <w:p w14:paraId="3934E464"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Political affiliation </w:t>
      </w:r>
      <w:r>
        <w:rPr>
          <w:rFonts w:ascii="Arial" w:hAnsi="Arial" w:cs="Arial"/>
          <w:sz w:val="22"/>
          <w:szCs w:val="22"/>
        </w:rPr>
        <w:fldChar w:fldCharType="begin"/>
      </w:r>
      <w:r>
        <w:rPr>
          <w:rFonts w:ascii="Arial" w:hAnsi="Arial" w:cs="Arial"/>
          <w:sz w:val="22"/>
          <w:szCs w:val="22"/>
        </w:rPr>
        <w:instrText xml:space="preserve"> ADDIN ZOTERO_ITEM CSL_CITATION {"citationID":"xHVhfmnc","properties":{"formattedCitation":"[74]","plainCitation":"[74]","noteIndex":0},"citationItems":[{"id":"EETchYnv/UnWJ3rh1","uris":["http://zotero.org/users/5542045/items/9L738CGM",["http://zotero.org/users/5542045/items/9L738CGM"]],"itemData":{"id":562,"type":"webpage","abstract":"While whites continue to favor the Republican candidate—as they have in every presidential election since 1968—it is notable that this margin has been reduced from 20% to 15% nationally.","container-title":"Brookings","language":"en-US","title":"Exit polls show both familiar and new voting blocs sealed Biden’s win","URL":"https://www.brookings.edu/research/2020-exit-polls-show-a-scrambling-of-democrats-and-republicans-traditional-bases/","author":[{"family":"Frey","given":"William H."}],"accessed":{"date-parts":[["2021",7,16]]},"issued":{"date-parts":[["2020",11,5]]}}}],"schema":"https://github.com/citation-style-language/schema/raw/master/csl-citation.json"} </w:instrText>
      </w:r>
      <w:r>
        <w:rPr>
          <w:rFonts w:ascii="Arial" w:hAnsi="Arial" w:cs="Arial"/>
          <w:sz w:val="22"/>
          <w:szCs w:val="22"/>
        </w:rPr>
        <w:fldChar w:fldCharType="separate"/>
      </w:r>
      <w:r>
        <w:rPr>
          <w:rFonts w:ascii="Arial" w:hAnsi="Arial" w:cs="Arial"/>
          <w:sz w:val="22"/>
        </w:rPr>
        <w:t>[74]</w:t>
      </w:r>
      <w:r>
        <w:rPr>
          <w:rFonts w:ascii="Arial" w:hAnsi="Arial" w:cs="Arial"/>
          <w:sz w:val="22"/>
          <w:szCs w:val="22"/>
        </w:rPr>
        <w:fldChar w:fldCharType="end"/>
      </w:r>
    </w:p>
    <w:p w14:paraId="3D2AA3B9"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lastRenderedPageBreak/>
        <w:t xml:space="preserve">COVID-19 cases </w:t>
      </w:r>
      <w:r>
        <w:rPr>
          <w:rFonts w:ascii="Arial" w:hAnsi="Arial" w:cs="Arial"/>
          <w:sz w:val="22"/>
          <w:szCs w:val="22"/>
        </w:rPr>
        <w:fldChar w:fldCharType="begin"/>
      </w:r>
      <w:r>
        <w:rPr>
          <w:rFonts w:ascii="Arial" w:hAnsi="Arial" w:cs="Arial"/>
          <w:sz w:val="22"/>
          <w:szCs w:val="22"/>
        </w:rPr>
        <w:instrText xml:space="preserve"> ADDIN ZOTERO_ITEM CSL_CITATION {"citationID":"G8U2Fkjn","properties":{"formattedCitation":"[75]","plainCitation":"[75]","noteIndex":0},"citationItems":[{"id":"EETchYnv/pGYyzTcF","uris":["http://zotero.org/users/5542045/items/E7V8FZ2S",["http://zotero.org/users/5542045/items/E7V8FZ2S"]],"itemData":{"id":560,"type":"article-journal","abstract":"Background\nWhile certain infectious diseases have been linked to socioeconomic disadvantage, mental health problems, and lower cognitive function, relationships with COVID-19 are either uncertain or untested. Our objective was to examine the association of a range of psychosocial factors with hospitalisation for COVID-19.\nMethods\nUK Biobank, a prospective cohort study, comprises around half a million people who were aged 40–69 years at study induction between 2006 and 2010 when information on psychosocial factors and covariates were captured. Hospitalisations for COVID-19 were ascertained between 16th March and 26th April 2020.\nResults\nThere were 908 hospitalisations for COVID-19 in an analytical sample of 431,051 England-based study members. In age- and sex-adjusted analyses, an elevated risk of COVID-19 was related to disadvantaged levels of education (odds ratio; 95% confidence interval: 2.05; 1.70, 2.47), income (2.00; 1.63, 2,47), area deprivation (2.20; 1.86, 2.59), occupation (1.39; 1.14, 1.69), psychological distress (1.58; 1.32, 1.89), mental health (1.50; 1.25, 1.79), neuroticism (1.19; 1.00, 1.42), and performance on two tests of cognitive function – verbal and numerical reasoning (2.66; 2.06, 3.34) and reaction speed (1.27; 1.08, 1.51). These associations were graded (p-value for trend </w:instrText>
      </w:r>
      <w:r>
        <w:rPr>
          <w:rFonts w:ascii="Arial" w:hAnsi="Arial" w:cs="Arial" w:hint="eastAsia"/>
          <w:sz w:val="22"/>
          <w:szCs w:val="22"/>
        </w:rPr>
        <w:instrText>≤</w:instrText>
      </w:r>
      <w:r>
        <w:rPr>
          <w:rFonts w:ascii="Arial" w:hAnsi="Arial" w:cs="Arial"/>
          <w:sz w:val="22"/>
          <w:szCs w:val="22"/>
        </w:rPr>
        <w:instrText xml:space="preserve"> 0.038) such that effects were apparent across the full psychosocial continua. After mutual adjustment for these characteristics plus ethnicity, comorbidity, and lifestyle factors, only the relationship between lower cognitive function as measured using the reasoning test and risk of the infection remained (1.98; 1.38, 2.85).\nConclusions\nA range of psychosocial factors revealed associations with hospitalisation for COVID-19 of which the relation with cognitive function, a marker of health literacy, was most robust.","container-title":"Brain, Behavior, and Immunity","DOI":"10.1016/j.bbi.2020.06.021","ISSN":"0889-1591","journalAbbreviation":"Brain, Behavior, and Immunity","language":"en","page":"569-578","source":"ScienceDirect","title":"Psychosocial factors and hospitalisations for COVID-19: Prospective cohort study based on a community sample","title-short":"Psychosocial factors and hospitalisations for COVID-19","volume":"89","author":[{"family":"Batty","given":"G. D."},{"family":"Deary","given":"I. J."},{"family":"Luciano","given":"M."},{"family":"Altschul","given":"D. M."},{"family":"Kivimäki","given":"M."},{"family":"Gale","given":"C. R."}],"issued":{"date-parts":[["2020",10,1]]}}}],"schema":"https://github.com/citation-style-language/schema/raw/master/csl-citation.json"} </w:instrText>
      </w:r>
      <w:r>
        <w:rPr>
          <w:rFonts w:ascii="Arial" w:hAnsi="Arial" w:cs="Arial"/>
          <w:sz w:val="22"/>
          <w:szCs w:val="22"/>
        </w:rPr>
        <w:fldChar w:fldCharType="separate"/>
      </w:r>
      <w:r>
        <w:rPr>
          <w:rFonts w:ascii="Arial" w:hAnsi="Arial" w:cs="Arial"/>
          <w:sz w:val="22"/>
        </w:rPr>
        <w:t>[75]</w:t>
      </w:r>
      <w:r>
        <w:rPr>
          <w:rFonts w:ascii="Arial" w:hAnsi="Arial" w:cs="Arial"/>
          <w:sz w:val="22"/>
          <w:szCs w:val="22"/>
        </w:rPr>
        <w:fldChar w:fldCharType="end"/>
      </w:r>
    </w:p>
    <w:p w14:paraId="27D7D06B"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vaccination </w:t>
      </w:r>
      <w:r>
        <w:rPr>
          <w:rFonts w:ascii="Arial" w:hAnsi="Arial" w:cs="Arial"/>
          <w:sz w:val="22"/>
          <w:szCs w:val="22"/>
        </w:rPr>
        <w:fldChar w:fldCharType="begin"/>
      </w:r>
      <w:r>
        <w:rPr>
          <w:rFonts w:ascii="Arial" w:hAnsi="Arial" w:cs="Arial"/>
          <w:sz w:val="22"/>
          <w:szCs w:val="22"/>
        </w:rPr>
        <w:instrText xml:space="preserve"> ADDIN ZOTERO_ITEM CSL_CITATION {"citationID":"MRYm6RQJ","properties":{"formattedCitation":"[76]","plainCitation":"[76]","noteIndex":0},"citationItems":[{"id":"EETchYnv/xUyu1ItF","uris":["http://zotero.org/users/5542045/items/YHHRXI46",["http://zotero.org/users/5542045/items/YHHRXI46"]],"itemData":{"id":556,"type":"webpage","abstract":"New survey results show while racial and ethnic differences in vaccine hesitancy persist, level of education now has a stronger effect on people’s willingness to get the vaccine.","container-title":"USC Schaeffer","language":"en-US","title":"Education Is Now a Bigger Factor Than Race in Desire for COVID-19 Vaccine","URL":"https://healthpolicy.usc.edu/evidence-base/education-is-now-a-bigger-factor-than-race-in-desire-for-covid-19-vaccine/","author":[{"family":"Thomas","given":"Kyla"},{"family":"Darling","given":"Jill"}],"accessed":{"date-parts":[["2021",7,16]]},"issued":{"date-parts":[["2021",3,3]]}}}],"schema":"https://github.com/citation-style-language/schema/raw/master/csl-citation.json"} </w:instrText>
      </w:r>
      <w:r>
        <w:rPr>
          <w:rFonts w:ascii="Arial" w:hAnsi="Arial" w:cs="Arial"/>
          <w:sz w:val="22"/>
          <w:szCs w:val="22"/>
        </w:rPr>
        <w:fldChar w:fldCharType="separate"/>
      </w:r>
      <w:r>
        <w:rPr>
          <w:rFonts w:ascii="Arial" w:hAnsi="Arial" w:cs="Arial"/>
          <w:sz w:val="22"/>
        </w:rPr>
        <w:t>[76]</w:t>
      </w:r>
      <w:r>
        <w:rPr>
          <w:rFonts w:ascii="Arial" w:hAnsi="Arial" w:cs="Arial"/>
          <w:sz w:val="22"/>
          <w:szCs w:val="22"/>
        </w:rPr>
        <w:fldChar w:fldCharType="end"/>
      </w:r>
    </w:p>
    <w:p w14:paraId="1D63550A"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Individual income is associated with…</w:t>
      </w:r>
    </w:p>
    <w:p w14:paraId="06C23502"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Median household income </w:t>
      </w:r>
    </w:p>
    <w:p w14:paraId="63782F11"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comorbidities </w:t>
      </w:r>
      <w:r>
        <w:rPr>
          <w:rFonts w:ascii="Arial" w:hAnsi="Arial" w:cs="Arial"/>
          <w:sz w:val="22"/>
          <w:szCs w:val="22"/>
        </w:rPr>
        <w:fldChar w:fldCharType="begin"/>
      </w:r>
      <w:r>
        <w:rPr>
          <w:rFonts w:ascii="Arial" w:hAnsi="Arial" w:cs="Arial"/>
          <w:sz w:val="22"/>
          <w:szCs w:val="22"/>
        </w:rPr>
        <w:instrText xml:space="preserve"> ADDIN ZOTERO_ITEM CSL_CITATION {"citationID":"y8v4oLVs","properties":{"formattedCitation":"[77]","plainCitation":"[77]","noteIndex":0},"citationItems":[{"id":"EETchYnv/Q5kXQHFU","uris":["http://zotero.org/users/5542045/items/TXF58YR4",["http://zotero.org/users/5542045/items/TXF58YR4"]],"itemData":{"id":524,"type":"article-journal","abstract":"Hypertension is one of the most common chronic conditions worldwide. There is strong evidence that low socioeconomic status is associated with elevated rates of blood pressure-related cardiovascular disease. Few studies have examined the association between socioeconomic circumstances and hypertension among people aged 65 years and older. The purpose of this study was to examine the relationship between household income and self-reported hypertension prevalence among persons aged 65 and older in the United States and Canada. Data were obtained from the 2002–2003 Joint Canada/United States Survey of Health for 755 Canadian and 1151 US adults aged 65 and older. Aggregate hypertension prevalence rates in the United States and Canada were generally similar (53.8% versus 48.0%). We found a significant inverse linear relationship between household income and the hypertension prevalence rate in the United States, but no evidence of such a relationship in Canada. In Canada, unlike the United States, the burden of hypertension is approximately equal for socioeconomically advantaged and disadvantaged older adults. It is important to consider these findings in the context of long-term and broader institutional policies. Social disparities and barriers to health care access and primary prevention among non-elderly persons in the United States may play a role in the higher hypertension prevalence rate among low-income older adults.","container-title":"Social Science &amp; Medicine","DOI":"10.1016/j.socscimed.2009.11.019","ISSN":"0277-9536","issue":"6","journalAbbreviation":"Social Science &amp; Medicine","language":"en","page":"844-849","source":"ScienceDirect","title":"Self-reported hypertension prevalence and income among older adults in Canada and the United States","volume":"70","author":[{"family":"Kaplan","given":"Mark S."},{"family":"Huguet","given":"Nathalie"},{"family":"Feeny","given":"David H."},{"family":"McFarland","given":"Bentson H."}],"issued":{"date-parts":[["2010",3,1]]}}}],"schema":"https://github.com/citation-style-language/schema/raw/master/csl-citation.json"} </w:instrText>
      </w:r>
      <w:r>
        <w:rPr>
          <w:rFonts w:ascii="Arial" w:hAnsi="Arial" w:cs="Arial"/>
          <w:sz w:val="22"/>
          <w:szCs w:val="22"/>
        </w:rPr>
        <w:fldChar w:fldCharType="separate"/>
      </w:r>
      <w:r>
        <w:rPr>
          <w:rFonts w:ascii="Arial" w:hAnsi="Arial" w:cs="Arial"/>
          <w:sz w:val="22"/>
        </w:rPr>
        <w:t>[77]</w:t>
      </w:r>
      <w:r>
        <w:rPr>
          <w:rFonts w:ascii="Arial" w:hAnsi="Arial" w:cs="Arial"/>
          <w:sz w:val="22"/>
          <w:szCs w:val="22"/>
        </w:rPr>
        <w:fldChar w:fldCharType="end"/>
      </w:r>
    </w:p>
    <w:p w14:paraId="14B298DD"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Political affiliation </w:t>
      </w:r>
      <w:r>
        <w:rPr>
          <w:rFonts w:ascii="Arial" w:hAnsi="Arial" w:cs="Arial"/>
          <w:sz w:val="22"/>
          <w:szCs w:val="22"/>
        </w:rPr>
        <w:fldChar w:fldCharType="begin"/>
      </w:r>
      <w:r>
        <w:rPr>
          <w:rFonts w:ascii="Arial" w:hAnsi="Arial" w:cs="Arial"/>
          <w:sz w:val="22"/>
          <w:szCs w:val="22"/>
        </w:rPr>
        <w:instrText xml:space="preserve"> ADDIN ZOTERO_ITEM CSL_CITATION {"citationID":"QOM2mwiX","properties":{"formattedCitation":"[78]","plainCitation":"[78]","noteIndex":0},"citationItems":[{"id":"EETchYnv/0E6nP0YY","uris":["http://zotero.org/users/5542045/items/TKL4HRXW",["http://zotero.org/users/5542045/items/TKL4HRXW"]],"itemData":{"id":623,"type":"article-journal","abstract":"Recently released data from the 2016 American National Election Study allow us to offer a multifaceted profile of white voters who voted for Donald J. Trump in the 2016 presidential election. We find that Trump?s supporters voted for him mainly because they share his prejudices, not because they?re financially stressed. It?s true, as exit polls showed, that voters without four-year college degrees were likelier than average to support Trump. But millions of these voters?who are often stereotyped as ?the white working class??opposed Trump because they oppose his prejudices. These prejudices, meanwhile, have a definite structure, which we argue should be called authoritarian: negatively, they target minorities and women; and positively, they favor domineering and intolerant leaders who are uninhibited about their biases. Multivariate logistic regression shows that, once we take these biases into account, demographic factors (age, education, etc.) lose their explanatory power. The electorate, in short, is deeply divided. Nearly 75% of Trump supporters count themselves among his enthusiastic supporters, and even ?mild? Trump voters are much closer in their attitudes to Trump?s enthusiasts than they are to non-Trump voters. Polarization is profound, and may be growing.","container-title":"Critical Sociology","DOI":"10.1177/0896920517740615","ISSN":"0896-9205","issue":"2","journalAbbreviation":"Critical Sociology","note":"publisher: SAGE Publications Ltd","page":"195-212","source":"SAGE Journals","title":"The Anger Games: Who Voted for Donald Trump in the 2016 Election, and Why?","title-short":"The Anger Games","volume":"44","author":[{"family":"Smith","given":"David Norman"},{"family":"Hanley","given":"Eric"}],"issued":{"date-parts":[["2018",3,1]]}}}],"schema":"https://github.com/citation-style-language/schema/raw/master/csl-citation.json"} </w:instrText>
      </w:r>
      <w:r>
        <w:rPr>
          <w:rFonts w:ascii="Arial" w:hAnsi="Arial" w:cs="Arial"/>
          <w:sz w:val="22"/>
          <w:szCs w:val="22"/>
        </w:rPr>
        <w:fldChar w:fldCharType="separate"/>
      </w:r>
      <w:r>
        <w:rPr>
          <w:rFonts w:ascii="Arial" w:hAnsi="Arial" w:cs="Arial"/>
          <w:sz w:val="22"/>
        </w:rPr>
        <w:t>[78]</w:t>
      </w:r>
      <w:r>
        <w:rPr>
          <w:rFonts w:ascii="Arial" w:hAnsi="Arial" w:cs="Arial"/>
          <w:sz w:val="22"/>
          <w:szCs w:val="22"/>
        </w:rPr>
        <w:fldChar w:fldCharType="end"/>
      </w:r>
    </w:p>
    <w:p w14:paraId="229F092A"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Household size </w:t>
      </w:r>
      <w:r>
        <w:rPr>
          <w:rFonts w:ascii="Arial" w:hAnsi="Arial" w:cs="Arial"/>
          <w:sz w:val="22"/>
          <w:szCs w:val="22"/>
        </w:rPr>
        <w:fldChar w:fldCharType="begin"/>
      </w:r>
      <w:r>
        <w:rPr>
          <w:rFonts w:ascii="Arial" w:hAnsi="Arial" w:cs="Arial"/>
          <w:sz w:val="22"/>
          <w:szCs w:val="22"/>
        </w:rPr>
        <w:instrText xml:space="preserve"> ADDIN ZOTERO_ITEM CSL_CITATION {"citationID":"4EiKkNcr","properties":{"formattedCitation":"[79]","plainCitation":"[79]","noteIndex":0},"citationItems":[{"id":"EETchYnv/Wu8HZHZR","uris":["http://zotero.org/users/5542045/items/BQNPCFWU",["http://zotero.org/users/5542045/items/BQNPCFWU"]],"itemData":{"id":601,"type":"article-journal","collection-title":"Current Population Reports","language":"en","page":"88","source":"Zotero","title":"Income and Poverty in the United States: 2019","author":[{"family":"Semega","given":"Jessica"},{"family":"Kollar","given":"Melissa"},{"family":"Shrider","given":"Emily A"},{"family":"Creamer","given":"John F"}]}}],"schema":"https://github.com/citation-style-language/schema/raw/master/csl-citation.json"} </w:instrText>
      </w:r>
      <w:r>
        <w:rPr>
          <w:rFonts w:ascii="Arial" w:hAnsi="Arial" w:cs="Arial"/>
          <w:sz w:val="22"/>
          <w:szCs w:val="22"/>
        </w:rPr>
        <w:fldChar w:fldCharType="separate"/>
      </w:r>
      <w:r>
        <w:rPr>
          <w:rFonts w:ascii="Arial" w:hAnsi="Arial" w:cs="Arial"/>
          <w:sz w:val="22"/>
        </w:rPr>
        <w:t>[79]</w:t>
      </w:r>
      <w:r>
        <w:rPr>
          <w:rFonts w:ascii="Arial" w:hAnsi="Arial" w:cs="Arial"/>
          <w:sz w:val="22"/>
          <w:szCs w:val="22"/>
        </w:rPr>
        <w:fldChar w:fldCharType="end"/>
      </w:r>
    </w:p>
    <w:p w14:paraId="4A2F508C"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Housing quality </w:t>
      </w:r>
      <w:r>
        <w:rPr>
          <w:rFonts w:ascii="Arial" w:hAnsi="Arial" w:cs="Arial"/>
          <w:sz w:val="22"/>
          <w:szCs w:val="22"/>
        </w:rPr>
        <w:fldChar w:fldCharType="begin"/>
      </w:r>
      <w:r>
        <w:rPr>
          <w:rFonts w:ascii="Arial" w:hAnsi="Arial" w:cs="Arial"/>
          <w:sz w:val="22"/>
          <w:szCs w:val="22"/>
        </w:rPr>
        <w:instrText xml:space="preserve"> ADDIN ZOTERO_ITEM CSL_CITATION {"citationID":"CvZrXdQq","properties":{"formattedCitation":"[80]","plainCitation":"[80]","noteIndex":0},"citationItems":[{"id":"EETchYnv/ZBaa1EAJ","uris":["http://zotero.org/users/5542045/items/2SUCT7EN",["http://zotero.org/users/5542045/items/2SUCT7EN"]],"itemData":{"id":497,"type":"article-journal","abstract":"Disparities in outdoor air pollution exposure between individuals of differing socio-economic status is a growing area of research, widely explored in the environmental health literature. However, in developed countries, around 80% of time is spent indoors, meaning indoor air pollution may be a better proxy for personal exposure. Building characteristics - such as build quality, volume and ventilation - and occupant behaviour, mean indoor air pollution may also vary across socio-economic groups, leading to health inequalities. Much of the existing literature has focused on inequalities in exposure to outdoor air pollution, and there is thus a lack of an evidence base reviewing data for indoor environments. In this study, a scoping review of the literature on indoor air pollution exposures across different socio-economic groups is performed, examining evidence from both monitoring and modelling studies in the developed world. The literature was reviewed, identifying different indoor pollutants, definitions for socio-economic status and pre- and post- housing interventions. Based on the review, the study proposes a modelling methodology for evaluating the effects of environmental policies on different socio-economic populations. Using a sample size calculation, obstacles in obtaining sufficiently large samples of monitored data are demonstrated. A modelling framework for the rapid quantification of daily home exposure is then outlined as a proof of concept. While significant additional research is required to examine inequalities in indoor exposures, modelling approaches may provide opportunities to quantify exposure disparities due to housing and behaviours across populations of different socio-economic status.","container-title":"Environment International","DOI":"10.1016/j.envint.2020.105748","ISSN":"0160-4120","journalAbbreviation":"Environment International","language":"en","page":"105748","source":"ScienceDirect","title":"Exposure to indoor air pollution across socio-economic groups in high-income countries: A scoping review of the literature and a modelling methodology","title-short":"Exposure to indoor air pollution across socio-economic groups in high-income countries","volume":"143","author":[{"family":"Ferguson","given":"Lauren"},{"family":"Taylor","given":"Jonathon"},{"family":"Davies","given":"Michael"},{"family":"Shrubsole","given":"Clive"},{"family":"Symonds","given":"Phil"},{"family":"Dimitroulopoulou","given":"Sani"}],"issued":{"date-parts":[["2020",10,1]]}}}],"schema":"https://github.com/citation-style-language/schema/raw/master/csl-citation.json"} </w:instrText>
      </w:r>
      <w:r>
        <w:rPr>
          <w:rFonts w:ascii="Arial" w:hAnsi="Arial" w:cs="Arial"/>
          <w:sz w:val="22"/>
          <w:szCs w:val="22"/>
        </w:rPr>
        <w:fldChar w:fldCharType="separate"/>
      </w:r>
      <w:r>
        <w:rPr>
          <w:rFonts w:ascii="Arial" w:hAnsi="Arial" w:cs="Arial"/>
          <w:sz w:val="22"/>
        </w:rPr>
        <w:t>[80]</w:t>
      </w:r>
      <w:r>
        <w:rPr>
          <w:rFonts w:ascii="Arial" w:hAnsi="Arial" w:cs="Arial"/>
          <w:sz w:val="22"/>
          <w:szCs w:val="22"/>
        </w:rPr>
        <w:fldChar w:fldCharType="end"/>
      </w:r>
    </w:p>
    <w:p w14:paraId="1431DEDB"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vaccination </w:t>
      </w:r>
      <w:r>
        <w:rPr>
          <w:rFonts w:ascii="Arial" w:hAnsi="Arial" w:cs="Arial"/>
          <w:sz w:val="22"/>
          <w:szCs w:val="22"/>
        </w:rPr>
        <w:fldChar w:fldCharType="begin"/>
      </w:r>
      <w:r>
        <w:rPr>
          <w:rFonts w:ascii="Arial" w:hAnsi="Arial" w:cs="Arial"/>
          <w:sz w:val="22"/>
          <w:szCs w:val="22"/>
        </w:rPr>
        <w:instrText xml:space="preserve"> ADDIN ZOTERO_ITEM CSL_CITATION {"citationID":"Vb7R7diW","properties":{"formattedCitation":"[53]","plainCitation":"[53]","noteIndex":0},"citationItems":[{"id":"EETchYnv/PPEcG259","uris":["http://zotero.org/users/5542045/items/LB6TPMKA",["http://zotero.org/users/5542045/items/LB6TPMKA"]],"itemData":{"id":573,"type":"article-journal","abstract":"Given the results from early trials, COVID-19 vaccines will be available by 2021. However, little is known about what Americans think of getting immunized with a COVID-19 vaccine. Thus, the purpose of this study was to conduct a comprehensive and systematic national assessment of COVID-19 vaccine hesitancy in a community-based sample of the American adult population. A multi</w:instrText>
      </w:r>
      <w:r>
        <w:rPr>
          <w:rFonts w:ascii="Cambria Math" w:hAnsi="Cambria Math" w:cs="Cambria Math"/>
          <w:sz w:val="22"/>
          <w:szCs w:val="22"/>
        </w:rPr>
        <w:instrText>‐</w:instrText>
      </w:r>
      <w:r>
        <w:rPr>
          <w:rFonts w:ascii="Arial" w:hAnsi="Arial" w:cs="Arial"/>
          <w:sz w:val="22"/>
          <w:szCs w:val="22"/>
        </w:rPr>
        <w:instrText xml:space="preserve">item valid and reliable questionnaire was deployed online via mTurk and social media sites to recruit U.S. adults from the general population. A total of 1878 individuals participated in the study where the majority were: females (52%), Whites (74%), non-Hispanic (81%), married (56%), employed full time (68%), and with a bachelor’s degree or higher (77%). The likelihood of getting a COVID-19 immunization in the study population was: very likely (52%), somewhat likely (27%), not likely (15%), definitely not (7%), with individuals who had lower education, income, or perceived threat of getting infected being more likely to report that they were not likely/definitely not going to get COVID-19 vaccine (i.e., vaccine hesitancy). In unadjusted group comparisons, compared to their counterparts, vaccine hesitancy was higher among African-Americans (34%), Hispanics (29%), those who had children at home (25%), rural dwellers (29%), people in the northeastern U.S. (25%), and those who identified as Republicans (29%). In multiple regression analyses, vaccine hesitancy was predicted significantly by sex, education, employment, income, having children at home, political affiliation, and the perceived threat of getting infected with COVID-19 in the next 1 year. Given the high prevalence of COVID-19 vaccine hesitancy, evidence-based communication, mass media strategies, and policy measures will have to be implemented across the U.S. to convert vaccines into vaccinations and mass immunization with special attention to the groups identified in this study.","container-title":"Journal of Community Health","DOI":"10.1007/s10900-020-00958-x","ISSN":"1573-3610","issue":"2","journalAbbreviation":"J Community Health","language":"en","license":"2021 The Author(s), under exclusive licence to Springer Science+Business Media, LLC part of Springer Nature","note":"Company: Springer\nDistributor: Springer\nInstitution: Springer\nLabel: Springer\nnumber: 2\npublisher: Springer US","page":"270-277","source":"link.springer.com","title":"COVID-19 Vaccination Hesitancy in the United States: A Rapid National Assessment","title-short":"COVID-19 Vaccination Hesitancy in the United States","volume":"46","author":[{"family":"Khubchandani","given":"Jagdish"},{"family":"Sharma","given":"Sushil"},{"family":"Price","given":"James H."},{"family":"Wiblishauser","given":"Michael J."},{"family":"Sharma","given":"Manoj"},{"family":"Webb","given":"Fern J."}],"issued":{"date-parts":[["2021",4,1]]}}}],"schema":"https://github.com/citation-style-language/schema/raw/master/csl-citation.json"} </w:instrText>
      </w:r>
      <w:r>
        <w:rPr>
          <w:rFonts w:ascii="Arial" w:hAnsi="Arial" w:cs="Arial"/>
          <w:sz w:val="22"/>
          <w:szCs w:val="22"/>
        </w:rPr>
        <w:fldChar w:fldCharType="separate"/>
      </w:r>
      <w:r>
        <w:rPr>
          <w:rFonts w:ascii="Arial" w:hAnsi="Arial" w:cs="Arial"/>
          <w:sz w:val="22"/>
        </w:rPr>
        <w:t>[53]</w:t>
      </w:r>
      <w:r>
        <w:rPr>
          <w:rFonts w:ascii="Arial" w:hAnsi="Arial" w:cs="Arial"/>
          <w:sz w:val="22"/>
          <w:szCs w:val="22"/>
        </w:rPr>
        <w:fldChar w:fldCharType="end"/>
      </w:r>
    </w:p>
    <w:p w14:paraId="583F42C9"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Median household income is associated with…</w:t>
      </w:r>
    </w:p>
    <w:p w14:paraId="0DF200F3"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Education </w:t>
      </w:r>
      <w:r>
        <w:rPr>
          <w:rFonts w:ascii="Arial" w:hAnsi="Arial" w:cs="Arial"/>
          <w:sz w:val="22"/>
          <w:szCs w:val="22"/>
        </w:rPr>
        <w:fldChar w:fldCharType="begin"/>
      </w:r>
      <w:r>
        <w:rPr>
          <w:rFonts w:ascii="Arial" w:hAnsi="Arial" w:cs="Arial"/>
          <w:sz w:val="22"/>
          <w:szCs w:val="22"/>
        </w:rPr>
        <w:instrText xml:space="preserve"> ADDIN ZOTERO_ITEM CSL_CITATION {"citationID":"ehGpBCxC","properties":{"formattedCitation":"[81]","plainCitation":"[81]","noteIndex":0},"citationItems":[{"id":"EETchYnv/a7B4TDNj","uris":["http://zotero.org/users/5542045/items/FAQKCASL",["http://zotero.org/users/5542045/items/FAQKCASL"]],"itemData":{"id":583,"type":"article-journal","container-title":"Social Policy","issue":"1","language":"en","page":"12","source":"Zotero","title":"Economic Determinant Analysis of Student Academic Performance in Mississippi Public Schools","volume":"24","author":[{"family":"Monroe-Lax","given":"Debra"},{"family":"Ko","given":"Jae-Young"}],"issued":{"date-parts":[["2017"]]}}}],"schema":"https://github.com/citation-style-language/schema/raw/master/csl-citation.json"} </w:instrText>
      </w:r>
      <w:r>
        <w:rPr>
          <w:rFonts w:ascii="Arial" w:hAnsi="Arial" w:cs="Arial"/>
          <w:sz w:val="22"/>
          <w:szCs w:val="22"/>
        </w:rPr>
        <w:fldChar w:fldCharType="separate"/>
      </w:r>
      <w:r>
        <w:rPr>
          <w:rFonts w:ascii="Arial" w:hAnsi="Arial" w:cs="Arial"/>
          <w:sz w:val="22"/>
        </w:rPr>
        <w:t>[81]</w:t>
      </w:r>
      <w:r>
        <w:rPr>
          <w:rFonts w:ascii="Arial" w:hAnsi="Arial" w:cs="Arial"/>
          <w:sz w:val="22"/>
          <w:szCs w:val="22"/>
        </w:rPr>
        <w:fldChar w:fldCharType="end"/>
      </w:r>
    </w:p>
    <w:p w14:paraId="181B1B49"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PM</w:t>
      </w:r>
      <w:r>
        <w:rPr>
          <w:rFonts w:ascii="Arial" w:hAnsi="Arial" w:cs="Arial"/>
          <w:sz w:val="22"/>
          <w:szCs w:val="22"/>
          <w:vertAlign w:val="subscript"/>
        </w:rPr>
        <w:t>2.5</w:t>
      </w:r>
      <w:r>
        <w:rPr>
          <w:rFonts w:ascii="Arial" w:hAnsi="Arial" w:cs="Arial"/>
          <w:sz w:val="22"/>
          <w:szCs w:val="22"/>
        </w:rPr>
        <w:t xml:space="preserve"> exposure </w:t>
      </w:r>
      <w:r>
        <w:rPr>
          <w:rFonts w:ascii="Arial" w:hAnsi="Arial" w:cs="Arial"/>
          <w:sz w:val="22"/>
          <w:szCs w:val="22"/>
        </w:rPr>
        <w:fldChar w:fldCharType="begin"/>
      </w:r>
      <w:r>
        <w:rPr>
          <w:rFonts w:ascii="Arial" w:hAnsi="Arial" w:cs="Arial"/>
          <w:sz w:val="22"/>
          <w:szCs w:val="22"/>
        </w:rPr>
        <w:instrText xml:space="preserve"> ADDIN ZOTERO_ITEM CSL_CITATION {"citationID":"GFetC0Am","properties":{"formattedCitation":"[82]","plainCitation":"[82]","noteIndex":0},"citationItems":[{"id":"EETchYnv/W9xBONZZ","uris":["http://zotero.org/users/5542045/items/UILLJEF3",["http://zotero.org/users/5542045/items/UILLJEF3"]],"itemData":{"id":609,"type":"report","abstract":"Exposure to ambient air pollution contributes substantially to the global burden of disease, and in 2015, ambient exposure to PM2.5 (ﬁne particles with a mass median aerodynamic diameter of less than 2.5 µm) was the ﬁfth-ranking risk factor of mortality globally. We analyzed data from the US zip code tabulation areas (N=32047) for 2000-2016 and found strong evidence of inequalities in exposure to PM2.5 among both racial/ethnic and income groups. Most alarming, we found that these inequalities have been increasing over time. From 2010 to 2016 inequalities in the exposure to PM2.5 levels above 8 µg/m3 across racial/ethnic, and income groups increased by factors of 1.6 and 4.0 respectively. As shown in our powerful map visualizations, these results indicate that air pollution regulations must not only decrease PM2.5 concentration levels nationwide but also prioritize reducing environmental injustice across the US.","genre":"preprint","language":"en","note":"DOI: 10.1101/2020.07.13.20152942","publisher":"Occupational and Environmental Health","source":"DOI.org (Crossref)","title":"Inequalities in air pollution exposure are increasing in the United States","URL":"http://medrxiv.org/lookup/doi/10.1101/2020.07.13.20152942","author":[{"family":"Jbaily","given":"Abdulrahman"},{"family":"Zhou","given":"Xiaodan"},{"family":"Liu","given":"Jie"},{"family":"Lee","given":"Ting-Hwan"},{"family":"Verguet","given":"Stéphane"},{"family":"Dominici","given":"Francesca"}],"accessed":{"date-parts":[["2021",7,20]]},"issued":{"date-parts":[["2020",7,15]]}}}],"schema":"https://github.com/citation-style-language/schema/raw/master/csl-citation.json"} </w:instrText>
      </w:r>
      <w:r>
        <w:rPr>
          <w:rFonts w:ascii="Arial" w:hAnsi="Arial" w:cs="Arial"/>
          <w:sz w:val="22"/>
          <w:szCs w:val="22"/>
        </w:rPr>
        <w:fldChar w:fldCharType="separate"/>
      </w:r>
      <w:r>
        <w:rPr>
          <w:rFonts w:ascii="Arial" w:hAnsi="Arial" w:cs="Arial"/>
          <w:sz w:val="22"/>
        </w:rPr>
        <w:t>[82]</w:t>
      </w:r>
      <w:r>
        <w:rPr>
          <w:rFonts w:ascii="Arial" w:hAnsi="Arial" w:cs="Arial"/>
          <w:sz w:val="22"/>
          <w:szCs w:val="22"/>
        </w:rPr>
        <w:fldChar w:fldCharType="end"/>
      </w:r>
    </w:p>
    <w:p w14:paraId="62F26B0D"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Greenness </w:t>
      </w:r>
      <w:r>
        <w:rPr>
          <w:rFonts w:ascii="Arial" w:hAnsi="Arial" w:cs="Arial"/>
          <w:sz w:val="22"/>
          <w:szCs w:val="22"/>
        </w:rPr>
        <w:fldChar w:fldCharType="begin"/>
      </w:r>
      <w:r>
        <w:rPr>
          <w:rFonts w:ascii="Arial" w:hAnsi="Arial" w:cs="Arial"/>
          <w:sz w:val="22"/>
          <w:szCs w:val="22"/>
        </w:rPr>
        <w:instrText xml:space="preserve"> ADDIN ZOTERO_ITEM CSL_CITATION {"citationID":"5sB32dlh","properties":{"formattedCitation":"[83]","plainCitation":"[83]","noteIndex":0},"citationItems":[{"id":"EETchYnv/TbG1g5xH","uris":["http://zotero.org/users/5542045/items/IX4VRC9Q",["http://zotero.org/users/5542045/items/IX4VRC9Q"]],"itemData":{"id":613,"type":"article-journal","abstract":"The goal of this paper was to investigate poverty and inequities that are associated with vegetation. First, we performed a pixel-level linear regression on time-series and Normalized Difference Vegetation Index (NDVI) for 72 United States (U.S.) cities with a population </w:instrText>
      </w:r>
      <w:r>
        <w:rPr>
          <w:rFonts w:ascii="Arial" w:hAnsi="Arial" w:cs="Arial" w:hint="eastAsia"/>
          <w:sz w:val="22"/>
          <w:szCs w:val="22"/>
        </w:rPr>
        <w:instrText>≥</w:instrText>
      </w:r>
      <w:r>
        <w:rPr>
          <w:rFonts w:ascii="Arial" w:hAnsi="Arial" w:cs="Arial"/>
          <w:sz w:val="22"/>
          <w:szCs w:val="22"/>
        </w:rPr>
        <w:instrText xml:space="preserve">250,000 for 16 years (1990, 1991, 1995, 1996, 1997, 1998, and 2001 to 2010) using Advanced Very High Resolution Radiometer 1-kilometer (1-km). Second, from the pixel-level regression, we selected five U.S. cities (Shrinking: Chicago, Detroit, Philadelphia, and Growing: Dallas and Tucson) that were one standard deviation above the overall r-squared mean and one standard deviation below the overall r-squared mean to show cities that were different from the typical cities. Finally, we used spatial statistics to investigate the relationship between census tract level data (i.e., poverty, population, and race) and vegetation for 2010, based on the 1-km grid cells using Ordinary Least Squares Regression and Geographically Weighted Regression. Our results revealed poverty related areas were significantly correlated with positive high and/or negative high vegetation in both shrinking and growing cities. This paper makes a contribution to the academic body of knowledge on U.S. urban shrinking and growing cities by using a comparative analysis with global and local spatial statistics to understand the relationship between vegetation and socioeconomic inequality.","DOI":"10.3390/ijgi7030083","language":"en","license":"Creative Commons Attribution 4.0 International","note":"Accepted: 2018-03-23T13:02:35Z\npublisher: MDPI","source":"vtechworks.lib.vt.edu","title":"A Spatial Analysis of the Relationship between Vegetation and Poverty","URL":"https://vtechworks.lib.vt.edu/handle/10919/82546","author":[{"family":"Dawson","given":"Teddy"},{"family":"Sandoval","given":"J. S. Onésimo"},{"family":"Sagan","given":"Vasit"},{"family":"Crawford","given":"Thomas"}],"accessed":{"date-parts":[["2021",7,20]]},"issued":{"date-parts":[["2018",3,1]]}}}],"schema":"https://github.com/citation-style-language/schema/raw/master/csl-citation.json"} </w:instrText>
      </w:r>
      <w:r>
        <w:rPr>
          <w:rFonts w:ascii="Arial" w:hAnsi="Arial" w:cs="Arial"/>
          <w:sz w:val="22"/>
          <w:szCs w:val="22"/>
        </w:rPr>
        <w:fldChar w:fldCharType="separate"/>
      </w:r>
      <w:r>
        <w:rPr>
          <w:rFonts w:ascii="Arial" w:hAnsi="Arial" w:cs="Arial"/>
          <w:sz w:val="22"/>
        </w:rPr>
        <w:t>[83]</w:t>
      </w:r>
      <w:r>
        <w:rPr>
          <w:rFonts w:ascii="Arial" w:hAnsi="Arial" w:cs="Arial"/>
          <w:sz w:val="22"/>
          <w:szCs w:val="22"/>
        </w:rPr>
        <w:fldChar w:fldCharType="end"/>
      </w:r>
    </w:p>
    <w:p w14:paraId="0901C005"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Population density </w:t>
      </w:r>
      <w:r>
        <w:rPr>
          <w:rFonts w:ascii="Arial" w:hAnsi="Arial" w:cs="Arial"/>
          <w:sz w:val="22"/>
          <w:szCs w:val="22"/>
        </w:rPr>
        <w:fldChar w:fldCharType="begin"/>
      </w:r>
      <w:r>
        <w:rPr>
          <w:rFonts w:ascii="Arial" w:hAnsi="Arial" w:cs="Arial"/>
          <w:sz w:val="22"/>
          <w:szCs w:val="22"/>
        </w:rPr>
        <w:instrText xml:space="preserve"> ADDIN ZOTERO_ITEM CSL_CITATION {"citationID":"uvqMOiA6","properties":{"formattedCitation":"[84]","plainCitation":"[84]","noteIndex":0},"citationItems":[{"id":"EETchYnv/5lmXnJhp","uris":["http://zotero.org/users/5542045/items/BLJ3YYGK",["http://zotero.org/users/5542045/items/BLJ3YYGK"]],"itemData":{"id":584,"type":"article-journal","abstract":"Obesity and diabetes are global public health concerns. Studies indicate a relationship between socioeconomic, demographic and environmental variables and the spatial patterns of diet-related chronic disease. In this paper, we propose a methodology using model-based clustering and variable selection to predict rates of obesity and diabetes. We test this method through an application in the northeastern United States.\nWe use model-based clustering, an unsupervised learning approach, to find latent clusters of similar US counties based on a set of socioeconomic, demographic, and environmental variables chosen through the process of variable selection. We then use Analysis of Variance and Post-hoc Tukey comparisons to examine differences in rates of obesity and diabetes for the clusters from the resulting clustering solution.\nWe find access to supermarkets, median household income, population density and socioeconomic status to be important in clustering the counties of two northeastern states. The results of the cluster analysis can be used to identify two sets of counties with significantly lower rates of diet-related chronic disease than those observed in the other identified clusters. These relatively healthy clusters are distinguished by the large central and large fringe metropolitan areas contained in their component counties. However, the relationship of socio-demographic factors and diet-related chronic disease is more complicated than previous research would suggest. Additionally, we find evidence of low food access in two clusters of counties adjacent to large central and fringe metropolitan areas. While food access has previously been seen as a problem of inner-city or remote rural areas, this study offers preliminary evidence of declining food access in suburban areas.\nModel-based clustering with variable selection offers a new approach to the analysis of socioeconomic, demographic, and environmental data for diet-related chronic disease prediction. In a test application to two northeastern states, this method allows us to identify two sets of metropolitan counties with significantly lower diet-related chronic disease rates than those observed in most rural and suburban areas. Our method could be applied to larger geographic areas or other countries with comparable data sets, offering a promising method for researchers interested in the global increase in diet-related chronic disease.","container-title":"International Journal of Health Geographics","DOI":"10.1186/s12942-015-0017-5","journalAbbreviation":"International Journal of Health Geographics","source":"ResearchGate","title":"Diet-related chronic disease in the northeastern United States: A model-based clustering approach","title-short":"Diet-related chronic disease in the northeastern United States","volume":"14","author":[{"family":"Flynt","given":"Abby"},{"family":"Daepp","given":"Madeleine"}],"issued":{"date-parts":[["2015",12,1]]}}}],"schema":"https://github.com/citation-style-language/schema/raw/master/csl-citation.json"} </w:instrText>
      </w:r>
      <w:r>
        <w:rPr>
          <w:rFonts w:ascii="Arial" w:hAnsi="Arial" w:cs="Arial"/>
          <w:sz w:val="22"/>
          <w:szCs w:val="22"/>
        </w:rPr>
        <w:fldChar w:fldCharType="separate"/>
      </w:r>
      <w:r>
        <w:rPr>
          <w:rFonts w:ascii="Arial" w:hAnsi="Arial" w:cs="Arial"/>
          <w:sz w:val="22"/>
        </w:rPr>
        <w:t>[84]</w:t>
      </w:r>
      <w:r>
        <w:rPr>
          <w:rFonts w:ascii="Arial" w:hAnsi="Arial" w:cs="Arial"/>
          <w:sz w:val="22"/>
          <w:szCs w:val="22"/>
        </w:rPr>
        <w:fldChar w:fldCharType="end"/>
      </w:r>
    </w:p>
    <w:p w14:paraId="233041AE"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Political affiliation </w:t>
      </w:r>
      <w:r>
        <w:rPr>
          <w:rFonts w:ascii="Arial" w:hAnsi="Arial" w:cs="Arial"/>
          <w:sz w:val="22"/>
          <w:szCs w:val="22"/>
        </w:rPr>
        <w:fldChar w:fldCharType="begin"/>
      </w:r>
      <w:r>
        <w:rPr>
          <w:rFonts w:ascii="Arial" w:hAnsi="Arial" w:cs="Arial"/>
          <w:sz w:val="22"/>
          <w:szCs w:val="22"/>
        </w:rPr>
        <w:instrText xml:space="preserve"> ADDIN ZOTERO_ITEM CSL_CITATION {"citationID":"jzLaHXYi","properties":{"formattedCitation":"[85]","plainCitation":"[85]","noteIndex":0},"citationItems":[{"id":"EETchYnv/XljvY2t5","uris":["http://zotero.org/users/5542045/items/86WRIVLX",["http://zotero.org/users/5542045/items/86WRIVLX"]],"itemData":{"id":589,"type":"webpage","title":"Trend Research: Social, Economic, and Political Differences","URL":"https://extension.osu.edu/sites/ext/files/imce/About_docs/Future_Conversations/17%20trends-social_economic_and_political_differences.pdf","author":[{"literal":"Ohio State University"}],"accessed":{"date-parts":[["2021",7,16]]}}}],"schema":"https://github.com/citation-style-language/schema/raw/master/csl-citation.json"} </w:instrText>
      </w:r>
      <w:r>
        <w:rPr>
          <w:rFonts w:ascii="Arial" w:hAnsi="Arial" w:cs="Arial"/>
          <w:sz w:val="22"/>
          <w:szCs w:val="22"/>
        </w:rPr>
        <w:fldChar w:fldCharType="separate"/>
      </w:r>
      <w:r>
        <w:rPr>
          <w:rFonts w:ascii="Arial" w:hAnsi="Arial" w:cs="Arial"/>
          <w:sz w:val="22"/>
        </w:rPr>
        <w:t>[85]</w:t>
      </w:r>
      <w:r>
        <w:rPr>
          <w:rFonts w:ascii="Arial" w:hAnsi="Arial" w:cs="Arial"/>
          <w:sz w:val="22"/>
          <w:szCs w:val="22"/>
        </w:rPr>
        <w:fldChar w:fldCharType="end"/>
      </w:r>
    </w:p>
    <w:p w14:paraId="0D547D17"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Household size </w:t>
      </w:r>
      <w:r>
        <w:rPr>
          <w:rFonts w:ascii="Arial" w:hAnsi="Arial" w:cs="Arial"/>
          <w:sz w:val="22"/>
          <w:szCs w:val="22"/>
        </w:rPr>
        <w:fldChar w:fldCharType="begin"/>
      </w:r>
      <w:r>
        <w:rPr>
          <w:rFonts w:ascii="Arial" w:hAnsi="Arial" w:cs="Arial"/>
          <w:sz w:val="22"/>
          <w:szCs w:val="22"/>
        </w:rPr>
        <w:instrText xml:space="preserve"> ADDIN ZOTERO_ITEM CSL_CITATION {"citationID":"F66y9f6L","properties":{"formattedCitation":"[86]","plainCitation":"[86]","noteIndex":0},"citationItems":[{"id":"EETchYnv/JQdZfopC","uris":["http://zotero.org/users/5542045/items/ELXTG376",["http://zotero.org/users/5542045/items/ELXTG376"]],"itemData":{"id":987,"type":"article-journal","abstract":"The paper describes within-neighborhood economic segregation in US metropolitan areas in 1985 and 1993. It uses the neighborhood clusters of the American housing survey, standardized by metropolitan area income and household size, to explore income distribution within neighborhoods at a scale much smaller than the census tract (a representative sample of households or ‘kernels’ and their 10 closest neighbors). Joint and conditional distributions portray neighbors’ characteristics conditional on the kernel’s housing tenure, race, and income. The paper documents both significant income mixing in the majority of US urban micro neighborhoods and the extent of income mixing within neighborhoods of concentrated poverty.","collection-title":"Housing and the Macroeconomy: The Nexus","container-title":"Journal of Housing Economics","DOI":"10.1016/j.jhe.2004.09.003","ISSN":"1051-1377","issue":"4","journalAbbreviation":"Journal of Housing Economics","language":"en","page":"368-382","source":"ScienceDirect","title":"Neighbors’ income distribution: economic segregation and mixing in US urban neighborhoods","title-short":"Neighbors’ income distribution","volume":"13","author":[{"family":"Hardman","given":"Anna"},{"family":"Ioannides","given":"Yannis M."}],"issued":{"date-parts":[["2004",12,1]]}}}],"schema":"https://github.com/citation-style-language/schema/raw/master/csl-citation.json"} </w:instrText>
      </w:r>
      <w:r>
        <w:rPr>
          <w:rFonts w:ascii="Arial" w:hAnsi="Arial" w:cs="Arial"/>
          <w:sz w:val="22"/>
          <w:szCs w:val="22"/>
        </w:rPr>
        <w:fldChar w:fldCharType="separate"/>
      </w:r>
      <w:r>
        <w:rPr>
          <w:rFonts w:ascii="Arial" w:hAnsi="Arial" w:cs="Arial"/>
          <w:sz w:val="22"/>
        </w:rPr>
        <w:t>[86]</w:t>
      </w:r>
      <w:r>
        <w:rPr>
          <w:rFonts w:ascii="Arial" w:hAnsi="Arial" w:cs="Arial"/>
          <w:sz w:val="22"/>
          <w:szCs w:val="22"/>
        </w:rPr>
        <w:fldChar w:fldCharType="end"/>
      </w:r>
    </w:p>
    <w:p w14:paraId="7D4F9CC4"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Household size is associated with…</w:t>
      </w:r>
    </w:p>
    <w:p w14:paraId="723DFAFE"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Population density </w:t>
      </w:r>
    </w:p>
    <w:p w14:paraId="4ED2E2C6"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cases </w:t>
      </w:r>
      <w:r>
        <w:rPr>
          <w:rFonts w:ascii="Arial" w:hAnsi="Arial" w:cs="Arial"/>
          <w:sz w:val="22"/>
          <w:szCs w:val="22"/>
        </w:rPr>
        <w:fldChar w:fldCharType="begin"/>
      </w:r>
      <w:r>
        <w:rPr>
          <w:rFonts w:ascii="Arial" w:hAnsi="Arial" w:cs="Arial"/>
          <w:sz w:val="22"/>
          <w:szCs w:val="22"/>
        </w:rPr>
        <w:instrText xml:space="preserve"> ADDIN ZOTERO_ITEM CSL_CITATION {"citationID":"al3S09o8","properties":{"formattedCitation":"[87]","plainCitation":"[87]","noteIndex":0},"citationItems":[{"id":"EETchYnv/ZnmyVnxC","uris":["http://zotero.org/users/5542045/items/IPXTGICK",["http://zotero.org/users/5542045/items/IPXTGICK"]],"itemData":{"id":568,"type":"article-journal","abstract":"In the absence of pharmaceutical interventions, social distancing is being used worldwide to curb the spread of COVID-19. The impact of these measures has been inconsistent, with some regions rapidly nearing disease elimination and others seeing delayed peaks or nearly flat epidemic curves. Here we build a stochastic epidemic model to examine the effects of COVID-19 clinical progression and transmission network structure on the outcomes of social distancing interventions. Our simulations show that long delays between the adoption of control measures and observed declines in cases, hospitalizations, and deaths occur in many scenarios. We find that the strength of within-household transmission is a critical determinant of success, governing the timing and size of the epidemic peak, the rate of decline, individual risks of infection, and the success of partial relaxation measures. The structure of residual external connections, driven by workforce participation and essential businesses, interacts to determine outcomes. We suggest limited conditions under which the formation of household “bubbles” can be safe. These findings can improve future predictions of the timescale and efficacy of interventions needed to control second waves of COVID-19 as well as other similar outbreaks, and highlight the need for better quantification and control of household transmission., Social distancing is the main tool used to control COVID-19, and involves reducing contacts that could potentially transmit infection with strategies like school closures, work-from-home policies, mask-wearing, or lockdowns. These measures have been applied around the world, but in situations where they have suppressed infections, the effect has not been immediate or consistent. In this study we use a mathematical model to simulate the spread and control of COVID-19, tracking the different settings of person-to-person contact (e.g. household, school, workplace) and the different clinical stages an infected individual may pass through before recovery or death. We find that there are often long delays between when strong social distancing policies are adopted and when cases, hospitalizations, and deaths peak and begin to decline. Moreover, we find that the amount of transmission that happens within versus outside the household is critical to determining when social distancing can be effective and the delay until the epidemic peak. We show how the interaction between unmitigated households spread and residual external connections due to essential activities impacts individual risk and population infection levels. These results can be used to better predict the impact of future interventions to control COVID-19 or similar outbreaks","container-title":"medRxiv","DOI":"10.1101/2020.06.04.20121673","journalAbbreviation":"medRxiv","note":"PMID: 32577691\nPMCID: PMC7302300","page":"2020.06.04.20121673","source":"PubMed Central","title":"Dynamics of COVID-19 under social distancing measures are driven by transmission network structure","author":[{"family":"Nande","given":"Anjalika"},{"family":"Adlam","given":"Ben"},{"family":"Sheen","given":"Justin"},{"family":"Levy","given":"Michael Z."},{"family":"Hill","given":"Alison L."}],"issued":{"date-parts":[["2021",1,15]]}}}],"schema":"https://github.com/citation-style-language/schema/raw/master/csl-citation.json"} </w:instrText>
      </w:r>
      <w:r>
        <w:rPr>
          <w:rFonts w:ascii="Arial" w:hAnsi="Arial" w:cs="Arial"/>
          <w:sz w:val="22"/>
          <w:szCs w:val="22"/>
        </w:rPr>
        <w:fldChar w:fldCharType="separate"/>
      </w:r>
      <w:r>
        <w:rPr>
          <w:rFonts w:ascii="Arial" w:hAnsi="Arial" w:cs="Arial"/>
          <w:sz w:val="22"/>
        </w:rPr>
        <w:t>[87]</w:t>
      </w:r>
      <w:r>
        <w:rPr>
          <w:rFonts w:ascii="Arial" w:hAnsi="Arial" w:cs="Arial"/>
          <w:sz w:val="22"/>
          <w:szCs w:val="22"/>
        </w:rPr>
        <w:fldChar w:fldCharType="end"/>
      </w:r>
    </w:p>
    <w:p w14:paraId="0B52B38E"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vaccination </w:t>
      </w:r>
      <w:r>
        <w:rPr>
          <w:rFonts w:ascii="Arial" w:hAnsi="Arial" w:cs="Arial"/>
          <w:sz w:val="22"/>
          <w:szCs w:val="22"/>
        </w:rPr>
        <w:fldChar w:fldCharType="begin"/>
      </w:r>
      <w:r>
        <w:rPr>
          <w:rFonts w:ascii="Arial" w:hAnsi="Arial" w:cs="Arial"/>
          <w:sz w:val="22"/>
          <w:szCs w:val="22"/>
        </w:rPr>
        <w:instrText xml:space="preserve"> ADDIN ZOTERO_ITEM CSL_CITATION {"citationID":"dImbuumo","properties":{"formattedCitation":"[88]","plainCitation":"[88]","noteIndex":0},"citationItems":[{"id":"EETchYnv/fW1rVo83","uris":["http://zotero.org/users/5542045/items/TMHGHHAJ",["http://zotero.org/users/5542045/items/TMHGHHAJ"]],"itemData":{"id":989,"type":"article-journal","abstract":"Background\nA year after the start of the COVID-19 outbreak, the global rollout of vaccines gives us hope of ending the pandemic. Lack of vaccine confidence, however, poses a threat to vaccination campaigns. This study aims at identifying individuals’ characteristics that explain vaccine willingness in Flanders (Belgium), while also describing trends over time (July–December 2020).\nMethods\nThe analysis included data of 10 survey waves of the Great Corona Survey, a large-scale online survey that was open to the general public and had 17,722–32,219 respondents per wave. Uni- and multivariable general additive models were fitted to associate vaccine willingness with socio-demographic and behavioral variables, while correcting for temporal and geographical variability.\nResults\nWe found 84.2% of the respondents willing to be vaccinated, i.e., respondents answering that they were definitely (61.2%) or probably (23.0%) willing to get a COVID-19 vaccine, while 9.8% indicated maybe, 3.9% probably not and 2.2% definitely not. In Flanders, vaccine willingness was highest in July 2020 (90.0%), decreased over the summer period to 80.2% and started to increase again from late September, reaching 85.9% at the end of December 2020. Vaccine willingness was significantly associated with respondents’ characteristics: previous survey participation, age, gender, province, educational attainment, household size, financial situation, employment sector, underlying medical conditions, mental well-being, government trust, knowing someone with severe COVID-19 symptoms and compliance with restrictive measures. These variables could explain much, but not all, variation in vaccine willingness.\nConclusions\nBoth the timing and location of data collection influence vaccine willingness results, emphasizing that comparing data from different regions, countries and/or timepoints should be done with caution. To maximize COVID-19 vaccination coverage, vaccination campaigns should focus on (a combination of) subpopulations: aged 31–50, females, low educational attainment, large households, difficult financial situation, low mental well-being and labourers, unemployed and self-employed citizens.","container-title":"Vaccine","DOI":"10.1016/j.vaccine.2021.10.073","ISSN":"0264-410X","issue":"1","journalAbbreviation":"Vaccine","language":"en","page":"151-161","source":"ScienceDirect","title":"Individual factors influencing COVID-19 vaccine acceptance in between and during pandemic waves (July–December 2020)","volume":"40","author":[{"family":"Valckx","given":"Sara"},{"family":"Crèvecoeur","given":"Jonas"},{"family":"Verelst","given":"Frederik"},{"family":"Vranckx","given":"Maren"},{"family":"Hendrickx","given":"Greet"},{"family":"Hens","given":"Niel"},{"family":"Van Damme","given":"Pierre"},{"family":"Pepermans","given":"Koen"},{"family":"Beutels","given":"Philippe"},{"family":"Neyens","given":"Thomas"}],"issued":{"date-parts":[["2022",1,3]]}}}],"schema":"https://github.com/citation-style-language/schema/raw/master/csl-citation.json"} </w:instrText>
      </w:r>
      <w:r>
        <w:rPr>
          <w:rFonts w:ascii="Arial" w:hAnsi="Arial" w:cs="Arial"/>
          <w:sz w:val="22"/>
          <w:szCs w:val="22"/>
        </w:rPr>
        <w:fldChar w:fldCharType="separate"/>
      </w:r>
      <w:r>
        <w:rPr>
          <w:rFonts w:ascii="Arial" w:hAnsi="Arial" w:cs="Arial"/>
          <w:sz w:val="22"/>
        </w:rPr>
        <w:t>[88]</w:t>
      </w:r>
      <w:r>
        <w:rPr>
          <w:rFonts w:ascii="Arial" w:hAnsi="Arial" w:cs="Arial"/>
          <w:sz w:val="22"/>
          <w:szCs w:val="22"/>
        </w:rPr>
        <w:fldChar w:fldCharType="end"/>
      </w:r>
    </w:p>
    <w:p w14:paraId="7EBEF818"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Population density is associated with…</w:t>
      </w:r>
    </w:p>
    <w:p w14:paraId="7F40A2AE"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PM</w:t>
      </w:r>
      <w:r>
        <w:rPr>
          <w:rFonts w:ascii="Arial" w:hAnsi="Arial" w:cs="Arial"/>
          <w:sz w:val="22"/>
          <w:szCs w:val="22"/>
          <w:vertAlign w:val="subscript"/>
        </w:rPr>
        <w:t>2.5</w:t>
      </w:r>
      <w:r>
        <w:rPr>
          <w:rFonts w:ascii="Arial" w:hAnsi="Arial" w:cs="Arial"/>
          <w:sz w:val="22"/>
          <w:szCs w:val="22"/>
        </w:rPr>
        <w:t xml:space="preserve"> exposure </w:t>
      </w:r>
      <w:r>
        <w:rPr>
          <w:rFonts w:ascii="Arial" w:hAnsi="Arial" w:cs="Arial"/>
          <w:sz w:val="22"/>
          <w:szCs w:val="22"/>
        </w:rPr>
        <w:fldChar w:fldCharType="begin"/>
      </w:r>
      <w:r>
        <w:rPr>
          <w:rFonts w:ascii="Arial" w:hAnsi="Arial" w:cs="Arial"/>
          <w:sz w:val="22"/>
          <w:szCs w:val="22"/>
        </w:rPr>
        <w:instrText xml:space="preserve"> ADDIN ZOTERO_ITEM CSL_CITATION {"citationID":"c5EiEh2E","properties":{"formattedCitation":"[89]","plainCitation":"[89]","noteIndex":0},"citationItems":[{"id":"EETchYnv/omKflxnY","uris":["http://zotero.org/users/5542045/items/5IM6GX9R",["http://zotero.org/users/5542045/items/5IM6GX9R"]],"itemData":{"id":505,"type":"article-journal","abstract":"We use panel data from Germany to analyze the effect of population density on urban air pollution (nitrogen oxides, particulate matter, ozone, and an aggregate index for bad air quality [AQI]). To address unobserved heterogeneity and omitted variables, we present long difference/fixed effects estimates and instrumental variables estimates, using historical population and soil quality as instruments. Using our preferred estimates, we find that the concentration increases with density for NO2 with an elasticity of 0.25 and particulate matter with elasticity of 0.08. The O3 concentration decreases with density with an elasticity of −0.14. The AQI increases with density, with an elasticity of 0.11–0.13. We also present a variety of robustness tests. Overall, the paper shows that higher population density worsens local air quality.","container-title":"Regional Science and Urban Economics","DOI":"10.1016/j.regsciurbeco.2020.103596","ISSN":"0166-0462","journalAbbreviation":"Regional Science and Urban Economics","language":"en","page":"103596","source":"ScienceDirect","title":"Population density and urban air quality","volume":"86","author":[{"family":"Borck","given":"Rainald"},{"family":"Schrauth","given":"Philipp"}],"issued":{"date-parts":[["2021",1,1]]}}}],"schema":"https://github.com/citation-style-language/schema/raw/master/csl-citation.json"} </w:instrText>
      </w:r>
      <w:r>
        <w:rPr>
          <w:rFonts w:ascii="Arial" w:hAnsi="Arial" w:cs="Arial"/>
          <w:sz w:val="22"/>
          <w:szCs w:val="22"/>
        </w:rPr>
        <w:fldChar w:fldCharType="separate"/>
      </w:r>
      <w:r>
        <w:rPr>
          <w:rFonts w:ascii="Arial" w:hAnsi="Arial" w:cs="Arial"/>
          <w:sz w:val="22"/>
        </w:rPr>
        <w:t>[89]</w:t>
      </w:r>
      <w:r>
        <w:rPr>
          <w:rFonts w:ascii="Arial" w:hAnsi="Arial" w:cs="Arial"/>
          <w:sz w:val="22"/>
          <w:szCs w:val="22"/>
        </w:rPr>
        <w:fldChar w:fldCharType="end"/>
      </w:r>
    </w:p>
    <w:p w14:paraId="6DADF80D"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Greenness </w:t>
      </w:r>
      <w:r>
        <w:rPr>
          <w:rFonts w:ascii="Arial" w:hAnsi="Arial" w:cs="Arial"/>
          <w:sz w:val="22"/>
          <w:szCs w:val="22"/>
        </w:rPr>
        <w:fldChar w:fldCharType="begin"/>
      </w:r>
      <w:r>
        <w:rPr>
          <w:rFonts w:ascii="Arial" w:hAnsi="Arial" w:cs="Arial"/>
          <w:sz w:val="22"/>
          <w:szCs w:val="22"/>
        </w:rPr>
        <w:instrText xml:space="preserve"> ADDIN ZOTERO_ITEM CSL_CITATION {"citationID":"b2k7TuGr","properties":{"formattedCitation":"[90]","plainCitation":"[90]","noteIndex":0},"citationItems":[{"id":"EETchYnv/44Dbbd8p","uris":["http://zotero.org/users/5542045/items/MJAL5PI9",["http://zotero.org/users/5542045/items/MJAL5PI9"]],"itemData":{"id":621,"type":"article-journal","abstract":"Planners intervening on population density and green space provision to improve the livability of a city should have a deep knowledge about how the two vary throughout it. This paper presents a study conducted in the ten largest US cities to understand what are the conditions of density, public green space provision and greenery provision experienced by their inhabitants, and how these variables are related to each other. Based on 2010 census data, park area shapefiles and high-resolution orthophotos, the three variables were assessed by means of neighborhood operations on 1-m raster files as the number of people, extent of park space and extent of other greenery within a 500-m buffer around each pixel. Results show that only in New York, Chicago and Philadelphia a significant share of the population lives at relatively high densities (&gt;6000 people km−2) and enjoys an adequate provision of public green space (more than 5% of the buffer area). The provision of other greenery is very high (&gt;40%) for most people, especially in the Sun Belt cities, where density is low and the provision of public green space minimal for many. Density and green space provision are generally uncorrelated or weakly negatively correlated, whereas a moderately negative correlation is observed between density and greenery as well as between public green space provision and the provision of other greenery. Future studies should investigate the quality and accessibility of green space in greater detail.","container-title":"Land Use Policy","DOI":"10.1016/j.landusepol.2018.05.015","ISSN":"0264-8377","journalAbbreviation":"Land Use Policy","language":"en","page":"300-316","source":"ScienceDirect","title":"How densely populated and green are the places we live in? A study of the ten largest US cities","title-short":"How densely populated and green are the places we live in?","volume":"76","author":[{"family":"Orsi","given":"Francesco"}],"issued":{"date-parts":[["2018",7,1]]}}}],"schema":"https://github.com/citation-style-language/schema/raw/master/csl-citation.json"} </w:instrText>
      </w:r>
      <w:r>
        <w:rPr>
          <w:rFonts w:ascii="Arial" w:hAnsi="Arial" w:cs="Arial"/>
          <w:sz w:val="22"/>
          <w:szCs w:val="22"/>
        </w:rPr>
        <w:fldChar w:fldCharType="separate"/>
      </w:r>
      <w:r>
        <w:rPr>
          <w:rFonts w:ascii="Arial" w:hAnsi="Arial" w:cs="Arial"/>
          <w:sz w:val="22"/>
        </w:rPr>
        <w:t>[90]</w:t>
      </w:r>
      <w:r>
        <w:rPr>
          <w:rFonts w:ascii="Arial" w:hAnsi="Arial" w:cs="Arial"/>
          <w:sz w:val="22"/>
          <w:szCs w:val="22"/>
        </w:rPr>
        <w:fldChar w:fldCharType="end"/>
      </w:r>
    </w:p>
    <w:p w14:paraId="4611FAE4"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Political affiliation </w:t>
      </w:r>
      <w:r>
        <w:rPr>
          <w:rFonts w:ascii="Arial" w:hAnsi="Arial" w:cs="Arial"/>
          <w:sz w:val="22"/>
          <w:szCs w:val="22"/>
        </w:rPr>
        <w:fldChar w:fldCharType="begin"/>
      </w:r>
      <w:r>
        <w:rPr>
          <w:rFonts w:ascii="Arial" w:hAnsi="Arial" w:cs="Arial"/>
          <w:sz w:val="22"/>
          <w:szCs w:val="22"/>
        </w:rPr>
        <w:instrText xml:space="preserve"> ADDIN ZOTERO_ITEM CSL_CITATION {"citationID":"PyFjcIO9","properties":{"formattedCitation":"[91]","plainCitation":"[91]","noteIndex":0},"citationItems":[{"id":"EETchYnv/WSUXDNUp","uris":["http://zotero.org/users/5542045/items/ETSNCSD8",["http://zotero.org/users/5542045/items/ETSNCSD8"]],"itemData":{"id":529,"type":"article-journal","abstract":"This article documents the diversity of political attitudes and voting patterns along the urban-rural continuum of the United States. We find that America’s rural and urban interface, in terms of political attitudes and voting patterns, is just beyond the outer edges of large urban areas and through the suburban counties of smaller metropolitan areas. Both Barack Obama and Hillary Clinton performed well in densely populated areas on the urban side of the interface, but they faced increasingly difficult political climates and sharply diminished voter support on the rural side of the interface. The reduction in support for Clinton in 2016 in rural areas was particularly pronounced. Even after controlling for demographic, social, and economic factors (including geographic region, education, income, age, race, and religious affiliation) in a spatial regression, we find that a county’s position in the urban-rural continuum remained statistically significant in the estimation of voting patterns in presidential elections.","container-title":"The ANNALS of the American Academy of Political and Social Science","DOI":"10.1177/0002716217712696","ISSN":"0002-7162","issue":"1","journalAbbreviation":"The ANNALS of the American Academy of Political and Social Science","language":"en","note":"publisher: SAGE Publications Inc","page":"162-184","source":"SAGE Journals","title":"Political Polarization along the Rural-Urban Continuum? The Geography of the Presidential Vote, 2000–2016","title-short":"Political Polarization along the Rural-Urban Continuum?","volume":"672","author":[{"family":"Scala","given":"Dante J."},{"family":"Johnson","given":"Kenneth M."}],"issued":{"date-parts":[["2017",7,1]]}}}],"schema":"https://github.com/citation-style-language/schema/raw/master/csl-citation.json"} </w:instrText>
      </w:r>
      <w:r>
        <w:rPr>
          <w:rFonts w:ascii="Arial" w:hAnsi="Arial" w:cs="Arial"/>
          <w:sz w:val="22"/>
          <w:szCs w:val="22"/>
        </w:rPr>
        <w:fldChar w:fldCharType="separate"/>
      </w:r>
      <w:r>
        <w:rPr>
          <w:rFonts w:ascii="Arial" w:hAnsi="Arial" w:cs="Arial"/>
          <w:sz w:val="22"/>
        </w:rPr>
        <w:t>[91]</w:t>
      </w:r>
      <w:r>
        <w:rPr>
          <w:rFonts w:ascii="Arial" w:hAnsi="Arial" w:cs="Arial"/>
          <w:sz w:val="22"/>
          <w:szCs w:val="22"/>
        </w:rPr>
        <w:fldChar w:fldCharType="end"/>
      </w:r>
    </w:p>
    <w:p w14:paraId="3AD2D385"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Housing quality </w:t>
      </w:r>
      <w:r>
        <w:rPr>
          <w:rFonts w:ascii="Arial" w:hAnsi="Arial" w:cs="Arial"/>
          <w:sz w:val="22"/>
          <w:szCs w:val="22"/>
        </w:rPr>
        <w:fldChar w:fldCharType="begin"/>
      </w:r>
      <w:r>
        <w:rPr>
          <w:rFonts w:ascii="Arial" w:hAnsi="Arial" w:cs="Arial"/>
          <w:sz w:val="22"/>
          <w:szCs w:val="22"/>
        </w:rPr>
        <w:instrText xml:space="preserve"> ADDIN ZOTERO_ITEM CSL_CITATION {"citationID":"AiQpSveW","properties":{"formattedCitation":"[92]","plainCitation":"[92]","noteIndex":0},"citationItems":[{"id":"EETchYnv/cSDVWvc8","uris":["http://zotero.org/users/5542045/items/5N6QH5A4",["http://zotero.org/users/5542045/items/5N6QH5A4"]],"itemData":{"id":508,"type":"article-journal","abstract":"First in the USA and then in many other countries, scholarship on environmental inequality has sought to shed light on the unequal environmental conditions borne by poor people and ethnic minorities, and to challenge public policies and their unjust impacts on those target groups. Housing quality, especially the indoor characteristics of homes, offers an innovative perspective in this ﬁeld of research. In previous research on environmental inequality in the Walloon context, housing quality has been proven to be a major determinant of quality of life and environmental well-being. This paper analyses housing quality through a twofold approach: indoor characteristics on the one hand, and outdoor subjective and objective externalities on the other. It reveals the disparities between the most deprived and the wealthiest segments of the population. The evidence for this study is based on a housing quality survey carried out in 2012 and 2013 on 6018 households in Wallonia (Belgium). The key ﬁndings are that poor people are found to live in housing of lower quality, in densely populated neighbourhoods and those with mixed use, with compensating amenities provided at the local level. Moreover, consistent with environmental inequality scholarship, deprived households are found to bear the burden of environmental degradation outside the home. People live in areas with poorer air quality, but are found to beneﬁt from greater access to green spaces. The results of the survey reveal an interesting point concerning the environmental inequality literature; the interior features of housing are found to differ more widely between deprived and wealthier people than the surrounding environment does.","container-title":"Journal of Housing and the Built Environment","DOI":"10.1007/s10901-015-9470-5","ISSN":"1566-4910, 1573-7772","issue":"3","journalAbbreviation":"J Hous and the Built Environ","language":"en","page":"495-512","source":"DOI.org (Crossref)","title":"Housing quality as environmental inequality: the case of Wallonia, Belgium","title-short":"Housing quality as environmental inequality","volume":"31","author":[{"family":"Lejeune","given":"Zoé"},{"family":"Xhignesse","given":"Guillaume"},{"family":"Kryvobokov","given":"Marko"},{"family":"Teller","given":"Jacques"}],"issued":{"date-parts":[["2016",9]]}}}],"schema":"https://github.com/citation-style-language/schema/raw/master/csl-citation.json"} </w:instrText>
      </w:r>
      <w:r>
        <w:rPr>
          <w:rFonts w:ascii="Arial" w:hAnsi="Arial" w:cs="Arial"/>
          <w:sz w:val="22"/>
          <w:szCs w:val="22"/>
        </w:rPr>
        <w:fldChar w:fldCharType="separate"/>
      </w:r>
      <w:r>
        <w:rPr>
          <w:rFonts w:ascii="Arial" w:hAnsi="Arial" w:cs="Arial"/>
          <w:sz w:val="22"/>
        </w:rPr>
        <w:t>[92]</w:t>
      </w:r>
      <w:r>
        <w:rPr>
          <w:rFonts w:ascii="Arial" w:hAnsi="Arial" w:cs="Arial"/>
          <w:sz w:val="22"/>
          <w:szCs w:val="22"/>
        </w:rPr>
        <w:fldChar w:fldCharType="end"/>
      </w:r>
    </w:p>
    <w:p w14:paraId="4509753A"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cases </w:t>
      </w:r>
      <w:r>
        <w:rPr>
          <w:rFonts w:ascii="Arial" w:hAnsi="Arial" w:cs="Arial"/>
          <w:sz w:val="22"/>
          <w:szCs w:val="22"/>
        </w:rPr>
        <w:fldChar w:fldCharType="begin"/>
      </w:r>
      <w:r>
        <w:rPr>
          <w:rFonts w:ascii="Arial" w:hAnsi="Arial" w:cs="Arial"/>
          <w:sz w:val="22"/>
          <w:szCs w:val="22"/>
        </w:rPr>
        <w:instrText xml:space="preserve"> ADDIN ZOTERO_ITEM CSL_CITATION {"citationID":"rK4tMsrm","properties":{"formattedCitation":"[67,93]","plainCitation":"[67,93]","noteIndex":0},"citationItems":[{"id":"EETchYnv/1AdYtxOO","uris":["http://zotero.org/users/5542045/items/W58SECFI",["http://zotero.org/users/5542045/items/W58SECFI"]],"itemData":{"id":461,"type":"article-journal","abstract":"Background\nThere are few primary care studies of the COVID-19 pandemic. We aimed to identify demographic and clinical risk factors for testing positive for severe acute respiratory syndrome coronavirus 2 (SARS-CoV-2) within the Oxford Royal College of General Practitioners (RCGP) Research and Surveillance Centre primary care network.\nMethods\nWe analysed routinely collected, pseudonymised data for patients in the RCGP Research and Surveillance Centre primary care sentinel network who were tested for SARS-CoV-2 between Jan 28 and April 4, 2020. We used multivariable logistic regression models with multiple imputation to identify risk factors for positive SARS-CoV-2 tests within this surveillance network.\nFindings\nWe identified 3802 SARS-CoV-2 test results, of which 587 were positive. In multivariable analysis, male sex was independently associated with testing positive for SARS-CoV-2 (296 [18·4%] of 1612 men vs 291 [13·3%] of 2190 women; adjusted odds ratio [OR] 1·55, 95% CI 1·27–1·89). Adults were at increased risk of testing positive for SARS-CoV-2 compared with children, and people aged 40–64 years were at greatest risk in the multivariable model (243 [18·5%] of 1316 adults aged 40–64 years vs 23 [4·6%] of 499 children; adjusted OR 5·36, 95% CI 3·28–8·76). Compared with white people, the adjusted odds of a positive test were greater in black people (388 [15·5%] of 2497 white people vs 36 [62·1%] of 58 black people; adjusted OR 4·75, 95% CI 2·65–8·51). People living in urban areas versus rural areas (476 [26·2%] of 1816 in urban areas vs 111 [5·6%] of 1986 in rural areas; adjusted OR 4·59, 95% CI 3·57–5·90) and in more deprived areas (197 [29·5%] of 668 in most deprived vs 143 [7·7%] of 1855 in least deprived; adjusted OR 2·03, 95% CI 1·51–2·71) were more likely to test positive. People with chronic kidney disease were more likely to test positive in the adjusted analysis (68 [32·9%] of 207 with chronic kidney disease vs 519 [14·4%] of 3595 without; adjusted OR 1·91, 95% CI 1·31–2·78), but there was no significant association with other chronic conditions in that analysis. We found increased odds of a positive test among people who are obese (142 [20·9%] of 680 people with obesity vs 171 [13·2%] of 1296 normal-weight people; adjusted OR 1·41, 95% CI 1·04–1·91). Notably, active smoking was linked with decreased odds of a positive test result (47 [11·4%] of 413 active smokers vs 201 [17·9%] of 1125 non-smokers; adjusted OR 0·49, 95% CI 0·34–0·71).\nInterpretation\nA positive SARS-CoV-2 test result in this primary care cohort was associated with similar risk factors as observed for severe outcomes of COVID-19 in hospital settings, except for smoking. We provide evidence of potential sociodemographic factors associated with a positive test, including deprivation, population density, ethnicity, and chronic kidney disease.\nFunding\nWellcome Trust.","container-title":"The Lancet Infectious Diseases","DOI":"10.1016/S1473-3099(20)30371-6","ISSN":"1473-3099","issue":"9","journalAbbreviation":"The Lancet Infectious Diseases","language":"en","page":"1034-1042","source":"ScienceDirect","title":"Risk factors for SARS-CoV-2 among patients in the Oxford Royal College of General Practitioners Research and Surveillance Centre primary care network: a cross-sectional study","title-short":"Risk factors for SARS-CoV-2 among patients in the Oxford Royal College of General Practitioners Research and Surveillance Centre primary care network","volume":"20","author":[{"family":"Lusignan","given":"Simon","non-dropping-particle":"de"},{"family":"Dorward","given":"Jienchi"},{"family":"Correa","given":"Ana"},{"family":"Jones","given":"Nicholas"},{"family":"Akinyemi","given":"Oluwafunmi"},{"family":"Amirthalingam","given":"Gayatri"},{"family":"Andrews","given":"Nick"},{"family":"Byford","given":"Rachel"},{"family":"Dabrera","given":"Gavin"},{"family":"Elliot","given":"Alex"},{"family":"Ellis","given":"Joanna"},{"family":"Ferreira","given":"Filipa"},{"family":"Lopez Bernal","given":"Jamie"},{"family":"Okusi","given":"Cecilia"},{"family":"Ramsay","given":"Mary"},{"family":"Sherlock","given":"Julian"},{"family":"Smith","given":"Gillian"},{"family":"Williams","given":"John"},{"family":"Howsam","given":"Gary"},{"family":"Zambon","given":"Maria"},{"family":"Joy","given":"Mark"},{"family":"Hobbs","given":"F D Richard"}],"issued":{"date-parts":[["2020",9,1]]}}},{"id":"EETchYnv/Vrt5IDuh","uris":["http://zotero.org/users/5542045/items/VEWLR7PJ",["http://zotero.org/users/5542045/items/VEWLR7PJ"]],"itemData":{"id":463,"type":"article-journal","abstract":"&lt;h3&gt;Introduction&lt;/h3&gt; &lt;p&gt;Data on race and ethnic disparities for severe acute respiratory syndrome coronavirus 2 (SARS-CoV-2) infection are limited. We analysed sociodemographic factors associated with higher likelihood of SARS-CoV-2 infection and explore mediating pathways for race and ethnic disparities in the SARS-CoV-2 pandemic.&lt;/p&gt;&lt;h3&gt;Methods&lt;/h3&gt; &lt;p&gt;This is a cross-sectional analysis of the COVID-19 Surveillance and Outcomes Registry, which captures data for a large healthcare system, comprising one central tertiary care hospital, seven large community hospitals and an expansive ambulatory/emergency care network in the Greater Houston area. Nasopharyngeal samples for individuals inclusive of all ages, races, ethnicities and sex were tested for SARS-CoV-2. We analysed sociodemographic (age, sex, race, ethnicity, household income, residence population density) and comorbidity (Charlson Comorbidity Index, hypertension, diabetes, obesity) factors. Multivariable logistic regression models were fitted to provide adjusted OR (aOR) and 95% CI for likelihood of a positive SARS-CoV-2 test. Structural equation modelling (SEM) framework was used to explore three mediation pathways (low income, high population density, high comorbidity burden) for the association between non-Hispanic black (NHB) race, Hispanic ethnicity and SARS-CoV-2 infection.&lt;/p&gt;&lt;h3&gt;Results&lt;/h3&gt; &lt;p&gt;Among 20 228 tested individuals, 1551 (7.7%) tested positive. The overall mean (SD) age was 51.1 (19.0) years, 62% were females, 22% were black and 18% were Hispanic. NHB and Hispanic ethnicity were associated with lower socioeconomic status and higher population density residence. In the fully adjusted model, NHB (vs non-Hispanic white; aOR, 2.23, CI 1.90 to 2.60) and Hispanic ethnicity (vs non-Hispanic; aOR, 1.95, CI 1.72 to 2.20) had a higher likelihood of infection. Older individuals and males were also at higher risk of infection. The SEM framework demonstrated a significant indirect effect of NHB and Hispanic ethnicity on SARS-CoV-2 infection mediated via a pathway including residence in densely populated zip code.&lt;/p&gt;&lt;h3&gt;Conclusions&lt;/h3&gt; &lt;p&gt;There is strong evidence of race and ethnic disparities in the SARS-CoV-2 pandemic that are potentially mediated through unique social determinants of health.&lt;/p&gt;","container-title":"BMJ Open","DOI":"10.1136/bmjopen-2020-039849","ISSN":"2044-6055, 2044-6055","issue":"8","language":"en","license":"© Author(s) (or their employer(s)) 2020. Re-use permitted under CC BY-NC. No commercial re-use. See rights and permissions. Published by BMJ.. http://creativecommons.org/licenses/by-nc/4.0/This is an open access article distributed in accordance with the Creative Commons Attribution Non Commercial (CC BY-NC 4.0) license, which permits others to distribute, remix, adapt, build upon this work non-commercially, and license their derivative works on different terms, provided the original work is properly cited, appropriate credit is given, any changes made indicated, and the use is non-commercial. See: http://creativecommons.org/licenses/by-nc/4.0/.","note":"publisher: British Medical Journal Publishing Group\nsection: Epidemiology\nPMID: 32784264","page":"e039849","source":"bmjopen.bmj.com","title":"Racial and ethnic disparities in SARS-CoV-2 pandemic: analysis of a COVID-19 observational registry for a diverse US metropolitan population","title-short":"Racial and ethnic disparities in SARS-CoV-2 pandemic","volume":"10","author":[{"family":"Vahidy","given":"Farhaan S."},{"family":"Nicolas","given":"Juan Carlos"},{"family":"Meeks","given":"Jennifer R."},{"family":"Khan","given":"Osman"},{"family":"Pan","given":"Alan"},{"family":"Jones","given":"Stephen L."},{"family":"Masud","given":"Faisal"},{"family":"Sostman","given":"H. Dirk"},{"family":"Phillips","given":"Robert"},{"family":"Andrieni","given":"Julia D."},{"family":"Kash","given":"Bita A."},{"family":"Nasir","given":"Khurram"}],"issued":{"date-parts":[["2020",8,1]]}}}],"schema":"https://github.com/citation-style-language/schema/raw/master/csl-citation.json"} </w:instrText>
      </w:r>
      <w:r>
        <w:rPr>
          <w:rFonts w:ascii="Arial" w:hAnsi="Arial" w:cs="Arial"/>
          <w:sz w:val="22"/>
          <w:szCs w:val="22"/>
        </w:rPr>
        <w:fldChar w:fldCharType="separate"/>
      </w:r>
      <w:r>
        <w:rPr>
          <w:rFonts w:ascii="Arial" w:hAnsi="Arial" w:cs="Arial"/>
          <w:sz w:val="22"/>
        </w:rPr>
        <w:t>[67,93]</w:t>
      </w:r>
      <w:r>
        <w:rPr>
          <w:rFonts w:ascii="Arial" w:hAnsi="Arial" w:cs="Arial"/>
          <w:sz w:val="22"/>
          <w:szCs w:val="22"/>
        </w:rPr>
        <w:fldChar w:fldCharType="end"/>
      </w:r>
    </w:p>
    <w:p w14:paraId="16E2F8BB"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PM</w:t>
      </w:r>
      <w:r>
        <w:rPr>
          <w:rFonts w:ascii="Arial" w:hAnsi="Arial" w:cs="Arial"/>
          <w:sz w:val="22"/>
          <w:szCs w:val="22"/>
          <w:vertAlign w:val="subscript"/>
        </w:rPr>
        <w:t>2.5</w:t>
      </w:r>
      <w:r>
        <w:rPr>
          <w:rFonts w:ascii="Arial" w:hAnsi="Arial" w:cs="Arial"/>
          <w:sz w:val="22"/>
          <w:szCs w:val="22"/>
        </w:rPr>
        <w:t xml:space="preserve"> exposure is associated with…</w:t>
      </w:r>
    </w:p>
    <w:p w14:paraId="1C6CDC6D"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comorbidities </w:t>
      </w:r>
      <w:r>
        <w:rPr>
          <w:rFonts w:ascii="Arial" w:hAnsi="Arial" w:cs="Arial"/>
          <w:sz w:val="22"/>
          <w:szCs w:val="22"/>
        </w:rPr>
        <w:fldChar w:fldCharType="begin"/>
      </w:r>
      <w:r>
        <w:rPr>
          <w:rFonts w:ascii="Arial" w:hAnsi="Arial" w:cs="Arial"/>
          <w:sz w:val="22"/>
          <w:szCs w:val="22"/>
        </w:rPr>
        <w:instrText xml:space="preserve"> ADDIN ZOTERO_ITEM CSL_CITATION {"citationID":"r6E0VR4r","properties":{"formattedCitation":"[94]","plainCitation":"[94]","noteIndex":0},"citationItems":[{"id":"EETchYnv/pttycWUi","uris":["http://zotero.org/users/5542045/items/FNM34W2J",["http://zotero.org/users/5542045/items/FNM34W2J"]],"itemData":{"id":499,"type":"article-journal","abstract":"An unusual feature of SARS-Cov-2 infection and the COVID-19 pandemic is that children are less severely affected than adults. This is especially paradoxical given the epidemiological links between poor air quality and increased COVID-19 severity in adults and that children are generally more vulnerable than adults to the adverse consequences of air pollution.","container-title":"Environmental Health","DOI":"10.1186/s12940-021-00716-z","ISSN":"1476-069X","issue":"1","journalAbbreviation":"Environmental Health","page":"34","source":"BioMed Central","title":"The interplay between environmental exposures and COVID-19 risks in the health of children","volume":"20","author":[{"family":"Sly","given":"Peter D."},{"family":"Trottier","given":"Brittany A."},{"family":"Bulka","given":"Catherine M."},{"family":"Cormier","given":"Stephania A."},{"family":"Fobil","given":"Julius"},{"family":"Fry","given":"Rebecca C."},{"family":"Kim","given":"Kyoung-Woong"},{"family":"Kleeberger","given":"Steven"},{"family":"Kumar","given":"Pushpam"},{"family":"Landrigan","given":"Philip J."},{"family":"Lodrop Carlsen","given":"Karin C."},{"family":"Pascale","given":"Antonio"},{"family":"Polack","given":"Fernando"},{"family":"Ruchirawat","given":"Mathuros"},{"family":"Zar","given":"Heather J."},{"family":"Suk","given":"William A."}],"issued":{"date-parts":[["2021",3,26]]}}}],"schema":"https://github.com/citation-style-language/schema/raw/master/csl-citation.json"} </w:instrText>
      </w:r>
      <w:r>
        <w:rPr>
          <w:rFonts w:ascii="Arial" w:hAnsi="Arial" w:cs="Arial"/>
          <w:sz w:val="22"/>
          <w:szCs w:val="22"/>
        </w:rPr>
        <w:fldChar w:fldCharType="separate"/>
      </w:r>
      <w:r>
        <w:rPr>
          <w:rFonts w:ascii="Arial" w:hAnsi="Arial" w:cs="Arial"/>
          <w:sz w:val="22"/>
        </w:rPr>
        <w:t>[94]</w:t>
      </w:r>
      <w:r>
        <w:rPr>
          <w:rFonts w:ascii="Arial" w:hAnsi="Arial" w:cs="Arial"/>
          <w:sz w:val="22"/>
          <w:szCs w:val="22"/>
        </w:rPr>
        <w:fldChar w:fldCharType="end"/>
      </w:r>
    </w:p>
    <w:p w14:paraId="175107CF"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Housing quality </w:t>
      </w:r>
      <w:r>
        <w:rPr>
          <w:rFonts w:ascii="Arial" w:hAnsi="Arial" w:cs="Arial"/>
          <w:sz w:val="22"/>
          <w:szCs w:val="22"/>
        </w:rPr>
        <w:fldChar w:fldCharType="begin"/>
      </w:r>
      <w:r>
        <w:rPr>
          <w:rFonts w:ascii="Arial" w:hAnsi="Arial" w:cs="Arial"/>
          <w:sz w:val="22"/>
          <w:szCs w:val="22"/>
        </w:rPr>
        <w:instrText xml:space="preserve"> ADDIN ZOTERO_ITEM CSL_CITATION {"citationID":"AIL23kc1","properties":{"formattedCitation":"[95]","plainCitation":"[95]","noteIndex":0},"citationItems":[{"id":"EETchYnv/ZsEKwNmy","uris":["http://zotero.org/users/5542045/items/JSC2F764",["http://zotero.org/users/5542045/items/JSC2F764"]],"itemData":{"id":502,"type":"article-journal","abstract":"Objectives. The indoor environment has not been fully incorporated into the environmental justice dialogue. To inform strategies to reduce disparities, we developed a framework to identify the individual and place-based drivers of indoor environment quality., Methods. We reviewed empirical evidence of socioeconomic disparities in indoor exposures and key determinants of these exposures for air pollutants, lead, allergens, and semivolatile organic compounds. We also used an indoor air quality model applied to multifamily housing to illustrate how nitrogen dioxide (NO2) and fine particulate matter (PM2.5) vary as a function of factors known to be influenced by socioeconomic status., Results. Indoor concentrations of multiple pollutants are elevated in low-socioeconomic status households. Differences in these exposures are driven by the combined influences of indoor sources, outdoor sources, physical structures, and residential activity patterns. Simulation models confirmed indoor sources’ importance in determining indoor NO2 and PM2.5 exposures and showed the influence of household-specific determinants., Conclusions. Both theoretical models and empirical evidence emphasized that disparities in indoor environmental exposure can be significant. Understanding key determinants of multiple indoor exposures can aid in developing policies to reduce these disparities.","container-title":"American Journal of Public Health","DOI":"10.2105/AJPH.2011.300119","ISSN":"0090-0036","issue":"Suppl 1","journalAbbreviation":"Am J Public Health","note":"PMID: 21836112\nPMCID: PMC3222513","page":"S238-S245","source":"PubMed Central","title":"Moving Environmental Justice Indoors: Understanding Structural Influences on Residential Exposure Patterns in Low-Income Communities","title-short":"Moving Environmental Justice Indoors","volume":"101","author":[{"family":"Adamkiewicz","given":"Gary"},{"family":"Zota","given":"Ami R."},{"family":"Fabian","given":"M. Patricia"},{"family":"Chahine","given":"Teresa"},{"family":"Julien","given":"Rhona"},{"family":"Spengler","given":"John D."},{"family":"Levy","given":"Jonathan I."}],"issued":{"date-parts":[["2011",12]]}}}],"schema":"https://github.com/citation-style-language/schema/raw/master/csl-citation.json"} </w:instrText>
      </w:r>
      <w:r>
        <w:rPr>
          <w:rFonts w:ascii="Arial" w:hAnsi="Arial" w:cs="Arial"/>
          <w:sz w:val="22"/>
          <w:szCs w:val="22"/>
        </w:rPr>
        <w:fldChar w:fldCharType="separate"/>
      </w:r>
      <w:r>
        <w:rPr>
          <w:rFonts w:ascii="Arial" w:hAnsi="Arial" w:cs="Arial"/>
          <w:sz w:val="22"/>
        </w:rPr>
        <w:t>[95]</w:t>
      </w:r>
      <w:r>
        <w:rPr>
          <w:rFonts w:ascii="Arial" w:hAnsi="Arial" w:cs="Arial"/>
          <w:sz w:val="22"/>
          <w:szCs w:val="22"/>
        </w:rPr>
        <w:fldChar w:fldCharType="end"/>
      </w:r>
    </w:p>
    <w:p w14:paraId="1AA54B3F"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cases </w:t>
      </w:r>
      <w:r>
        <w:rPr>
          <w:rFonts w:ascii="Arial" w:hAnsi="Arial" w:cs="Arial"/>
          <w:sz w:val="22"/>
          <w:szCs w:val="22"/>
        </w:rPr>
        <w:fldChar w:fldCharType="begin"/>
      </w:r>
      <w:r>
        <w:rPr>
          <w:rFonts w:ascii="Arial" w:hAnsi="Arial" w:cs="Arial"/>
          <w:sz w:val="22"/>
          <w:szCs w:val="22"/>
        </w:rPr>
        <w:instrText xml:space="preserve"> ADDIN ZOTERO_ITEM CSL_CITATION {"citationID":"QGcgOTSA","properties":{"formattedCitation":"[94]","plainCitation":"[94]","noteIndex":0},"citationItems":[{"id":"EETchYnv/pttycWUi","uris":["http://zotero.org/users/5542045/items/FNM34W2J",["http://zotero.org/users/5542045/items/FNM34W2J"]],"itemData":{"id":499,"type":"article-journal","abstract":"An unusual feature of SARS-Cov-2 infection and the COVID-19 pandemic is that children are less severely affected than adults. This is especially paradoxical given the epidemiological links between poor air quality and increased COVID-19 severity in adults and that children are generally more vulnerable than adults to the adverse consequences of air pollution.","container-title":"Environmental Health","DOI":"10.1186/s12940-021-00716-z","ISSN":"1476-069X","issue":"1","journalAbbreviation":"Environmental Health","page":"34","source":"BioMed Central","title":"The interplay between environmental exposures and COVID-19 risks in the health of children","volume":"20","author":[{"family":"Sly","given":"Peter D."},{"family":"Trottier","given":"Brittany A."},{"family":"Bulka","given":"Catherine M."},{"family":"Cormier","given":"Stephania A."},{"family":"Fobil","given":"Julius"},{"family":"Fry","given":"Rebecca C."},{"family":"Kim","given":"Kyoung-Woong"},{"family":"Kleeberger","given":"Steven"},{"family":"Kumar","given":"Pushpam"},{"family":"Landrigan","given":"Philip J."},{"family":"Lodrop Carlsen","given":"Karin C."},{"family":"Pascale","given":"Antonio"},{"family":"Polack","given":"Fernando"},{"family":"Ruchirawat","given":"Mathuros"},{"family":"Zar","given":"Heather J."},{"family":"Suk","given":"William A."}],"issued":{"date-parts":[["2021",3,26]]}}}],"schema":"https://github.com/citation-style-language/schema/raw/master/csl-citation.json"} </w:instrText>
      </w:r>
      <w:r>
        <w:rPr>
          <w:rFonts w:ascii="Arial" w:hAnsi="Arial" w:cs="Arial"/>
          <w:sz w:val="22"/>
          <w:szCs w:val="22"/>
        </w:rPr>
        <w:fldChar w:fldCharType="separate"/>
      </w:r>
      <w:r>
        <w:rPr>
          <w:rFonts w:ascii="Arial" w:hAnsi="Arial" w:cs="Arial"/>
          <w:sz w:val="22"/>
        </w:rPr>
        <w:t>[94]</w:t>
      </w:r>
      <w:r>
        <w:rPr>
          <w:rFonts w:ascii="Arial" w:hAnsi="Arial" w:cs="Arial"/>
          <w:sz w:val="22"/>
          <w:szCs w:val="22"/>
        </w:rPr>
        <w:fldChar w:fldCharType="end"/>
      </w:r>
    </w:p>
    <w:p w14:paraId="52446875"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Greenness is associated with…</w:t>
      </w:r>
    </w:p>
    <w:p w14:paraId="25682FAA"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comorbidities </w:t>
      </w:r>
      <w:r>
        <w:rPr>
          <w:rFonts w:ascii="Arial" w:hAnsi="Arial" w:cs="Arial"/>
          <w:sz w:val="22"/>
          <w:szCs w:val="22"/>
        </w:rPr>
        <w:fldChar w:fldCharType="begin"/>
      </w:r>
      <w:r>
        <w:rPr>
          <w:rFonts w:ascii="Arial" w:hAnsi="Arial" w:cs="Arial"/>
          <w:sz w:val="22"/>
          <w:szCs w:val="22"/>
        </w:rPr>
        <w:instrText xml:space="preserve"> ADDIN ZOTERO_ITEM CSL_CITATION {"citationID":"dczbGfSP","properties":{"formattedCitation":"[96]","plainCitation":"[96]","noteIndex":0},"citationItems":[{"id":"EETchYnv/lfTmq2fE","uris":["http://zotero.org/users/5542045/items/5D3MKF6V",["http://zotero.org/users/5542045/items/5D3MKF6V"]],"itemData":{"id":627,"type":"article-journal","abstract":"Background\nExposure to green vegetation has been linked to positive health, but the pathophysiological processes affected by exposure to vegetation remain unclear. To study the relationship between greenness and cardiovascular disease, we examined the association between residential greenness and biomarkers of cardiovascular injury and disease risk in susceptible individuals.\n\nMethods and Results\nIn this cross</w:instrText>
      </w:r>
      <w:r>
        <w:rPr>
          <w:rFonts w:ascii="Cambria Math" w:hAnsi="Cambria Math" w:cs="Cambria Math"/>
          <w:sz w:val="22"/>
          <w:szCs w:val="22"/>
        </w:rPr>
        <w:instrText>‐</w:instrText>
      </w:r>
      <w:r>
        <w:rPr>
          <w:rFonts w:ascii="Arial" w:hAnsi="Arial" w:cs="Arial"/>
          <w:sz w:val="22"/>
          <w:szCs w:val="22"/>
        </w:rPr>
        <w:instrText>sectional study of 408 individuals recruited from a preventive cardiology clinic, we measured biomarkers of cardiovascular injury and risk in participant blood and urine. We estimated greenness from satellite</w:instrText>
      </w:r>
      <w:r>
        <w:rPr>
          <w:rFonts w:ascii="Cambria Math" w:hAnsi="Cambria Math" w:cs="Cambria Math"/>
          <w:sz w:val="22"/>
          <w:szCs w:val="22"/>
        </w:rPr>
        <w:instrText>‐</w:instrText>
      </w:r>
      <w:r>
        <w:rPr>
          <w:rFonts w:ascii="Arial" w:hAnsi="Arial" w:cs="Arial"/>
          <w:sz w:val="22"/>
          <w:szCs w:val="22"/>
        </w:rPr>
        <w:instrText>derived normalized difference vegetation index (NDVI) in zones with radii of 250 m and 1 km surrounding the participants’ residences. We used generalized estimating equations to examine associations between greenness and cardiovascular disease biomarkers. We adjusted for residential clustering, demographic, clinical, and environmental variables. In fully adjusted models, contemporaneous NDVI within 250 m of participant residence was inversely associated with urinary levels of epinephrine (−6.9%; 95% confidence interval, −11.5, −2.0/0.1 NDVI) and F2</w:instrText>
      </w:r>
      <w:r>
        <w:rPr>
          <w:rFonts w:ascii="Cambria Math" w:hAnsi="Cambria Math" w:cs="Cambria Math"/>
          <w:sz w:val="22"/>
          <w:szCs w:val="22"/>
        </w:rPr>
        <w:instrText>‐</w:instrText>
      </w:r>
      <w:r>
        <w:rPr>
          <w:rFonts w:ascii="Arial" w:hAnsi="Arial" w:cs="Arial"/>
          <w:sz w:val="22"/>
          <w:szCs w:val="22"/>
        </w:rPr>
        <w:instrText>isoprostane (−9.0%; 95% confidence interval, −15.1, −2.5/0.1 NDVI). We found stronger associations between NDVI and urinary epinephrine in women, those not on β</w:instrText>
      </w:r>
      <w:r>
        <w:rPr>
          <w:rFonts w:ascii="Cambria Math" w:hAnsi="Cambria Math" w:cs="Cambria Math"/>
          <w:sz w:val="22"/>
          <w:szCs w:val="22"/>
        </w:rPr>
        <w:instrText>‐</w:instrText>
      </w:r>
      <w:r>
        <w:rPr>
          <w:rFonts w:ascii="Arial" w:hAnsi="Arial" w:cs="Arial"/>
          <w:sz w:val="22"/>
          <w:szCs w:val="22"/>
        </w:rPr>
        <w:instrText xml:space="preserve">blockers, and those who had not previously experienced a myocardial infarction. Of the 15 subtypes of circulating angiogenic cells examined, 11 were inversely associated (8.0–15.6% decrease/0.1 NDVI), whereas 2 were positively associated (37.6–45.8% increase/0.1 NDVI) with contemporaneous NDVI.\n\nConclusions\nIndependent of age, sex, race, smoking status, neighborhood deprivation, statin use, and roadway exposure, residential greenness is associated with lower levels of sympathetic activation, reduced oxidative stress, and higher angiogenic capacity.","container-title":"Journal of the American Heart Association: Cardiovascular and Cerebrovascular Disease","DOI":"10.1161/JAHA.118.009117","ISSN":"2047-9980","issue":"24","journalAbbreviation":"J Am Heart Assoc","note":"PMID: 30561265\nPMCID: PMC6405613","page":"e009117","source":"PubMed Central","title":"Association Between Residential Greenness and Cardiovascular Disease Risk","volume":"7","author":[{"family":"Yeager","given":"Ray"},{"family":"Riggs","given":"Daniel W."},{"family":"DeJarnett","given":"Natasha"},{"family":"Tollerud","given":"David J."},{"family":"Wilson","given":"Jeffrey"},{"family":"Conklin","given":"Daniel J."},{"family":"O'Toole","given":"Timothy E."},{"family":"McCracken","given":"James"},{"family":"Lorkiewicz","given":"Pawel"},{"family":"Xie","given":"Zhengzhi"},{"family":"Zafar","given":"Nagma"},{"family":"Krishnasamy","given":"Sathya S."},{"family":"Srivastava","given":"Sanjay"},{"family":"Finch","given":"Jordan"},{"family":"Keith","given":"Rachel J."},{"family":"DeFilippis","given":"Andrew"},{"family":"Rai","given":"Shesh N."},{"family":"Liu","given":"Gilbert"},{"family":"Bhatnagar","given":"Aruni"}],"issued":{"date-parts":[["2018",12,5]]}}}],"schema":"https://github.com/citation-style-language/schema/raw/master/csl-citation.json"} </w:instrText>
      </w:r>
      <w:r>
        <w:rPr>
          <w:rFonts w:ascii="Arial" w:hAnsi="Arial" w:cs="Arial"/>
          <w:sz w:val="22"/>
          <w:szCs w:val="22"/>
        </w:rPr>
        <w:fldChar w:fldCharType="separate"/>
      </w:r>
      <w:r>
        <w:rPr>
          <w:rFonts w:ascii="Arial" w:hAnsi="Arial" w:cs="Arial"/>
          <w:sz w:val="22"/>
        </w:rPr>
        <w:t>[96]</w:t>
      </w:r>
      <w:r>
        <w:rPr>
          <w:rFonts w:ascii="Arial" w:hAnsi="Arial" w:cs="Arial"/>
          <w:sz w:val="22"/>
          <w:szCs w:val="22"/>
        </w:rPr>
        <w:fldChar w:fldCharType="end"/>
      </w:r>
    </w:p>
    <w:p w14:paraId="28F95A76"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Housing quality </w:t>
      </w:r>
      <w:r>
        <w:rPr>
          <w:rFonts w:ascii="Arial" w:hAnsi="Arial" w:cs="Arial"/>
          <w:sz w:val="22"/>
          <w:szCs w:val="22"/>
        </w:rPr>
        <w:fldChar w:fldCharType="begin"/>
      </w:r>
      <w:r>
        <w:rPr>
          <w:rFonts w:ascii="Arial" w:hAnsi="Arial" w:cs="Arial"/>
          <w:sz w:val="22"/>
          <w:szCs w:val="22"/>
        </w:rPr>
        <w:instrText xml:space="preserve"> ADDIN ZOTERO_ITEM CSL_CITATION {"citationID":"Ret55uON","properties":{"formattedCitation":"[97]","plainCitation":"[97]","noteIndex":0},"citationItems":[{"id":"EETchYnv/3pSGBlSI","uris":["http://zotero.org/users/5542045/items/JSIPWWVY",["http://zotero.org/users/5542045/items/JSIPWWVY"]],"itemData":{"id":625,"type":"article-journal","abstract":"Passive design and landscape variables (e.g., rooftop albedo and shading vegetation) are frequently proposed as important green building techniques. However, there is a paucity of literature demonstrating their large-scale effects with empirically measured building stocks and observed residential energy consumption. This paper uses a spatial Durbin error model (SDEM) approach to test the effects of passive building performance indicators, such as orientation, albedo, and NDVI, on city-wide summertime household billed energy data in Gainesville, FL. Our findings suggest that vegetation and albedo reduce energy consumption, but our model did not produce similar significant results for building orientation and footprint compactness. These results provide evidence to suggest high albedo roofing and purposeful shading are important energy conservation strategies for energy-efficient residential neighborhoods.","container-title":"Building and Environment","DOI":"10.1016/j.buildenv.2019.106542","ISSN":"0360-1323","journalAbbreviation":"Building and Environment","language":"en","page":"106542","source":"ScienceDirect","title":"Passive building characteristics, and summertime residential energy use: A spatial analysis of energy efficiency in Gainesville, FL","title-short":"Passive building characteristics, and summertime residential energy use","volume":"169","author":[{"family":"Douthat","given":"Thomas"},{"family":"Morgan","given":"John D."},{"family":"Alibašić","given":"Haris"},{"family":"Grant","given":"Aneurin"}],"issued":{"date-parts":[["2020",2,1]]}}}],"schema":"https://github.com/citation-style-language/schema/raw/master/csl-citation.json"} </w:instrText>
      </w:r>
      <w:r>
        <w:rPr>
          <w:rFonts w:ascii="Arial" w:hAnsi="Arial" w:cs="Arial"/>
          <w:sz w:val="22"/>
          <w:szCs w:val="22"/>
        </w:rPr>
        <w:fldChar w:fldCharType="separate"/>
      </w:r>
      <w:r>
        <w:rPr>
          <w:rFonts w:ascii="Arial" w:hAnsi="Arial" w:cs="Arial"/>
          <w:sz w:val="22"/>
        </w:rPr>
        <w:t>[97]</w:t>
      </w:r>
      <w:r>
        <w:rPr>
          <w:rFonts w:ascii="Arial" w:hAnsi="Arial" w:cs="Arial"/>
          <w:sz w:val="22"/>
          <w:szCs w:val="22"/>
        </w:rPr>
        <w:fldChar w:fldCharType="end"/>
      </w:r>
    </w:p>
    <w:p w14:paraId="01102235"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cases </w:t>
      </w:r>
      <w:r>
        <w:rPr>
          <w:rFonts w:ascii="Arial" w:hAnsi="Arial" w:cs="Arial"/>
          <w:sz w:val="22"/>
          <w:szCs w:val="22"/>
        </w:rPr>
        <w:fldChar w:fldCharType="begin"/>
      </w:r>
      <w:r>
        <w:rPr>
          <w:rFonts w:ascii="Arial" w:hAnsi="Arial" w:cs="Arial"/>
          <w:sz w:val="22"/>
          <w:szCs w:val="22"/>
        </w:rPr>
        <w:instrText xml:space="preserve"> ADDIN ZOTERO_ITEM CSL_CITATION {"citationID":"0EOfjimM","properties":{"formattedCitation":"[98]","plainCitation":"[98]","noteIndex":0},"citationItems":[{"id":"EETchYnv/bpbH39jh","uris":["http://zotero.org/users/5542045/items/KSSBFBIG",["http://zotero.org/users/5542045/items/KSSBFBIG"]],"itemData":{"id":618,"type":"article-journal","abstract":"Background:\nCOVID-19 is an infectious disease that has killed more than 246,000 people in the US. During a time of social distancing measures and increasing social isolation, green spaces may be a crucial factor to maintain a physically and socially active lifestyle while not increasing risk of infection.\n\nObjectives:\nWe evaluated whether greenness is related to COVID-19 incidence and mortality in the United States.\n\nMethods:\nWe downloaded data on COVID-19 cases and deaths for each US county up through June 7, 2020, from Johns Hopkins University, Center for Systems Science and Engineering Coronavirus Resource Center. We used April-May 2020 Normalized Difference Vegetation Index (NDVI) data, to represent the greenness exposure during the initial COVID-19 outbreak in the US. We fitted negative binomial mixed models to evaluate associations of NDVI with COVID-19 incidence and mortality, adjusting for potential confounders such as county-level demographics, epidemic stage, and other environmental factors. We evaluated whether the associations were modified by population density, proportion of Black residents, median home value, and issuance of stay-at-home order.\n\nResults:\nAn increase of 0.1 in NDVI was associated with a 6% (95% Confidence Interval: 3%, 10%) decrease in COVID-19 incidence rate after adjustment for potential confounders. Associations with COVID-19 incidence were stronger in counties with high population density and in counties with stay-at-home orders. Greenness was not associated with COVID-19 mortality in all counties; however, it was protective in counties with higher population density. Discussion: Exposures to NDVI had beneficial impacts on county-level incidence of COVID-19 in the US and may have reduced county-level COVID-19 mortality rates, especially in densely populated counties.","container-title":"medRxiv","DOI":"10.1101/2020.08.26.20181644","journalAbbreviation":"medRxiv","note":"PMID: 32908990\nPMCID: PMC7480038","page":"2020.08.26.20181644","source":"PubMed Central","title":"County-level exposures to greenness and associations with COVID-19 incidence and mortality in the United States","author":[{"family":"Klompmaker","given":"Jochem O"},{"family":"Hart","given":"Jaime E"},{"family":"Holland","given":"Isabel"},{"family":"Sabath","given":"M Benjamin"},{"family":"Wu","given":"Xiao"},{"family":"Laden","given":"Francine"},{"family":"Dominici","given":"Francesca"},{"family":"James","given":"Peter"}],"issued":{"date-parts":[["2020",11,16]]}}}],"schema":"https://github.com/citation-style-language/schema/raw/master/csl-citation.json"} </w:instrText>
      </w:r>
      <w:r>
        <w:rPr>
          <w:rFonts w:ascii="Arial" w:hAnsi="Arial" w:cs="Arial"/>
          <w:sz w:val="22"/>
          <w:szCs w:val="22"/>
        </w:rPr>
        <w:fldChar w:fldCharType="separate"/>
      </w:r>
      <w:r>
        <w:rPr>
          <w:rFonts w:ascii="Arial" w:hAnsi="Arial" w:cs="Arial"/>
          <w:sz w:val="22"/>
        </w:rPr>
        <w:t>[98]</w:t>
      </w:r>
      <w:r>
        <w:rPr>
          <w:rFonts w:ascii="Arial" w:hAnsi="Arial" w:cs="Arial"/>
          <w:sz w:val="22"/>
          <w:szCs w:val="22"/>
        </w:rPr>
        <w:fldChar w:fldCharType="end"/>
      </w:r>
    </w:p>
    <w:p w14:paraId="62FD0DB7"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Region is associated with…</w:t>
      </w:r>
    </w:p>
    <w:p w14:paraId="210403BE"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Median household income </w:t>
      </w:r>
      <w:r>
        <w:rPr>
          <w:rFonts w:ascii="Arial" w:hAnsi="Arial" w:cs="Arial"/>
          <w:sz w:val="22"/>
          <w:szCs w:val="22"/>
        </w:rPr>
        <w:fldChar w:fldCharType="begin"/>
      </w:r>
      <w:r>
        <w:rPr>
          <w:rFonts w:ascii="Arial" w:hAnsi="Arial" w:cs="Arial"/>
          <w:sz w:val="22"/>
          <w:szCs w:val="22"/>
        </w:rPr>
        <w:instrText xml:space="preserve"> ADDIN ZOTERO_ITEM CSL_CITATION {"citationID":"i6gn6d3n","properties":{"formattedCitation":"[99]","plainCitation":"[99]","noteIndex":0},"citationItems":[{"id":"EETchYnv/8mItr3r6","uris":["http://zotero.org/users/5542045/items/6YTJI5HK",["http://zotero.org/users/5542045/items/6YTJI5HK"]],"itemData":{"id":577,"type":"webpage","abstract":"United States Trustee Program is a component of the U.S. Department of Justice.  This site contains information about the United States Trustee Program and the federal bankruptcy system.","language":"en-us","title":"United States Trustee Program Home Page","URL":"https://www.justice.gov/ust/eo/bapcpa/20190501/bci_data/median_income_table.htm","author":[{"family":"Trustees (EOUST)","given":"Executive Office for the U. S."}],"accessed":{"date-parts":[["2021",7,16]]}}}],"schema":"https://github.com/citation-style-language/schema/raw/master/csl-citation.json"} </w:instrText>
      </w:r>
      <w:r>
        <w:rPr>
          <w:rFonts w:ascii="Arial" w:hAnsi="Arial" w:cs="Arial"/>
          <w:sz w:val="22"/>
          <w:szCs w:val="22"/>
        </w:rPr>
        <w:fldChar w:fldCharType="separate"/>
      </w:r>
      <w:r>
        <w:rPr>
          <w:rFonts w:ascii="Arial" w:hAnsi="Arial" w:cs="Arial"/>
          <w:sz w:val="22"/>
        </w:rPr>
        <w:t>[99]</w:t>
      </w:r>
      <w:r>
        <w:rPr>
          <w:rFonts w:ascii="Arial" w:hAnsi="Arial" w:cs="Arial"/>
          <w:sz w:val="22"/>
          <w:szCs w:val="22"/>
        </w:rPr>
        <w:fldChar w:fldCharType="end"/>
      </w:r>
    </w:p>
    <w:p w14:paraId="3210624C"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lastRenderedPageBreak/>
        <w:t>Greenness</w:t>
      </w:r>
    </w:p>
    <w:p w14:paraId="3997C205"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Political affiliation </w:t>
      </w:r>
      <w:r>
        <w:rPr>
          <w:rFonts w:ascii="Arial" w:hAnsi="Arial" w:cs="Arial"/>
          <w:sz w:val="22"/>
          <w:szCs w:val="22"/>
        </w:rPr>
        <w:fldChar w:fldCharType="begin"/>
      </w:r>
      <w:r>
        <w:rPr>
          <w:rFonts w:ascii="Arial" w:hAnsi="Arial" w:cs="Arial"/>
          <w:sz w:val="22"/>
          <w:szCs w:val="22"/>
        </w:rPr>
        <w:instrText xml:space="preserve"> ADDIN ZOTERO_ITEM CSL_CITATION {"citationID":"WjNqV5sp","properties":{"formattedCitation":"[91]","plainCitation":"[91]","noteIndex":0},"citationItems":[{"id":"EETchYnv/WSUXDNUp","uris":["http://zotero.org/users/5542045/items/ETSNCSD8",["http://zotero.org/users/5542045/items/ETSNCSD8"]],"itemData":{"id":529,"type":"article-journal","abstract":"This article documents the diversity of political attitudes and voting patterns along the urban-rural continuum of the United States. We find that America’s rural and urban interface, in terms of political attitudes and voting patterns, is just beyond the outer edges of large urban areas and through the suburban counties of smaller metropolitan areas. Both Barack Obama and Hillary Clinton performed well in densely populated areas on the urban side of the interface, but they faced increasingly difficult political climates and sharply diminished voter support on the rural side of the interface. The reduction in support for Clinton in 2016 in rural areas was particularly pronounced. Even after controlling for demographic, social, and economic factors (including geographic region, education, income, age, race, and religious affiliation) in a spatial regression, we find that a county’s position in the urban-rural continuum remained statistically significant in the estimation of voting patterns in presidential elections.","container-title":"The ANNALS of the American Academy of Political and Social Science","DOI":"10.1177/0002716217712696","ISSN":"0002-7162","issue":"1","journalAbbreviation":"The ANNALS of the American Academy of Political and Social Science","language":"en","note":"publisher: SAGE Publications Inc","page":"162-184","source":"SAGE Journals","title":"Political Polarization along the Rural-Urban Continuum? The Geography of the Presidential Vote, 2000–2016","title-short":"Political Polarization along the Rural-Urban Continuum?","volume":"672","author":[{"family":"Scala","given":"Dante J."},{"family":"Johnson","given":"Kenneth M."}],"issued":{"date-parts":[["2017",7,1]]}}}],"schema":"https://github.com/citation-style-language/schema/raw/master/csl-citation.json"} </w:instrText>
      </w:r>
      <w:r>
        <w:rPr>
          <w:rFonts w:ascii="Arial" w:hAnsi="Arial" w:cs="Arial"/>
          <w:sz w:val="22"/>
          <w:szCs w:val="22"/>
        </w:rPr>
        <w:fldChar w:fldCharType="separate"/>
      </w:r>
      <w:r>
        <w:rPr>
          <w:rFonts w:ascii="Arial" w:hAnsi="Arial" w:cs="Arial"/>
          <w:sz w:val="22"/>
        </w:rPr>
        <w:t>[91]</w:t>
      </w:r>
      <w:r>
        <w:rPr>
          <w:rFonts w:ascii="Arial" w:hAnsi="Arial" w:cs="Arial"/>
          <w:sz w:val="22"/>
          <w:szCs w:val="22"/>
        </w:rPr>
        <w:fldChar w:fldCharType="end"/>
      </w:r>
    </w:p>
    <w:p w14:paraId="0DFB0D71"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vaccination </w:t>
      </w:r>
      <w:r>
        <w:rPr>
          <w:rFonts w:ascii="Arial" w:hAnsi="Arial" w:cs="Arial"/>
          <w:sz w:val="22"/>
          <w:szCs w:val="22"/>
        </w:rPr>
        <w:fldChar w:fldCharType="begin"/>
      </w:r>
      <w:r>
        <w:rPr>
          <w:rFonts w:ascii="Arial" w:hAnsi="Arial" w:cs="Arial"/>
          <w:sz w:val="22"/>
          <w:szCs w:val="22"/>
        </w:rPr>
        <w:instrText xml:space="preserve"> ADDIN ZOTERO_ITEM CSL_CITATION {"citationID":"cDKC7haI","properties":{"formattedCitation":"[100]","plainCitation":"[100]","noteIndex":0},"citationItems":[{"id":"EETchYnv/5lKzmPgl","uris":["http://zotero.org/users/5542045/items/75ZY55AC",["http://zotero.org/users/5542045/items/75ZY55AC"]],"itemData":{"id":571,"type":"webpage","title":"Vaccination is Local: COVID-19 Vaccination Rates Vary by County and Key Characteristics | KFF","URL":"https://www.kff.org/coronavirus-covid-19/issue-brief/vaccination-is-local-covid-19-vaccination-rates-vary-by-county-and-key-characteristics/","author":[{"family":"Tolbert","given":"Jennifer"},{"family":"Orgera","given":"Kendal"},{"family":"Garfield","given":"Rachel"},{"family":"Kates","given":"Jennifer"},{"family":"Artiga","given":"Samantha"}],"accessed":{"date-parts":[["2021",7,16]]}}}],"schema":"https://github.com/citation-style-language/schema/raw/master/csl-citation.json"} </w:instrText>
      </w:r>
      <w:r>
        <w:rPr>
          <w:rFonts w:ascii="Arial" w:hAnsi="Arial" w:cs="Arial"/>
          <w:sz w:val="22"/>
          <w:szCs w:val="22"/>
        </w:rPr>
        <w:fldChar w:fldCharType="separate"/>
      </w:r>
      <w:r>
        <w:rPr>
          <w:rFonts w:ascii="Arial" w:hAnsi="Arial" w:cs="Arial"/>
          <w:sz w:val="22"/>
        </w:rPr>
        <w:t>[100]</w:t>
      </w:r>
      <w:r>
        <w:rPr>
          <w:rFonts w:ascii="Arial" w:hAnsi="Arial" w:cs="Arial"/>
          <w:sz w:val="22"/>
          <w:szCs w:val="22"/>
        </w:rPr>
        <w:fldChar w:fldCharType="end"/>
      </w:r>
    </w:p>
    <w:p w14:paraId="733F506F"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COVID-19 comorbidities are associated with…</w:t>
      </w:r>
    </w:p>
    <w:p w14:paraId="5EFDAEDA"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cases </w:t>
      </w:r>
      <w:r>
        <w:rPr>
          <w:rFonts w:ascii="Arial" w:hAnsi="Arial" w:cs="Arial"/>
          <w:sz w:val="22"/>
          <w:szCs w:val="22"/>
        </w:rPr>
        <w:fldChar w:fldCharType="begin"/>
      </w:r>
      <w:r>
        <w:rPr>
          <w:rFonts w:ascii="Arial" w:hAnsi="Arial" w:cs="Arial"/>
          <w:sz w:val="22"/>
          <w:szCs w:val="22"/>
        </w:rPr>
        <w:instrText xml:space="preserve"> ADDIN ZOTERO_ITEM CSL_CITATION {"citationID":"KzPn5tUp","properties":{"formattedCitation":"[101]","plainCitation":"[101]","noteIndex":0},"citationItems":[{"id":"EETchYnv/Yda7SOXz","uris":["http://zotero.org/users/5542045/items/8UMIWRDN",["http://zotero.org/users/5542045/items/8UMIWRDN"]],"itemData":{"id":485,"type":"webpage","abstract":"CDC provides credible COVID-19 health information to the U.S.","container-title":"Centers for Disease Control and Prevention","language":"en-us","title":"Coronavirus Disease 2019 (COVID-19)","URL":"https://www.cdc.gov/coronavirus/2019-ncov/science/science-briefs/underlying-evidence-table.html","author":[{"family":"CDC","given":""}],"accessed":{"date-parts":[["2021",7,9]]},"issued":{"date-parts":[["2020",2,11]]}}}],"schema":"https://github.com/citation-style-language/schema/raw/master/csl-citation.json"} </w:instrText>
      </w:r>
      <w:r>
        <w:rPr>
          <w:rFonts w:ascii="Arial" w:hAnsi="Arial" w:cs="Arial"/>
          <w:sz w:val="22"/>
          <w:szCs w:val="22"/>
        </w:rPr>
        <w:fldChar w:fldCharType="separate"/>
      </w:r>
      <w:r>
        <w:rPr>
          <w:rFonts w:ascii="Arial" w:hAnsi="Arial" w:cs="Arial"/>
          <w:sz w:val="22"/>
        </w:rPr>
        <w:t>[101]</w:t>
      </w:r>
      <w:r>
        <w:rPr>
          <w:rFonts w:ascii="Arial" w:hAnsi="Arial" w:cs="Arial"/>
          <w:sz w:val="22"/>
          <w:szCs w:val="22"/>
        </w:rPr>
        <w:fldChar w:fldCharType="end"/>
      </w:r>
    </w:p>
    <w:p w14:paraId="4529DD34"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Occupation is associated with…</w:t>
      </w:r>
    </w:p>
    <w:p w14:paraId="7217DEF7"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Income </w:t>
      </w:r>
    </w:p>
    <w:p w14:paraId="18D1AA16"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PM</w:t>
      </w:r>
      <w:r>
        <w:rPr>
          <w:rFonts w:ascii="Arial" w:hAnsi="Arial" w:cs="Arial"/>
          <w:sz w:val="22"/>
          <w:szCs w:val="22"/>
          <w:vertAlign w:val="subscript"/>
        </w:rPr>
        <w:t>2.5</w:t>
      </w:r>
      <w:r>
        <w:rPr>
          <w:rFonts w:ascii="Arial" w:hAnsi="Arial" w:cs="Arial"/>
          <w:sz w:val="22"/>
          <w:szCs w:val="22"/>
        </w:rPr>
        <w:t xml:space="preserve"> exposure </w:t>
      </w:r>
      <w:r>
        <w:rPr>
          <w:rFonts w:ascii="Arial" w:hAnsi="Arial" w:cs="Arial"/>
          <w:sz w:val="22"/>
          <w:szCs w:val="22"/>
        </w:rPr>
        <w:fldChar w:fldCharType="begin"/>
      </w:r>
      <w:r>
        <w:rPr>
          <w:rFonts w:ascii="Arial" w:hAnsi="Arial" w:cs="Arial"/>
          <w:sz w:val="22"/>
          <w:szCs w:val="22"/>
        </w:rPr>
        <w:instrText xml:space="preserve"> ADDIN ZOTERO_ITEM CSL_CITATION {"citationID":"O0cvm9xZ","properties":{"formattedCitation":"[102]","plainCitation":"[102]","noteIndex":0},"citationItems":[{"id":"EETchYnv/Bevu2okn","uris":["http://zotero.org/users/5542045/items/TEUSNC4Z",["http://zotero.org/users/5542045/items/TEUSNC4Z"]],"itemData":{"id":526,"type":"article-journal","abstract":"The extent of racial/ethnic disparities in occupational health have not been well studied. The author reviews the evidence about workers of color and occupational injuries and disease., Patterns of employment in the U.S. workforce according to education, gender, and race/ethnicity are discussed, and how these patterns might cause disproportionate exposure leading to disproportionate disease and injury. Methodological issues are explored that have hampered research about occupational health disparities, and future research needs are identified.","container-title":"American Journal of Public Health","ISSN":"0090-0036","issue":"2","journalAbbreviation":"Am J Public Health","note":"PMID: 12554573\nPMCID: PMC1447720","page":"221-226","source":"PubMed Central","title":"Sick and Tired of Being Sick and Tired: Scientific Evidence, Methods, and Research Implications for Racial and Ethnic Disparities in Occupational Health","title-short":"Sick and Tired of Being Sick and Tired","volume":"93","author":[{"family":"Murray","given":"Linda Rae"}],"issued":{"date-parts":[["2003",2]]}}}],"schema":"https://github.com/citation-style-language/schema/raw/master/csl-citation.json"} </w:instrText>
      </w:r>
      <w:r>
        <w:rPr>
          <w:rFonts w:ascii="Arial" w:hAnsi="Arial" w:cs="Arial"/>
          <w:sz w:val="22"/>
          <w:szCs w:val="22"/>
        </w:rPr>
        <w:fldChar w:fldCharType="separate"/>
      </w:r>
      <w:r>
        <w:rPr>
          <w:rFonts w:ascii="Arial" w:hAnsi="Arial" w:cs="Arial"/>
          <w:sz w:val="22"/>
        </w:rPr>
        <w:t>[102]</w:t>
      </w:r>
      <w:r>
        <w:rPr>
          <w:rFonts w:ascii="Arial" w:hAnsi="Arial" w:cs="Arial"/>
          <w:sz w:val="22"/>
          <w:szCs w:val="22"/>
        </w:rPr>
        <w:fldChar w:fldCharType="end"/>
      </w:r>
    </w:p>
    <w:p w14:paraId="3E76C750"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Greenness </w:t>
      </w:r>
      <w:r>
        <w:rPr>
          <w:rFonts w:ascii="Arial" w:hAnsi="Arial" w:cs="Arial"/>
          <w:sz w:val="22"/>
          <w:szCs w:val="22"/>
        </w:rPr>
        <w:fldChar w:fldCharType="begin"/>
      </w:r>
      <w:r>
        <w:rPr>
          <w:rFonts w:ascii="Arial" w:hAnsi="Arial" w:cs="Arial"/>
          <w:sz w:val="22"/>
          <w:szCs w:val="22"/>
        </w:rPr>
        <w:instrText xml:space="preserve"> ADDIN ZOTERO_ITEM CSL_CITATION {"citationID":"qzM3SBiX","properties":{"formattedCitation":"[103]","plainCitation":"[103]","noteIndex":0},"citationItems":[{"id":"EETchYnv/oQhsNPzd","uris":["http://zotero.org/users/5542045/items/QLMM7ZZT",["http://zotero.org/users/5542045/items/QLMM7ZZT"]],"itemData":{"id":606,"type":"article-journal","abstract":"A growing body of evidence investigates whether access to greenspace, such as parks and woodland, is beneficial to well-being. Potential health benefits of greenspace exposure include opportunity for activities within the space and psychological benefits of viewing and interacting with nature. However, empirical research evidence on the effects of greenspace exposure shows mixed findings. Hence we suggest that the key questions of “if, why and how?” greenspace influences health remain largely unanswered. We argue that researchers have inadequately considered the causal pathways which drive the relationship. In particular, an improved understanding is needed of potential mediators and moderators. In this paper we draw on social–ecological theories and a review of the literature to develop a novel theoretical framework which summarises current knowledge about hypothetical causal pathways between access to greenspace and health outcomes. The framework highlights how mediators – such as use of greenspace and perceptions of the living environment – drive associations between access and both physical and psychological health outcomes. We propose key moderators based on evidence that associations between greenspace and health differ by demographic factors such as gender, ethnicity and socio-economic status, living context, greenspace type and climate. We discuss the evidence for how and why these factors act as moderators and consider the implications which arise from this improved understanding of the relationship between greenspace and health. In conclusion, we discuss how the framework can be used to inform planning of research studies, and how it may be developed in the future as more evidence emerges.","container-title":"Landscape and Urban Planning","DOI":"10.1016/j.landurbplan.2012.10.012","ISSN":"0169-2046","journalAbbreviation":"Landscape and Urban Planning","language":"en","page":"62-69","source":"ScienceDirect","title":"Towards a better understanding of the relationship between greenspace and health: Development of a theoretical framework","title-short":"Towards a better understanding of the relationship between greenspace and health","volume":"118","author":[{"family":"Lachowycz","given":"Kate"},{"family":"Jones","given":"Andy P."}],"issued":{"date-parts":[["2013",10,1]]}}}],"schema":"https://github.com/citation-style-language/schema/raw/master/csl-citation.json"} </w:instrText>
      </w:r>
      <w:r>
        <w:rPr>
          <w:rFonts w:ascii="Arial" w:hAnsi="Arial" w:cs="Arial"/>
          <w:sz w:val="22"/>
          <w:szCs w:val="22"/>
        </w:rPr>
        <w:fldChar w:fldCharType="separate"/>
      </w:r>
      <w:r>
        <w:rPr>
          <w:rFonts w:ascii="Arial" w:hAnsi="Arial" w:cs="Arial"/>
          <w:sz w:val="22"/>
        </w:rPr>
        <w:t>[103]</w:t>
      </w:r>
      <w:r>
        <w:rPr>
          <w:rFonts w:ascii="Arial" w:hAnsi="Arial" w:cs="Arial"/>
          <w:sz w:val="22"/>
          <w:szCs w:val="22"/>
        </w:rPr>
        <w:fldChar w:fldCharType="end"/>
      </w:r>
    </w:p>
    <w:p w14:paraId="6DC9202D"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comorbidities </w:t>
      </w:r>
      <w:r>
        <w:rPr>
          <w:rFonts w:ascii="Arial" w:hAnsi="Arial" w:cs="Arial"/>
          <w:sz w:val="22"/>
          <w:szCs w:val="22"/>
        </w:rPr>
        <w:fldChar w:fldCharType="begin"/>
      </w:r>
      <w:r>
        <w:rPr>
          <w:rFonts w:ascii="Arial" w:hAnsi="Arial" w:cs="Arial"/>
          <w:sz w:val="22"/>
          <w:szCs w:val="22"/>
        </w:rPr>
        <w:instrText xml:space="preserve"> ADDIN ZOTERO_ITEM CSL_CITATION {"citationID":"Ji8HjoGe","properties":{"formattedCitation":"[104]","plainCitation":"[104]","noteIndex":0},"citationItems":[{"id":"EETchYnv/wJi9Eids","uris":["http://zotero.org/users/5542045/items/UBZ4RCFY",["http://zotero.org/users/5542045/items/UBZ4RCFY"]],"itemData":{"id":518,"type":"article-journal","abstract":"Socio-economic disparities in health status are frequently reported in research. By comparison with education and income, occupational status has been less extensively studied in relation to health status or the occurrence of specific chronic diseases. The aim of this study was to investigate health disparities in the working population based on occupational position and how they were modified by education.","container-title":"BMC Public Health","DOI":"10.1186/1471-2458-7-196","ISSN":"1471-2458","issue":"1","journalAbbreviation":"BMC Public Health","page":"196","source":"BioMed Central","title":"Health disparities by occupation, modified by education: a cross-sectional population study","title-short":"Health disparities by occupation, modified by education","volume":"7","author":[{"family":"Volkers","given":"Anita C."},{"family":"Westert","given":"Gert P."},{"family":"Schellevis","given":"Francois G."}],"issued":{"date-parts":[["2007",8,8]]}}}],"schema":"https://github.com/citation-style-language/schema/raw/master/csl-citation.json"} </w:instrText>
      </w:r>
      <w:r>
        <w:rPr>
          <w:rFonts w:ascii="Arial" w:hAnsi="Arial" w:cs="Arial"/>
          <w:sz w:val="22"/>
          <w:szCs w:val="22"/>
        </w:rPr>
        <w:fldChar w:fldCharType="separate"/>
      </w:r>
      <w:r>
        <w:rPr>
          <w:rFonts w:ascii="Arial" w:hAnsi="Arial" w:cs="Arial"/>
          <w:sz w:val="22"/>
        </w:rPr>
        <w:t>[104]</w:t>
      </w:r>
      <w:r>
        <w:rPr>
          <w:rFonts w:ascii="Arial" w:hAnsi="Arial" w:cs="Arial"/>
          <w:sz w:val="22"/>
          <w:szCs w:val="22"/>
        </w:rPr>
        <w:fldChar w:fldCharType="end"/>
      </w:r>
    </w:p>
    <w:p w14:paraId="57E44F90"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cases </w:t>
      </w:r>
      <w:r>
        <w:rPr>
          <w:rFonts w:ascii="Arial" w:hAnsi="Arial" w:cs="Arial"/>
          <w:sz w:val="22"/>
          <w:szCs w:val="22"/>
        </w:rPr>
        <w:fldChar w:fldCharType="begin"/>
      </w:r>
      <w:r>
        <w:rPr>
          <w:rFonts w:ascii="Arial" w:hAnsi="Arial" w:cs="Arial"/>
          <w:sz w:val="22"/>
          <w:szCs w:val="22"/>
        </w:rPr>
        <w:instrText xml:space="preserve"> ADDIN ZOTERO_ITEM CSL_CITATION {"citationID":"xnBD9G4K","properties":{"formattedCitation":"[105]","plainCitation":"[105]","noteIndex":0},"citationItems":[{"id":"EETchYnv/Nj6d5weD","uris":["http://zotero.org/users/5542045/items/VXCU8VIA",["http://zotero.org/users/5542045/items/VXCU8VIA"]],"itemData":{"id":515,"type":"article-journal","abstract":"High coronavirus incidence has prompted the Netherlands to implement a second lockdown. To elucidate the epidemic’s development preceding this second wave, we analysed weekly test positivity in public test locations by population subgroup between 1 June and 17 October 2020. Hospitality and public transport workers, driving instructors, hairdressers and aestheticians had higher test positivity compared with a reference group of individuals without a close-contact occupation. Workers in childcare, education and healthcare showed lower test positivity.","container-title":"Eurosurveillance","DOI":"10.2807/1560-7917.ES.2020.25.50.2001884","ISSN":"1560-7917","issue":"50","language":"en","note":"publisher: European Centre for Disease Prevention and Control","page":"2001884","source":"www.eurosurveillance.org","title":"Occupation- and age-associated risk of SARS-CoV-2 test positivity, the Netherlands, June to October 2020","volume":"25","author":[{"family":"Gier","given":"Brechje","dropping-particle":"de"},{"family":"Lima","given":"Priscila de Oliveira Bressane"},{"family":"Gaalen","given":"Rolina D.","dropping-particle":"van"},{"family":"Boer","given":"Pieter T.","dropping-particle":"de"},{"family":"Alblas","given":"Jeroen"},{"family":"Ruijten","given":"Marc"},{"family":"Gageldonk-Lafeber","given":"Arianne B.","dropping-particle":"van"},{"family":"Waegemaekers","given":"Toos"},{"family":"Schreijer","given":"Anja"},{"family":"Hof","given":"Susan","dropping-particle":"van den"},{"family":"Hahné","given":"Susan JM"}],"issued":{"date-parts":[["2020",12,17]]}}}],"schema":"https://github.com/citation-style-language/schema/raw/master/csl-citation.json"} </w:instrText>
      </w:r>
      <w:r>
        <w:rPr>
          <w:rFonts w:ascii="Arial" w:hAnsi="Arial" w:cs="Arial"/>
          <w:sz w:val="22"/>
          <w:szCs w:val="22"/>
        </w:rPr>
        <w:fldChar w:fldCharType="separate"/>
      </w:r>
      <w:r>
        <w:rPr>
          <w:rFonts w:ascii="Arial" w:hAnsi="Arial" w:cs="Arial"/>
          <w:sz w:val="22"/>
        </w:rPr>
        <w:t>[105]</w:t>
      </w:r>
      <w:r>
        <w:rPr>
          <w:rFonts w:ascii="Arial" w:hAnsi="Arial" w:cs="Arial"/>
          <w:sz w:val="22"/>
          <w:szCs w:val="22"/>
        </w:rPr>
        <w:fldChar w:fldCharType="end"/>
      </w:r>
    </w:p>
    <w:p w14:paraId="6CCD32D5"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Political affiliation is associated with…</w:t>
      </w:r>
    </w:p>
    <w:p w14:paraId="17240852"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cases </w:t>
      </w:r>
      <w:r>
        <w:rPr>
          <w:rFonts w:ascii="Arial" w:hAnsi="Arial" w:cs="Arial"/>
          <w:sz w:val="22"/>
          <w:szCs w:val="22"/>
        </w:rPr>
        <w:fldChar w:fldCharType="begin"/>
      </w:r>
      <w:r>
        <w:rPr>
          <w:rFonts w:ascii="Arial" w:hAnsi="Arial" w:cs="Arial"/>
          <w:sz w:val="22"/>
          <w:szCs w:val="22"/>
        </w:rPr>
        <w:instrText xml:space="preserve"> ADDIN ZOTERO_ITEM CSL_CITATION {"citationID":"O12SQyou","properties":{"formattedCitation":"[106]","plainCitation":"[106]","noteIndex":0},"citationItems":[{"id":"EETchYnv/81AwmEYD","uris":["http://zotero.org/users/5542045/items/KBWA5MEF",["http://zotero.org/users/5542045/items/KBWA5MEF"]],"itemData":{"id":533,"type":"article-journal","abstract":"Public messages about physical distancing during the coronavirus disease 2019 (COVID-19) pandemic in the US have diverged across government officials and news media outlets with different political leanings. Prior studies found that people with Republican (vs other) political party affiliations report less physical distancing. These studies used crowdsourced internet samples, inadequately adjusted for confounders, collected data before widespread public health messaging about physical distancing, or included few young adults.Adults aged 18 to 25 years might be inclined to contravene physical distancing guidelines and participate in high-risk social recreational activities that increase the risk of transmitting severe acute respiratory syndrome coronavirus 2. We estimated the associations of political party affiliation with physical distancing behaviors among young adults—a population with high rates of COVID-19.","container-title":"JAMA Internal Medicine","DOI":"10.1001/jamainternmed.2020.6898","ISSN":"2168-6106","issue":"3","journalAbbreviation":"JAMA Internal Medicine","page":"399-403","source":"Silverchair","title":"Association of Political Party Affiliation With Physical Distancing Among Young Adults During the COVID-19 Pandemic","volume":"181","author":[{"family":"Leventhal","given":"Adam M."},{"family":"Dai","given":"Hongying"},{"family":"Barrington-Trimis","given":"Jessica L."},{"family":"McConnell","given":"Rob"},{"family":"Unger","given":"Jennifer B."},{"family":"Sussman","given":"Steve"},{"family":"Cho","given":"Junhan"}],"issued":{"date-parts":[["2021",3,1]]}}}],"schema":"https://github.com/citation-style-language/schema/raw/master/csl-citation.json"} </w:instrText>
      </w:r>
      <w:r>
        <w:rPr>
          <w:rFonts w:ascii="Arial" w:hAnsi="Arial" w:cs="Arial"/>
          <w:sz w:val="22"/>
          <w:szCs w:val="22"/>
        </w:rPr>
        <w:fldChar w:fldCharType="separate"/>
      </w:r>
      <w:r>
        <w:rPr>
          <w:rFonts w:ascii="Arial" w:hAnsi="Arial" w:cs="Arial"/>
          <w:sz w:val="22"/>
        </w:rPr>
        <w:t>[106]</w:t>
      </w:r>
      <w:r>
        <w:rPr>
          <w:rFonts w:ascii="Arial" w:hAnsi="Arial" w:cs="Arial"/>
          <w:sz w:val="22"/>
          <w:szCs w:val="22"/>
        </w:rPr>
        <w:fldChar w:fldCharType="end"/>
      </w:r>
    </w:p>
    <w:p w14:paraId="5C5FFDD7"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vaccination </w:t>
      </w:r>
      <w:r>
        <w:rPr>
          <w:rFonts w:ascii="Arial" w:hAnsi="Arial" w:cs="Arial"/>
          <w:sz w:val="22"/>
          <w:szCs w:val="22"/>
        </w:rPr>
        <w:fldChar w:fldCharType="begin"/>
      </w:r>
      <w:r>
        <w:rPr>
          <w:rFonts w:ascii="Arial" w:hAnsi="Arial" w:cs="Arial"/>
          <w:sz w:val="22"/>
          <w:szCs w:val="22"/>
        </w:rPr>
        <w:instrText xml:space="preserve"> ADDIN ZOTERO_ITEM CSL_CITATION {"citationID":"PbYF0u5E","properties":{"formattedCitation":"[107]","plainCitation":"[107]","noteIndex":0},"citationItems":[{"id":"EETchYnv/1M8ya236","uris":["http://zotero.org/users/5542045/items/JX37WX77",["http://zotero.org/users/5542045/items/JX37WX77"]],"itemData":{"id":539,"type":"article-journal","abstract":"How do attitudes toward vaccination change over the course of a public health crisis? We report results from a longitudinal survey of United States residents during six months (March 16 –August 16, 2020) of the COVID-19 pandemic. Contrary to past research suggesting that the increased salience of a disease threat should improve attitudes toward vaccines, we observed a decrease in intentions of getting a COVID-19 vaccine when one becomes available. We further found a decline in general vaccine attitudes and intentions of getting the influenza vaccine. Analyses of heterogeneity indicated that this decline is driven by participants who identify as Republicans, who showed a negative trend in vaccine attitudes and intentions, whereas Democrats remained largely stable. Consistent with research on risk perception and behavior, those with less favorable attitudes toward a COVID-19 vaccination also perceived the virus to be less threatening. We provide suggestive evidence that differential exposure to media channels and social networks could explain the observed asymmetric polarization between self-identified Democrats and Republicans.","container-title":"PLOS ONE","DOI":"10.1371/journal.pone.0250123","ISSN":"1932-6203","issue":"4","journalAbbreviation":"PLOS ONE","language":"en","note":"publisher: Public Library of Science","page":"e0250123","source":"PLoS Journals","title":"COVID-19 and vaccine hesitancy: A longitudinal study","title-short":"COVID-19 and vaccine hesitancy","volume":"16","author":[{"family":"Fridman","given":"Ariel"},{"family":"Gershon","given":"Rachel"},{"family":"Gneezy","given":"Ayelet"}],"issued":{"date-parts":[["2021",4,16]]}}}],"schema":"https://github.com/citation-style-language/schema/raw/master/csl-citation.json"} </w:instrText>
      </w:r>
      <w:r>
        <w:rPr>
          <w:rFonts w:ascii="Arial" w:hAnsi="Arial" w:cs="Arial"/>
          <w:sz w:val="22"/>
          <w:szCs w:val="22"/>
        </w:rPr>
        <w:fldChar w:fldCharType="separate"/>
      </w:r>
      <w:r>
        <w:rPr>
          <w:rFonts w:ascii="Arial" w:hAnsi="Arial" w:cs="Arial"/>
          <w:sz w:val="22"/>
        </w:rPr>
        <w:t>[107]</w:t>
      </w:r>
      <w:r>
        <w:rPr>
          <w:rFonts w:ascii="Arial" w:hAnsi="Arial" w:cs="Arial"/>
          <w:sz w:val="22"/>
          <w:szCs w:val="22"/>
        </w:rPr>
        <w:fldChar w:fldCharType="end"/>
      </w:r>
    </w:p>
    <w:p w14:paraId="699A08F4"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Housing quality is associated with…</w:t>
      </w:r>
    </w:p>
    <w:p w14:paraId="55566F67"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comorbidities </w:t>
      </w:r>
      <w:r>
        <w:rPr>
          <w:rFonts w:ascii="Arial" w:hAnsi="Arial" w:cs="Arial"/>
          <w:sz w:val="22"/>
          <w:szCs w:val="22"/>
        </w:rPr>
        <w:fldChar w:fldCharType="begin"/>
      </w:r>
      <w:r>
        <w:rPr>
          <w:rFonts w:ascii="Arial" w:hAnsi="Arial" w:cs="Arial"/>
          <w:sz w:val="22"/>
          <w:szCs w:val="22"/>
        </w:rPr>
        <w:instrText xml:space="preserve"> ADDIN ZOTERO_ITEM CSL_CITATION {"citationID":"kTbZEaVP","properties":{"formattedCitation":"[8]","plainCitation":"[8]","noteIndex":0},"citationItems":[{"id":"EETchYnv/J2ZF7Eb8","uris":["http://zotero.org/users/5542045/items/3XRURV9B",["http://zotero.org/users/5542045/items/3XRURV9B"]],"itemData":{"id":496,"type":"article-journal","container-title":"Annals of the New York Academy of Sciences","DOI":"10.1196/annals.1425.032","ISSN":"00778923","issue":"1","language":"en","page":"276-288","source":"DOI.org (Crossref)","title":"Housing and Health: Intersection of Poverty and Environmental Exposures","title-short":"Housing and Health","volume":"1136","author":[{"family":"Rauh","given":"Virginia A."},{"family":"Landrigan","given":"Philip J."},{"family":"Claudio","given":"Luz"}],"issued":{"date-parts":[["2008",7,25]]}}}],"schema":"https://github.com/citation-style-language/schema/raw/master/csl-citation.json"} </w:instrText>
      </w:r>
      <w:r>
        <w:rPr>
          <w:rFonts w:ascii="Arial" w:hAnsi="Arial" w:cs="Arial"/>
          <w:sz w:val="22"/>
          <w:szCs w:val="22"/>
        </w:rPr>
        <w:fldChar w:fldCharType="separate"/>
      </w:r>
      <w:r>
        <w:rPr>
          <w:rFonts w:ascii="Arial" w:hAnsi="Arial" w:cs="Arial"/>
          <w:sz w:val="22"/>
        </w:rPr>
        <w:t>[8]</w:t>
      </w:r>
      <w:r>
        <w:rPr>
          <w:rFonts w:ascii="Arial" w:hAnsi="Arial" w:cs="Arial"/>
          <w:sz w:val="22"/>
          <w:szCs w:val="22"/>
        </w:rPr>
        <w:fldChar w:fldCharType="end"/>
      </w:r>
    </w:p>
    <w:p w14:paraId="6FFC986F"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cases </w:t>
      </w:r>
      <w:r>
        <w:rPr>
          <w:rFonts w:ascii="Arial" w:hAnsi="Arial" w:cs="Arial"/>
          <w:sz w:val="22"/>
          <w:szCs w:val="22"/>
        </w:rPr>
        <w:fldChar w:fldCharType="begin"/>
      </w:r>
      <w:r>
        <w:rPr>
          <w:rFonts w:ascii="Arial" w:hAnsi="Arial" w:cs="Arial"/>
          <w:sz w:val="22"/>
          <w:szCs w:val="22"/>
        </w:rPr>
        <w:instrText xml:space="preserve"> ADDIN ZOTERO_ITEM CSL_CITATION {"citationID":"ERkWSZQD","properties":{"formattedCitation":"[108]","plainCitation":"[108]","noteIndex":0},"citationItems":[{"id":"EETchYnv/uBbhzlqA","uris":["http://zotero.org/users/5542045/items/N3QJK677",["http://zotero.org/users/5542045/items/N3QJK677"]],"itemData":{"id":545,"type":"article-journal","abstract":"The goal of this research was to investigate the multifaceted interrelationships between the built and social environments and the impact of this relationship on population-level health in the context of the novel coronavirus disease 2019 (COVID-19). More specifically, this study assessed the relationship between several social determinants of health, including housing quality, living condition, travel pattern, race/ethnicity, household income, and COVID-19 outcomes in Washington, D.C (DC). Using built environment and social environment data extracted from the DC energy benchmarking and American Community Survey databases, more than 130,000 housing units were analyzed against COVID-19 case counts, death counts, mortality rate, age adjusted incidence rate and fatality rate data for DC wards. The results demonstrated that housing quality, living condition, race and occupation were strongly correlated with COVID-19 death count. The potential hot spots within DC were also identified based the regression model using currently available data. It can be concluded that based on the current available COVID-19 information, the identified combined built and social environment variables are the strongest and most significant predicators of COVID-19 death counts. And among those variables, crowding ratio has most significant influence, followed by work commute time and Black American Ratio.","container-title":"Sustainable Cities and Society","DOI":"10.1016/j.scs.2020.102580","ISSN":"2210-6707","journalAbbreviation":"Sustainable Cities and Society","language":"en","page":"102580","source":"ScienceDirect","title":"The role of built and social environmental factors in Covid-19 transmission: A look at America’s capital city","title-short":"The role of built and social environmental factors in Covid-19 transmission","volume":"65","author":[{"family":"Hu","given":"Ming"},{"family":"Roberts","given":"Jennifer D."},{"family":"Azevedo","given":"Gesine Pryor"},{"family":"Milner","given":"David"}],"issued":{"date-parts":[["2021",2,1]]}}}],"schema":"https://github.com/citation-style-language/schema/raw/master/csl-citation.json"} </w:instrText>
      </w:r>
      <w:r>
        <w:rPr>
          <w:rFonts w:ascii="Arial" w:hAnsi="Arial" w:cs="Arial"/>
          <w:sz w:val="22"/>
          <w:szCs w:val="22"/>
        </w:rPr>
        <w:fldChar w:fldCharType="separate"/>
      </w:r>
      <w:r>
        <w:rPr>
          <w:rFonts w:ascii="Arial" w:hAnsi="Arial" w:cs="Arial"/>
          <w:sz w:val="22"/>
        </w:rPr>
        <w:t>[108]</w:t>
      </w:r>
      <w:r>
        <w:rPr>
          <w:rFonts w:ascii="Arial" w:hAnsi="Arial" w:cs="Arial"/>
          <w:sz w:val="22"/>
          <w:szCs w:val="22"/>
        </w:rPr>
        <w:fldChar w:fldCharType="end"/>
      </w:r>
    </w:p>
    <w:p w14:paraId="4870C83E" w14:textId="77777777" w:rsidR="00C82214" w:rsidRDefault="00C82214" w:rsidP="00C82214">
      <w:pPr>
        <w:pStyle w:val="ListParagraph"/>
        <w:numPr>
          <w:ilvl w:val="0"/>
          <w:numId w:val="2"/>
        </w:numPr>
        <w:ind w:left="720"/>
        <w:rPr>
          <w:rFonts w:ascii="Arial" w:hAnsi="Arial" w:cs="Arial"/>
          <w:sz w:val="22"/>
          <w:szCs w:val="22"/>
        </w:rPr>
      </w:pPr>
      <w:r>
        <w:rPr>
          <w:rFonts w:ascii="Arial" w:hAnsi="Arial" w:cs="Arial"/>
          <w:sz w:val="22"/>
          <w:szCs w:val="22"/>
        </w:rPr>
        <w:t>COVID-19 vaccination is associated with…</w:t>
      </w:r>
    </w:p>
    <w:p w14:paraId="29BEDE59" w14:textId="77777777" w:rsidR="00C82214" w:rsidRDefault="00C82214" w:rsidP="00C82214">
      <w:pPr>
        <w:pStyle w:val="ListParagraph"/>
        <w:numPr>
          <w:ilvl w:val="1"/>
          <w:numId w:val="2"/>
        </w:numPr>
        <w:ind w:left="1440"/>
        <w:rPr>
          <w:rFonts w:ascii="Arial" w:hAnsi="Arial" w:cs="Arial"/>
          <w:sz w:val="22"/>
          <w:szCs w:val="22"/>
        </w:rPr>
      </w:pPr>
      <w:r>
        <w:rPr>
          <w:rFonts w:ascii="Arial" w:hAnsi="Arial" w:cs="Arial"/>
          <w:sz w:val="22"/>
          <w:szCs w:val="22"/>
        </w:rPr>
        <w:t xml:space="preserve">COVID-19 cases </w:t>
      </w:r>
      <w:r>
        <w:rPr>
          <w:rFonts w:ascii="Arial" w:hAnsi="Arial" w:cs="Arial"/>
          <w:sz w:val="22"/>
          <w:szCs w:val="22"/>
        </w:rPr>
        <w:fldChar w:fldCharType="begin"/>
      </w:r>
      <w:r>
        <w:rPr>
          <w:rFonts w:ascii="Arial" w:hAnsi="Arial" w:cs="Arial"/>
          <w:sz w:val="22"/>
          <w:szCs w:val="22"/>
        </w:rPr>
        <w:instrText xml:space="preserve"> ADDIN ZOTERO_ITEM CSL_CITATION {"citationID":"IGKl4Y4f","properties":{"formattedCitation":"[109]","plainCitation":"[109]","noteIndex":0},"citationItems":[{"id":"EETchYnv/b26d51Bb","uris":["http://zotero.org/users/5542045/items/E2S2Y8U2",["http://zotero.org/users/5542045/items/E2S2Y8U2"]],"itemData":{"id":553,"type":"article-journal","container-title":"New England Journal of Medicine","DOI":"10.1056/NEJMoa2107058","ISSN":"0028-4793","issue":"0","note":"publisher: Massachusetts Medical Society\n_eprint: https://doi.org/10.1056/NEJMoa2107058","page":"null","source":"Taylor and Francis+NEJM","title":"Prevention and Attenuation of Covid-19 with the BNT162b2 and mRNA-1273 Vaccines","volume":"0","author":[{"family":"Thompson","given":"Mark G."},{"family":"Burgess","given":"Jefferey L."},{"family":"Naleway","given":"Allison L."},{"family":"Tyner","given":"Harmony"},{"family":"Yoon","given":"Sarang K."},{"family":"Meece","given":"Jennifer"},{"family":"Olsho","given":"Lauren E.W."},{"family":"Caban-Martinez","given":"Alberto J."},{"family":"Fowlkes","given":"Ashley L."},{"family":"Lutrick","given":"Karen"},{"family":"Groom","given":"Holly C."},{"family":"Dunnigan","given":"Kayan"},{"family":"Odean","given":"Marilyn J."},{"family":"Hegmann","given":"Kurt"},{"family":"Stefanski","given":"Elisha"},{"family":"Edwards","given":"Laura J."},{"family":"Schaefer-Solle","given":"Natasha"},{"family":"Grant","given":"Lauren"},{"family":"Ellingson","given":"Katherine"},{"family":"Kuntz","given":"Jennifer L."},{"family":"Zunie","given":"Tnelda"},{"family":"Thiese","given":"Matthew S."},{"family":"Ivacic","given":"Lynn"},{"family":"Wesley","given":"Meredith G."},{"family":"Mayo Lamberte","given":"Julie"},{"family":"Sun","given":"Xiaoxiao"},{"family":"Smith","given":"Michael E."},{"family":"Phillips","given":"Andrew L."},{"family":"Groover","given":"Kimberly D."},{"family":"Yoo","given":"Young M."},{"family":"Gerald","given":"Joseph"},{"family":"Brown","given":"Rachel T."},{"family":"Herring","given":"Meghan K."},{"family":"Joseph","given":"Gregory"},{"family":"Beitel","given":"Shawn"},{"family":"Morrill","given":"Tyler C."},{"family":"Mak","given":"Josephine"},{"family":"Rivers","given":"Patrick"},{"family":"Poe","given":"Brandon P."},{"family":"Lynch","given":"Brian"},{"family":"Zhou","given":"Yingtao"},{"family":"Zhang","given":"Jing"},{"family":"Kelleher","given":"Anna"},{"family":"Li","given":"Yan"},{"family":"Dickerson","given":"Monica"},{"family":"Hanson","given":"Erika"},{"family":"Guenther","given":"Kyley"},{"family":"Tong","given":"Suxiang"},{"family":"Bateman","given":"Allen"},{"family":"Reisdorf","given":"Erik"},{"family":"Barnes","given":"John"},{"family":"Azziz-Baumgartner","given":"Eduardo"},{"family":"Hunt","given":"Danielle R."},{"family":"Arvay","given":"Melissa L."},{"family":"Kutty","given":"Preeta"},{"family":"Fry","given":"Alicia M."},{"family":"Gaglani","given":"Manjusha"}],"issued":{"date-parts":[["2021",6,30]]}}}],"schema":"https://github.com/citation-style-language/schema/raw/master/csl-citation.json"} </w:instrText>
      </w:r>
      <w:r>
        <w:rPr>
          <w:rFonts w:ascii="Arial" w:hAnsi="Arial" w:cs="Arial"/>
          <w:sz w:val="22"/>
          <w:szCs w:val="22"/>
        </w:rPr>
        <w:fldChar w:fldCharType="separate"/>
      </w:r>
      <w:r>
        <w:rPr>
          <w:rFonts w:ascii="Arial" w:hAnsi="Arial" w:cs="Arial"/>
          <w:sz w:val="22"/>
        </w:rPr>
        <w:t>[109]</w:t>
      </w:r>
      <w:r>
        <w:rPr>
          <w:rFonts w:ascii="Arial" w:hAnsi="Arial" w:cs="Arial"/>
          <w:sz w:val="22"/>
          <w:szCs w:val="22"/>
        </w:rPr>
        <w:fldChar w:fldCharType="end"/>
      </w:r>
    </w:p>
    <w:p w14:paraId="1A64BE6C" w14:textId="77777777" w:rsidR="00C82214" w:rsidRDefault="00C82214" w:rsidP="00C82214">
      <w:pPr>
        <w:rPr>
          <w:rFonts w:ascii="Arial" w:hAnsi="Arial" w:cs="Arial"/>
          <w:i/>
          <w:iCs/>
          <w:sz w:val="22"/>
          <w:szCs w:val="22"/>
          <w:u w:val="single"/>
        </w:rPr>
      </w:pPr>
      <w:r>
        <w:rPr>
          <w:rFonts w:ascii="Arial" w:hAnsi="Arial" w:cs="Arial"/>
          <w:i/>
          <w:iCs/>
          <w:sz w:val="22"/>
          <w:szCs w:val="22"/>
          <w:u w:val="single"/>
        </w:rPr>
        <w:t>Conceptual model code</w:t>
      </w:r>
    </w:p>
    <w:p w14:paraId="25E9F0A8" w14:textId="77777777" w:rsidR="00C82214" w:rsidRDefault="00C82214" w:rsidP="00C82214">
      <w:pPr>
        <w:rPr>
          <w:rFonts w:ascii="Arial" w:hAnsi="Arial" w:cs="Arial"/>
          <w:i/>
          <w:iCs/>
          <w:sz w:val="22"/>
          <w:szCs w:val="22"/>
          <w:u w:val="single"/>
        </w:rPr>
      </w:pPr>
    </w:p>
    <w:p w14:paraId="1AC21215" w14:textId="77777777" w:rsidR="00C82214" w:rsidRDefault="00C82214" w:rsidP="00C82214">
      <w:pPr>
        <w:rPr>
          <w:rFonts w:ascii="Arial" w:hAnsi="Arial" w:cs="Arial"/>
          <w:sz w:val="22"/>
          <w:szCs w:val="22"/>
        </w:rPr>
      </w:pPr>
      <w:r>
        <w:rPr>
          <w:rFonts w:ascii="Arial" w:hAnsi="Arial" w:cs="Arial"/>
          <w:sz w:val="22"/>
          <w:szCs w:val="22"/>
        </w:rPr>
        <w:t>dag {</w:t>
      </w:r>
    </w:p>
    <w:p w14:paraId="223C7A2F" w14:textId="77777777" w:rsidR="00C82214" w:rsidRDefault="00C82214" w:rsidP="00C82214">
      <w:pPr>
        <w:rPr>
          <w:rFonts w:ascii="Arial" w:hAnsi="Arial" w:cs="Arial"/>
          <w:sz w:val="22"/>
          <w:szCs w:val="22"/>
        </w:rPr>
      </w:pPr>
      <w:r>
        <w:rPr>
          <w:rFonts w:ascii="Arial" w:hAnsi="Arial" w:cs="Arial"/>
          <w:sz w:val="22"/>
          <w:szCs w:val="22"/>
        </w:rPr>
        <w:t>"COVID case" [outcome,pos="0.512,0.948"]</w:t>
      </w:r>
    </w:p>
    <w:p w14:paraId="05282CA7" w14:textId="77777777" w:rsidR="00C82214" w:rsidRDefault="00C82214" w:rsidP="00C82214">
      <w:pPr>
        <w:rPr>
          <w:rFonts w:ascii="Arial" w:hAnsi="Arial" w:cs="Arial"/>
          <w:sz w:val="22"/>
          <w:szCs w:val="22"/>
        </w:rPr>
      </w:pPr>
      <w:r>
        <w:rPr>
          <w:rFonts w:ascii="Arial" w:hAnsi="Arial" w:cs="Arial"/>
          <w:sz w:val="22"/>
          <w:szCs w:val="22"/>
        </w:rPr>
        <w:t>"COVID vaccination" [outcome,pos="0.035,1.713"]</w:t>
      </w:r>
    </w:p>
    <w:p w14:paraId="7145B265" w14:textId="77777777" w:rsidR="00C82214" w:rsidRDefault="00C82214" w:rsidP="00C82214">
      <w:pPr>
        <w:rPr>
          <w:rFonts w:ascii="Arial" w:hAnsi="Arial" w:cs="Arial"/>
          <w:sz w:val="22"/>
          <w:szCs w:val="22"/>
        </w:rPr>
      </w:pPr>
      <w:r>
        <w:rPr>
          <w:rFonts w:ascii="Arial" w:hAnsi="Arial" w:cs="Arial"/>
          <w:sz w:val="22"/>
          <w:szCs w:val="22"/>
        </w:rPr>
        <w:t>"air pollution" [pos="-1.631,-0.621"]</w:t>
      </w:r>
    </w:p>
    <w:p w14:paraId="19D9C195" w14:textId="77777777" w:rsidR="00C82214" w:rsidRDefault="00C82214" w:rsidP="00C82214">
      <w:pPr>
        <w:rPr>
          <w:rFonts w:ascii="Arial" w:hAnsi="Arial" w:cs="Arial"/>
          <w:sz w:val="22"/>
          <w:szCs w:val="22"/>
        </w:rPr>
      </w:pPr>
      <w:r>
        <w:rPr>
          <w:rFonts w:ascii="Arial" w:hAnsi="Arial" w:cs="Arial"/>
          <w:sz w:val="22"/>
          <w:szCs w:val="22"/>
        </w:rPr>
        <w:t>"household income" [pos="-1.050,-1.041"]</w:t>
      </w:r>
    </w:p>
    <w:p w14:paraId="51E43264" w14:textId="77777777" w:rsidR="00C82214" w:rsidRDefault="00C82214" w:rsidP="00C82214">
      <w:pPr>
        <w:rPr>
          <w:rFonts w:ascii="Arial" w:hAnsi="Arial" w:cs="Arial"/>
          <w:sz w:val="22"/>
          <w:szCs w:val="22"/>
        </w:rPr>
      </w:pPr>
      <w:r>
        <w:rPr>
          <w:rFonts w:ascii="Arial" w:hAnsi="Arial" w:cs="Arial"/>
          <w:sz w:val="22"/>
          <w:szCs w:val="22"/>
        </w:rPr>
        <w:t>"household size" [exposure,pos="-0.865,1.860"]</w:t>
      </w:r>
    </w:p>
    <w:p w14:paraId="3A6E082F" w14:textId="77777777" w:rsidR="00C82214" w:rsidRDefault="00C82214" w:rsidP="00C82214">
      <w:pPr>
        <w:rPr>
          <w:rFonts w:ascii="Arial" w:hAnsi="Arial" w:cs="Arial"/>
          <w:sz w:val="22"/>
          <w:szCs w:val="22"/>
        </w:rPr>
      </w:pPr>
      <w:r>
        <w:rPr>
          <w:rFonts w:ascii="Arial" w:hAnsi="Arial" w:cs="Arial"/>
          <w:sz w:val="22"/>
          <w:szCs w:val="22"/>
        </w:rPr>
        <w:t>"housing conditions" [exposure,pos="-1.628,1.970"]</w:t>
      </w:r>
    </w:p>
    <w:p w14:paraId="2A3CD575" w14:textId="77777777" w:rsidR="00C82214" w:rsidRDefault="00C82214" w:rsidP="00C82214">
      <w:pPr>
        <w:rPr>
          <w:rFonts w:ascii="Arial" w:hAnsi="Arial" w:cs="Arial"/>
          <w:sz w:val="22"/>
          <w:szCs w:val="22"/>
        </w:rPr>
      </w:pPr>
      <w:r>
        <w:rPr>
          <w:rFonts w:ascii="Arial" w:hAnsi="Arial" w:cs="Arial"/>
          <w:sz w:val="22"/>
          <w:szCs w:val="22"/>
        </w:rPr>
        <w:t>"neighborhood income" [pos="-0.636,-2.306"]</w:t>
      </w:r>
    </w:p>
    <w:p w14:paraId="7AD5AFEF" w14:textId="77777777" w:rsidR="00C82214" w:rsidRDefault="00C82214" w:rsidP="00C82214">
      <w:pPr>
        <w:rPr>
          <w:rFonts w:ascii="Arial" w:hAnsi="Arial" w:cs="Arial"/>
          <w:sz w:val="22"/>
          <w:szCs w:val="22"/>
        </w:rPr>
      </w:pPr>
      <w:r>
        <w:rPr>
          <w:rFonts w:ascii="Arial" w:hAnsi="Arial" w:cs="Arial"/>
          <w:sz w:val="22"/>
          <w:szCs w:val="22"/>
        </w:rPr>
        <w:t>"political affiliation" [pos="0.010,-1.633"]</w:t>
      </w:r>
    </w:p>
    <w:p w14:paraId="72CB5A22" w14:textId="77777777" w:rsidR="00C82214" w:rsidRDefault="00C82214" w:rsidP="00C82214">
      <w:pPr>
        <w:rPr>
          <w:rFonts w:ascii="Arial" w:hAnsi="Arial" w:cs="Arial"/>
          <w:sz w:val="22"/>
          <w:szCs w:val="22"/>
        </w:rPr>
      </w:pPr>
      <w:r>
        <w:rPr>
          <w:rFonts w:ascii="Arial" w:hAnsi="Arial" w:cs="Arial"/>
          <w:sz w:val="22"/>
          <w:szCs w:val="22"/>
        </w:rPr>
        <w:t>"population density" [pos="-1.090,0.643"]</w:t>
      </w:r>
    </w:p>
    <w:p w14:paraId="7E4DC35B" w14:textId="77777777" w:rsidR="00C82214" w:rsidRDefault="00C82214" w:rsidP="00C82214">
      <w:pPr>
        <w:rPr>
          <w:rFonts w:ascii="Arial" w:hAnsi="Arial" w:cs="Arial"/>
          <w:sz w:val="22"/>
          <w:szCs w:val="22"/>
        </w:rPr>
      </w:pPr>
      <w:r>
        <w:rPr>
          <w:rFonts w:ascii="Arial" w:hAnsi="Arial" w:cs="Arial"/>
          <w:sz w:val="22"/>
          <w:szCs w:val="22"/>
        </w:rPr>
        <w:t>"race/ethnicity" [pos="-1.776,-1.580"]</w:t>
      </w:r>
    </w:p>
    <w:p w14:paraId="084C87C0" w14:textId="77777777" w:rsidR="00C82214" w:rsidRDefault="00C82214" w:rsidP="00C82214">
      <w:pPr>
        <w:rPr>
          <w:rFonts w:ascii="Arial" w:hAnsi="Arial" w:cs="Arial"/>
          <w:sz w:val="22"/>
          <w:szCs w:val="22"/>
        </w:rPr>
      </w:pPr>
      <w:r>
        <w:rPr>
          <w:rFonts w:ascii="Arial" w:hAnsi="Arial" w:cs="Arial"/>
          <w:sz w:val="22"/>
          <w:szCs w:val="22"/>
        </w:rPr>
        <w:t>"region/state" [pos="0.193,-2.285"]</w:t>
      </w:r>
    </w:p>
    <w:p w14:paraId="7B0096CE" w14:textId="77777777" w:rsidR="00C82214" w:rsidRDefault="00C82214" w:rsidP="00C82214">
      <w:pPr>
        <w:rPr>
          <w:rFonts w:ascii="Arial" w:hAnsi="Arial" w:cs="Arial"/>
          <w:sz w:val="22"/>
          <w:szCs w:val="22"/>
        </w:rPr>
      </w:pPr>
      <w:r>
        <w:rPr>
          <w:rFonts w:ascii="Arial" w:hAnsi="Arial" w:cs="Arial"/>
          <w:sz w:val="22"/>
          <w:szCs w:val="22"/>
        </w:rPr>
        <w:t>age [pos="-1.265,-2.106"]</w:t>
      </w:r>
    </w:p>
    <w:p w14:paraId="60A656AB" w14:textId="77777777" w:rsidR="00C82214" w:rsidRDefault="00C82214" w:rsidP="00C82214">
      <w:pPr>
        <w:rPr>
          <w:rFonts w:ascii="Arial" w:hAnsi="Arial" w:cs="Arial"/>
          <w:sz w:val="22"/>
          <w:szCs w:val="22"/>
        </w:rPr>
      </w:pPr>
      <w:r>
        <w:rPr>
          <w:rFonts w:ascii="Arial" w:hAnsi="Arial" w:cs="Arial"/>
          <w:sz w:val="22"/>
          <w:szCs w:val="22"/>
        </w:rPr>
        <w:t>comorbidities [pos="-1.413,1.656"]</w:t>
      </w:r>
    </w:p>
    <w:p w14:paraId="6857C572" w14:textId="77777777" w:rsidR="00C82214" w:rsidRDefault="00C82214" w:rsidP="00C82214">
      <w:pPr>
        <w:rPr>
          <w:rFonts w:ascii="Arial" w:hAnsi="Arial" w:cs="Arial"/>
          <w:sz w:val="22"/>
          <w:szCs w:val="22"/>
        </w:rPr>
      </w:pPr>
      <w:r>
        <w:rPr>
          <w:rFonts w:ascii="Arial" w:hAnsi="Arial" w:cs="Arial"/>
          <w:sz w:val="22"/>
          <w:szCs w:val="22"/>
        </w:rPr>
        <w:t>education [pos="0.231,-0.561"]</w:t>
      </w:r>
    </w:p>
    <w:p w14:paraId="0A3E92C4" w14:textId="77777777" w:rsidR="00C82214" w:rsidRDefault="00C82214" w:rsidP="00C82214">
      <w:pPr>
        <w:rPr>
          <w:rFonts w:ascii="Arial" w:hAnsi="Arial" w:cs="Arial"/>
          <w:sz w:val="22"/>
          <w:szCs w:val="22"/>
        </w:rPr>
      </w:pPr>
      <w:r>
        <w:rPr>
          <w:rFonts w:ascii="Arial" w:hAnsi="Arial" w:cs="Arial"/>
          <w:sz w:val="22"/>
          <w:szCs w:val="22"/>
        </w:rPr>
        <w:lastRenderedPageBreak/>
        <w:t>gender [pos="-0.286,-1.335"]</w:t>
      </w:r>
    </w:p>
    <w:p w14:paraId="1D910F58" w14:textId="77777777" w:rsidR="00C82214" w:rsidRDefault="00C82214" w:rsidP="00C82214">
      <w:pPr>
        <w:rPr>
          <w:rFonts w:ascii="Arial" w:hAnsi="Arial" w:cs="Arial"/>
          <w:sz w:val="22"/>
          <w:szCs w:val="22"/>
        </w:rPr>
      </w:pPr>
      <w:r>
        <w:rPr>
          <w:rFonts w:ascii="Arial" w:hAnsi="Arial" w:cs="Arial"/>
          <w:sz w:val="22"/>
          <w:szCs w:val="22"/>
        </w:rPr>
        <w:t>greenness [pos="-1.778,0.711"]</w:t>
      </w:r>
    </w:p>
    <w:p w14:paraId="610667E7" w14:textId="77777777" w:rsidR="00C82214" w:rsidRDefault="00C82214" w:rsidP="00C82214">
      <w:pPr>
        <w:rPr>
          <w:rFonts w:ascii="Arial" w:hAnsi="Arial" w:cs="Arial"/>
          <w:sz w:val="22"/>
          <w:szCs w:val="22"/>
        </w:rPr>
      </w:pPr>
      <w:r>
        <w:rPr>
          <w:rFonts w:ascii="Arial" w:hAnsi="Arial" w:cs="Arial"/>
          <w:sz w:val="22"/>
          <w:szCs w:val="22"/>
        </w:rPr>
        <w:t>occupation [pos="-0.035,0.237"]</w:t>
      </w:r>
    </w:p>
    <w:p w14:paraId="4DCCE6F4" w14:textId="77777777" w:rsidR="00C82214" w:rsidRDefault="00C82214" w:rsidP="00C82214">
      <w:pPr>
        <w:rPr>
          <w:rFonts w:ascii="Arial" w:hAnsi="Arial" w:cs="Arial"/>
          <w:sz w:val="22"/>
          <w:szCs w:val="22"/>
        </w:rPr>
      </w:pPr>
      <w:r>
        <w:rPr>
          <w:rFonts w:ascii="Arial" w:hAnsi="Arial" w:cs="Arial"/>
          <w:sz w:val="22"/>
          <w:szCs w:val="22"/>
        </w:rPr>
        <w:t>"COVID vaccination" -&gt; "COVID case"</w:t>
      </w:r>
    </w:p>
    <w:p w14:paraId="48C4F6E8" w14:textId="77777777" w:rsidR="00C82214" w:rsidRDefault="00C82214" w:rsidP="00C82214">
      <w:pPr>
        <w:rPr>
          <w:rFonts w:ascii="Arial" w:hAnsi="Arial" w:cs="Arial"/>
          <w:sz w:val="22"/>
          <w:szCs w:val="22"/>
        </w:rPr>
      </w:pPr>
      <w:r>
        <w:rPr>
          <w:rFonts w:ascii="Arial" w:hAnsi="Arial" w:cs="Arial"/>
          <w:sz w:val="22"/>
          <w:szCs w:val="22"/>
        </w:rPr>
        <w:t>age -&gt; "household income"</w:t>
      </w:r>
    </w:p>
    <w:p w14:paraId="4740FB12" w14:textId="77777777" w:rsidR="00C82214" w:rsidRDefault="00C82214" w:rsidP="00C82214">
      <w:pPr>
        <w:rPr>
          <w:rFonts w:ascii="Arial" w:hAnsi="Arial" w:cs="Arial"/>
          <w:sz w:val="22"/>
          <w:szCs w:val="22"/>
        </w:rPr>
      </w:pPr>
      <w:r>
        <w:rPr>
          <w:rFonts w:ascii="Arial" w:hAnsi="Arial" w:cs="Arial"/>
          <w:sz w:val="22"/>
          <w:szCs w:val="22"/>
        </w:rPr>
        <w:t>age -&gt; "air pollution"</w:t>
      </w:r>
    </w:p>
    <w:p w14:paraId="22ECC4BF" w14:textId="77777777" w:rsidR="00C82214" w:rsidRDefault="00C82214" w:rsidP="00C82214">
      <w:pPr>
        <w:rPr>
          <w:rFonts w:ascii="Arial" w:hAnsi="Arial" w:cs="Arial"/>
          <w:sz w:val="22"/>
          <w:szCs w:val="22"/>
        </w:rPr>
      </w:pPr>
      <w:r>
        <w:rPr>
          <w:rFonts w:ascii="Arial" w:hAnsi="Arial" w:cs="Arial"/>
          <w:sz w:val="22"/>
          <w:szCs w:val="22"/>
        </w:rPr>
        <w:t>age -&gt; greenness</w:t>
      </w:r>
    </w:p>
    <w:p w14:paraId="704499BE" w14:textId="77777777" w:rsidR="00C82214" w:rsidRDefault="00C82214" w:rsidP="00C82214">
      <w:pPr>
        <w:rPr>
          <w:rFonts w:ascii="Arial" w:hAnsi="Arial" w:cs="Arial"/>
          <w:sz w:val="22"/>
          <w:szCs w:val="22"/>
        </w:rPr>
      </w:pPr>
      <w:r>
        <w:rPr>
          <w:rFonts w:ascii="Arial" w:hAnsi="Arial" w:cs="Arial"/>
          <w:sz w:val="22"/>
          <w:szCs w:val="22"/>
        </w:rPr>
        <w:t>age -&gt; comorbidities</w:t>
      </w:r>
    </w:p>
    <w:p w14:paraId="12CAFD5F" w14:textId="77777777" w:rsidR="00C82214" w:rsidRDefault="00C82214" w:rsidP="00C82214">
      <w:pPr>
        <w:rPr>
          <w:rFonts w:ascii="Arial" w:hAnsi="Arial" w:cs="Arial"/>
          <w:sz w:val="22"/>
          <w:szCs w:val="22"/>
        </w:rPr>
      </w:pPr>
      <w:r>
        <w:rPr>
          <w:rFonts w:ascii="Arial" w:hAnsi="Arial" w:cs="Arial"/>
          <w:sz w:val="22"/>
          <w:szCs w:val="22"/>
        </w:rPr>
        <w:t>age -&gt; occupation</w:t>
      </w:r>
    </w:p>
    <w:p w14:paraId="1066D5FE" w14:textId="77777777" w:rsidR="00C82214" w:rsidRDefault="00C82214" w:rsidP="00C82214">
      <w:pPr>
        <w:rPr>
          <w:rFonts w:ascii="Arial" w:hAnsi="Arial" w:cs="Arial"/>
          <w:sz w:val="22"/>
          <w:szCs w:val="22"/>
        </w:rPr>
      </w:pPr>
      <w:r>
        <w:rPr>
          <w:rFonts w:ascii="Arial" w:hAnsi="Arial" w:cs="Arial"/>
          <w:sz w:val="22"/>
          <w:szCs w:val="22"/>
        </w:rPr>
        <w:t>age -&gt; "political affiliation"</w:t>
      </w:r>
    </w:p>
    <w:p w14:paraId="542C38C1" w14:textId="77777777" w:rsidR="00C82214" w:rsidRDefault="00C82214" w:rsidP="00C82214">
      <w:pPr>
        <w:rPr>
          <w:rFonts w:ascii="Arial" w:hAnsi="Arial" w:cs="Arial"/>
          <w:sz w:val="22"/>
          <w:szCs w:val="22"/>
        </w:rPr>
      </w:pPr>
      <w:r>
        <w:rPr>
          <w:rFonts w:ascii="Arial" w:hAnsi="Arial" w:cs="Arial"/>
          <w:sz w:val="22"/>
          <w:szCs w:val="22"/>
        </w:rPr>
        <w:t>age -&gt; "household size"</w:t>
      </w:r>
    </w:p>
    <w:p w14:paraId="3F8A28E4" w14:textId="77777777" w:rsidR="00C82214" w:rsidRDefault="00C82214" w:rsidP="00C82214">
      <w:pPr>
        <w:rPr>
          <w:rFonts w:ascii="Arial" w:hAnsi="Arial" w:cs="Arial"/>
          <w:sz w:val="22"/>
          <w:szCs w:val="22"/>
        </w:rPr>
      </w:pPr>
      <w:r>
        <w:rPr>
          <w:rFonts w:ascii="Arial" w:hAnsi="Arial" w:cs="Arial"/>
          <w:sz w:val="22"/>
          <w:szCs w:val="22"/>
        </w:rPr>
        <w:t>age -&gt; "COVID case"</w:t>
      </w:r>
    </w:p>
    <w:p w14:paraId="324F986F" w14:textId="77777777" w:rsidR="00C82214" w:rsidRDefault="00C82214" w:rsidP="00C82214">
      <w:pPr>
        <w:rPr>
          <w:rFonts w:ascii="Arial" w:hAnsi="Arial" w:cs="Arial"/>
          <w:sz w:val="22"/>
          <w:szCs w:val="22"/>
        </w:rPr>
      </w:pPr>
      <w:r>
        <w:rPr>
          <w:rFonts w:ascii="Arial" w:hAnsi="Arial" w:cs="Arial"/>
          <w:sz w:val="22"/>
          <w:szCs w:val="22"/>
        </w:rPr>
        <w:t>age -&gt; "COVID vaccination"</w:t>
      </w:r>
    </w:p>
    <w:p w14:paraId="3297997D" w14:textId="77777777" w:rsidR="00C82214" w:rsidRDefault="00C82214" w:rsidP="00C82214">
      <w:pPr>
        <w:rPr>
          <w:rFonts w:ascii="Arial" w:hAnsi="Arial" w:cs="Arial"/>
          <w:sz w:val="22"/>
          <w:szCs w:val="22"/>
        </w:rPr>
      </w:pPr>
      <w:r>
        <w:rPr>
          <w:rFonts w:ascii="Arial" w:hAnsi="Arial" w:cs="Arial"/>
          <w:sz w:val="22"/>
          <w:szCs w:val="22"/>
        </w:rPr>
        <w:t>gender -&gt; education</w:t>
      </w:r>
    </w:p>
    <w:p w14:paraId="7CE82EF7" w14:textId="77777777" w:rsidR="00C82214" w:rsidRDefault="00C82214" w:rsidP="00C82214">
      <w:pPr>
        <w:rPr>
          <w:rFonts w:ascii="Arial" w:hAnsi="Arial" w:cs="Arial"/>
          <w:sz w:val="22"/>
          <w:szCs w:val="22"/>
        </w:rPr>
      </w:pPr>
      <w:r>
        <w:rPr>
          <w:rFonts w:ascii="Arial" w:hAnsi="Arial" w:cs="Arial"/>
          <w:sz w:val="22"/>
          <w:szCs w:val="22"/>
        </w:rPr>
        <w:t>gender -&gt; "household income"</w:t>
      </w:r>
    </w:p>
    <w:p w14:paraId="725EC2C6" w14:textId="77777777" w:rsidR="00C82214" w:rsidRDefault="00C82214" w:rsidP="00C82214">
      <w:pPr>
        <w:rPr>
          <w:rFonts w:ascii="Arial" w:hAnsi="Arial" w:cs="Arial"/>
          <w:sz w:val="22"/>
          <w:szCs w:val="22"/>
        </w:rPr>
      </w:pPr>
      <w:r>
        <w:rPr>
          <w:rFonts w:ascii="Arial" w:hAnsi="Arial" w:cs="Arial"/>
          <w:sz w:val="22"/>
          <w:szCs w:val="22"/>
        </w:rPr>
        <w:t>gender -&gt; comorbidities</w:t>
      </w:r>
    </w:p>
    <w:p w14:paraId="38630850" w14:textId="77777777" w:rsidR="00C82214" w:rsidRDefault="00C82214" w:rsidP="00C82214">
      <w:pPr>
        <w:rPr>
          <w:rFonts w:ascii="Arial" w:hAnsi="Arial" w:cs="Arial"/>
          <w:sz w:val="22"/>
          <w:szCs w:val="22"/>
        </w:rPr>
      </w:pPr>
      <w:r>
        <w:rPr>
          <w:rFonts w:ascii="Arial" w:hAnsi="Arial" w:cs="Arial"/>
          <w:sz w:val="22"/>
          <w:szCs w:val="22"/>
        </w:rPr>
        <w:t>gender -&gt; occupation</w:t>
      </w:r>
    </w:p>
    <w:p w14:paraId="4A42AB92" w14:textId="77777777" w:rsidR="00C82214" w:rsidRDefault="00C82214" w:rsidP="00C82214">
      <w:pPr>
        <w:rPr>
          <w:rFonts w:ascii="Arial" w:hAnsi="Arial" w:cs="Arial"/>
          <w:sz w:val="22"/>
          <w:szCs w:val="22"/>
        </w:rPr>
      </w:pPr>
      <w:r>
        <w:rPr>
          <w:rFonts w:ascii="Arial" w:hAnsi="Arial" w:cs="Arial"/>
          <w:sz w:val="22"/>
          <w:szCs w:val="22"/>
        </w:rPr>
        <w:t>gender -&gt; "political affiliation"</w:t>
      </w:r>
    </w:p>
    <w:p w14:paraId="7ABCD6F4" w14:textId="77777777" w:rsidR="00C82214" w:rsidRDefault="00C82214" w:rsidP="00C82214">
      <w:pPr>
        <w:rPr>
          <w:rFonts w:ascii="Arial" w:hAnsi="Arial" w:cs="Arial"/>
          <w:sz w:val="22"/>
          <w:szCs w:val="22"/>
        </w:rPr>
      </w:pPr>
      <w:r>
        <w:rPr>
          <w:rFonts w:ascii="Arial" w:hAnsi="Arial" w:cs="Arial"/>
          <w:sz w:val="22"/>
          <w:szCs w:val="22"/>
        </w:rPr>
        <w:t>gender -&gt; "household size"</w:t>
      </w:r>
    </w:p>
    <w:p w14:paraId="398F4374" w14:textId="77777777" w:rsidR="00C82214" w:rsidRDefault="00C82214" w:rsidP="00C82214">
      <w:pPr>
        <w:rPr>
          <w:rFonts w:ascii="Arial" w:hAnsi="Arial" w:cs="Arial"/>
          <w:sz w:val="22"/>
          <w:szCs w:val="22"/>
        </w:rPr>
      </w:pPr>
      <w:r>
        <w:rPr>
          <w:rFonts w:ascii="Arial" w:hAnsi="Arial" w:cs="Arial"/>
          <w:sz w:val="22"/>
          <w:szCs w:val="22"/>
        </w:rPr>
        <w:t>gender -&gt; "COVID case"</w:t>
      </w:r>
    </w:p>
    <w:p w14:paraId="481B99DF" w14:textId="77777777" w:rsidR="00C82214" w:rsidRDefault="00C82214" w:rsidP="00C82214">
      <w:pPr>
        <w:rPr>
          <w:rFonts w:ascii="Arial" w:hAnsi="Arial" w:cs="Arial"/>
          <w:sz w:val="22"/>
          <w:szCs w:val="22"/>
        </w:rPr>
      </w:pPr>
      <w:r>
        <w:rPr>
          <w:rFonts w:ascii="Arial" w:hAnsi="Arial" w:cs="Arial"/>
          <w:sz w:val="22"/>
          <w:szCs w:val="22"/>
        </w:rPr>
        <w:t>"race/ethnicity" -&gt; education</w:t>
      </w:r>
    </w:p>
    <w:p w14:paraId="65EAECF5" w14:textId="77777777" w:rsidR="00C82214" w:rsidRDefault="00C82214" w:rsidP="00C82214">
      <w:pPr>
        <w:rPr>
          <w:rFonts w:ascii="Arial" w:hAnsi="Arial" w:cs="Arial"/>
          <w:sz w:val="22"/>
          <w:szCs w:val="22"/>
        </w:rPr>
      </w:pPr>
      <w:r>
        <w:rPr>
          <w:rFonts w:ascii="Arial" w:hAnsi="Arial" w:cs="Arial"/>
          <w:sz w:val="22"/>
          <w:szCs w:val="22"/>
        </w:rPr>
        <w:t>"race/ethnicity" -&gt; "household income"</w:t>
      </w:r>
    </w:p>
    <w:p w14:paraId="009150E5" w14:textId="77777777" w:rsidR="00C82214" w:rsidRDefault="00C82214" w:rsidP="00C82214">
      <w:pPr>
        <w:rPr>
          <w:rFonts w:ascii="Arial" w:hAnsi="Arial" w:cs="Arial"/>
          <w:sz w:val="22"/>
          <w:szCs w:val="22"/>
        </w:rPr>
      </w:pPr>
      <w:r>
        <w:rPr>
          <w:rFonts w:ascii="Arial" w:hAnsi="Arial" w:cs="Arial"/>
          <w:sz w:val="22"/>
          <w:szCs w:val="22"/>
        </w:rPr>
        <w:t>"race/ethnicity" -&gt; "neighborhood income"</w:t>
      </w:r>
    </w:p>
    <w:p w14:paraId="61D90528" w14:textId="77777777" w:rsidR="00C82214" w:rsidRDefault="00C82214" w:rsidP="00C82214">
      <w:pPr>
        <w:rPr>
          <w:rFonts w:ascii="Arial" w:hAnsi="Arial" w:cs="Arial"/>
          <w:sz w:val="22"/>
          <w:szCs w:val="22"/>
        </w:rPr>
      </w:pPr>
      <w:r>
        <w:rPr>
          <w:rFonts w:ascii="Arial" w:hAnsi="Arial" w:cs="Arial"/>
          <w:sz w:val="22"/>
          <w:szCs w:val="22"/>
        </w:rPr>
        <w:t>"race/ethnicity" -&gt; "air pollution"</w:t>
      </w:r>
    </w:p>
    <w:p w14:paraId="5DA7B090" w14:textId="77777777" w:rsidR="00C82214" w:rsidRDefault="00C82214" w:rsidP="00C82214">
      <w:pPr>
        <w:rPr>
          <w:rFonts w:ascii="Arial" w:hAnsi="Arial" w:cs="Arial"/>
          <w:sz w:val="22"/>
          <w:szCs w:val="22"/>
        </w:rPr>
      </w:pPr>
      <w:r>
        <w:rPr>
          <w:rFonts w:ascii="Arial" w:hAnsi="Arial" w:cs="Arial"/>
          <w:sz w:val="22"/>
          <w:szCs w:val="22"/>
        </w:rPr>
        <w:t>"race/ethnicity" -&gt; greenness</w:t>
      </w:r>
    </w:p>
    <w:p w14:paraId="052D723C" w14:textId="77777777" w:rsidR="00C82214" w:rsidRDefault="00C82214" w:rsidP="00C82214">
      <w:pPr>
        <w:rPr>
          <w:rFonts w:ascii="Arial" w:hAnsi="Arial" w:cs="Arial"/>
          <w:sz w:val="22"/>
          <w:szCs w:val="22"/>
        </w:rPr>
      </w:pPr>
      <w:r>
        <w:rPr>
          <w:rFonts w:ascii="Arial" w:hAnsi="Arial" w:cs="Arial"/>
          <w:sz w:val="22"/>
          <w:szCs w:val="22"/>
        </w:rPr>
        <w:t>"race/ethnicity" -&gt; "political affiliation"</w:t>
      </w:r>
    </w:p>
    <w:p w14:paraId="3B842D2E" w14:textId="77777777" w:rsidR="00C82214" w:rsidRDefault="00C82214" w:rsidP="00C82214">
      <w:pPr>
        <w:rPr>
          <w:rFonts w:ascii="Arial" w:hAnsi="Arial" w:cs="Arial"/>
          <w:sz w:val="22"/>
          <w:szCs w:val="22"/>
        </w:rPr>
      </w:pPr>
      <w:r>
        <w:rPr>
          <w:rFonts w:ascii="Arial" w:hAnsi="Arial" w:cs="Arial"/>
          <w:sz w:val="22"/>
          <w:szCs w:val="22"/>
        </w:rPr>
        <w:t>"race/ethnicity" -&gt; "housing conditions"</w:t>
      </w:r>
    </w:p>
    <w:p w14:paraId="58C61F31" w14:textId="77777777" w:rsidR="00C82214" w:rsidRDefault="00C82214" w:rsidP="00C82214">
      <w:pPr>
        <w:rPr>
          <w:rFonts w:ascii="Arial" w:hAnsi="Arial" w:cs="Arial"/>
          <w:sz w:val="22"/>
          <w:szCs w:val="22"/>
        </w:rPr>
      </w:pPr>
      <w:r>
        <w:rPr>
          <w:rFonts w:ascii="Arial" w:hAnsi="Arial" w:cs="Arial"/>
          <w:sz w:val="22"/>
          <w:szCs w:val="22"/>
        </w:rPr>
        <w:t>"race/ethnicity" -&gt; "household size"</w:t>
      </w:r>
    </w:p>
    <w:p w14:paraId="43A780B4" w14:textId="77777777" w:rsidR="00C82214" w:rsidRDefault="00C82214" w:rsidP="00C82214">
      <w:pPr>
        <w:rPr>
          <w:rFonts w:ascii="Arial" w:hAnsi="Arial" w:cs="Arial"/>
          <w:sz w:val="22"/>
          <w:szCs w:val="22"/>
        </w:rPr>
      </w:pPr>
      <w:r>
        <w:rPr>
          <w:rFonts w:ascii="Arial" w:hAnsi="Arial" w:cs="Arial"/>
          <w:sz w:val="22"/>
          <w:szCs w:val="22"/>
        </w:rPr>
        <w:t>"race/ethnicity" -&gt; "COVID case"</w:t>
      </w:r>
    </w:p>
    <w:p w14:paraId="0C01546F" w14:textId="77777777" w:rsidR="00C82214" w:rsidRDefault="00C82214" w:rsidP="00C82214">
      <w:pPr>
        <w:rPr>
          <w:rFonts w:ascii="Arial" w:hAnsi="Arial" w:cs="Arial"/>
          <w:sz w:val="22"/>
          <w:szCs w:val="22"/>
        </w:rPr>
      </w:pPr>
      <w:r>
        <w:rPr>
          <w:rFonts w:ascii="Arial" w:hAnsi="Arial" w:cs="Arial"/>
          <w:sz w:val="22"/>
          <w:szCs w:val="22"/>
        </w:rPr>
        <w:t>"race/ethnicity" -&gt; "COVID vaccination"</w:t>
      </w:r>
    </w:p>
    <w:p w14:paraId="2A10CE0A" w14:textId="77777777" w:rsidR="00C82214" w:rsidRDefault="00C82214" w:rsidP="00C82214">
      <w:pPr>
        <w:rPr>
          <w:rFonts w:ascii="Arial" w:hAnsi="Arial" w:cs="Arial"/>
          <w:sz w:val="22"/>
          <w:szCs w:val="22"/>
        </w:rPr>
      </w:pPr>
      <w:r>
        <w:rPr>
          <w:rFonts w:ascii="Arial" w:hAnsi="Arial" w:cs="Arial"/>
          <w:sz w:val="22"/>
          <w:szCs w:val="22"/>
        </w:rPr>
        <w:t>education -&gt; "household income"</w:t>
      </w:r>
    </w:p>
    <w:p w14:paraId="61BD1372" w14:textId="77777777" w:rsidR="00C82214" w:rsidRDefault="00C82214" w:rsidP="00C82214">
      <w:pPr>
        <w:rPr>
          <w:rFonts w:ascii="Arial" w:hAnsi="Arial" w:cs="Arial"/>
          <w:sz w:val="22"/>
          <w:szCs w:val="22"/>
        </w:rPr>
      </w:pPr>
      <w:r>
        <w:rPr>
          <w:rFonts w:ascii="Arial" w:hAnsi="Arial" w:cs="Arial"/>
          <w:sz w:val="22"/>
          <w:szCs w:val="22"/>
        </w:rPr>
        <w:t>education -&gt; "population density"</w:t>
      </w:r>
    </w:p>
    <w:p w14:paraId="2D9FF700" w14:textId="77777777" w:rsidR="00C82214" w:rsidRDefault="00C82214" w:rsidP="00C82214">
      <w:pPr>
        <w:rPr>
          <w:rFonts w:ascii="Arial" w:hAnsi="Arial" w:cs="Arial"/>
          <w:sz w:val="22"/>
          <w:szCs w:val="22"/>
        </w:rPr>
      </w:pPr>
      <w:r>
        <w:rPr>
          <w:rFonts w:ascii="Arial" w:hAnsi="Arial" w:cs="Arial"/>
          <w:sz w:val="22"/>
          <w:szCs w:val="22"/>
        </w:rPr>
        <w:t>education -&gt; greenness</w:t>
      </w:r>
    </w:p>
    <w:p w14:paraId="6CD374C4" w14:textId="77777777" w:rsidR="00C82214" w:rsidRDefault="00C82214" w:rsidP="00C82214">
      <w:pPr>
        <w:rPr>
          <w:rFonts w:ascii="Arial" w:hAnsi="Arial" w:cs="Arial"/>
          <w:sz w:val="22"/>
          <w:szCs w:val="22"/>
        </w:rPr>
      </w:pPr>
      <w:r>
        <w:rPr>
          <w:rFonts w:ascii="Arial" w:hAnsi="Arial" w:cs="Arial"/>
          <w:sz w:val="22"/>
          <w:szCs w:val="22"/>
        </w:rPr>
        <w:t>education -&gt; comorbidities</w:t>
      </w:r>
    </w:p>
    <w:p w14:paraId="07338522" w14:textId="77777777" w:rsidR="00C82214" w:rsidRDefault="00C82214" w:rsidP="00C82214">
      <w:pPr>
        <w:rPr>
          <w:rFonts w:ascii="Arial" w:hAnsi="Arial" w:cs="Arial"/>
          <w:sz w:val="22"/>
          <w:szCs w:val="22"/>
        </w:rPr>
      </w:pPr>
      <w:r>
        <w:rPr>
          <w:rFonts w:ascii="Arial" w:hAnsi="Arial" w:cs="Arial"/>
          <w:sz w:val="22"/>
          <w:szCs w:val="22"/>
        </w:rPr>
        <w:t>education -&gt; occupation</w:t>
      </w:r>
    </w:p>
    <w:p w14:paraId="5E871BA0" w14:textId="77777777" w:rsidR="00C82214" w:rsidRDefault="00C82214" w:rsidP="00C82214">
      <w:pPr>
        <w:rPr>
          <w:rFonts w:ascii="Arial" w:hAnsi="Arial" w:cs="Arial"/>
          <w:sz w:val="22"/>
          <w:szCs w:val="22"/>
        </w:rPr>
      </w:pPr>
      <w:r>
        <w:rPr>
          <w:rFonts w:ascii="Arial" w:hAnsi="Arial" w:cs="Arial"/>
          <w:sz w:val="22"/>
          <w:szCs w:val="22"/>
        </w:rPr>
        <w:t>education -&gt; "political affiliation"</w:t>
      </w:r>
    </w:p>
    <w:p w14:paraId="003BC4C3" w14:textId="77777777" w:rsidR="00C82214" w:rsidRDefault="00C82214" w:rsidP="00C82214">
      <w:pPr>
        <w:rPr>
          <w:rFonts w:ascii="Arial" w:hAnsi="Arial" w:cs="Arial"/>
          <w:sz w:val="22"/>
          <w:szCs w:val="22"/>
        </w:rPr>
      </w:pPr>
      <w:r>
        <w:rPr>
          <w:rFonts w:ascii="Arial" w:hAnsi="Arial" w:cs="Arial"/>
          <w:sz w:val="22"/>
          <w:szCs w:val="22"/>
        </w:rPr>
        <w:lastRenderedPageBreak/>
        <w:t>education -&gt; "COVID case"</w:t>
      </w:r>
    </w:p>
    <w:p w14:paraId="0FF81514" w14:textId="77777777" w:rsidR="00C82214" w:rsidRDefault="00C82214" w:rsidP="00C82214">
      <w:pPr>
        <w:rPr>
          <w:rFonts w:ascii="Arial" w:hAnsi="Arial" w:cs="Arial"/>
          <w:sz w:val="22"/>
          <w:szCs w:val="22"/>
        </w:rPr>
      </w:pPr>
      <w:r>
        <w:rPr>
          <w:rFonts w:ascii="Arial" w:hAnsi="Arial" w:cs="Arial"/>
          <w:sz w:val="22"/>
          <w:szCs w:val="22"/>
        </w:rPr>
        <w:t>education -&gt; "COVID vaccination"</w:t>
      </w:r>
    </w:p>
    <w:p w14:paraId="3B4D6880" w14:textId="77777777" w:rsidR="00C82214" w:rsidRDefault="00C82214" w:rsidP="00C82214">
      <w:pPr>
        <w:rPr>
          <w:rFonts w:ascii="Arial" w:hAnsi="Arial" w:cs="Arial"/>
          <w:sz w:val="22"/>
          <w:szCs w:val="22"/>
        </w:rPr>
      </w:pPr>
      <w:r>
        <w:rPr>
          <w:rFonts w:ascii="Arial" w:hAnsi="Arial" w:cs="Arial"/>
          <w:sz w:val="22"/>
          <w:szCs w:val="22"/>
        </w:rPr>
        <w:t>"household income" -&gt; "neighborhood income"</w:t>
      </w:r>
    </w:p>
    <w:p w14:paraId="23AEBC3E" w14:textId="77777777" w:rsidR="00C82214" w:rsidRDefault="00C82214" w:rsidP="00C82214">
      <w:pPr>
        <w:rPr>
          <w:rFonts w:ascii="Arial" w:hAnsi="Arial" w:cs="Arial"/>
          <w:sz w:val="22"/>
          <w:szCs w:val="22"/>
        </w:rPr>
      </w:pPr>
      <w:r>
        <w:rPr>
          <w:rFonts w:ascii="Arial" w:hAnsi="Arial" w:cs="Arial"/>
          <w:sz w:val="22"/>
          <w:szCs w:val="22"/>
        </w:rPr>
        <w:t>"household income" -&gt; "air pollution"</w:t>
      </w:r>
    </w:p>
    <w:p w14:paraId="017855FE" w14:textId="77777777" w:rsidR="00C82214" w:rsidRDefault="00C82214" w:rsidP="00C82214">
      <w:pPr>
        <w:rPr>
          <w:rFonts w:ascii="Arial" w:hAnsi="Arial" w:cs="Arial"/>
          <w:sz w:val="22"/>
          <w:szCs w:val="22"/>
        </w:rPr>
      </w:pPr>
      <w:r>
        <w:rPr>
          <w:rFonts w:ascii="Arial" w:hAnsi="Arial" w:cs="Arial"/>
          <w:sz w:val="22"/>
          <w:szCs w:val="22"/>
        </w:rPr>
        <w:t>"household income" -&gt; greenness</w:t>
      </w:r>
    </w:p>
    <w:p w14:paraId="00879EFC" w14:textId="77777777" w:rsidR="00C82214" w:rsidRDefault="00C82214" w:rsidP="00C82214">
      <w:pPr>
        <w:rPr>
          <w:rFonts w:ascii="Arial" w:hAnsi="Arial" w:cs="Arial"/>
          <w:sz w:val="22"/>
          <w:szCs w:val="22"/>
        </w:rPr>
      </w:pPr>
      <w:r>
        <w:rPr>
          <w:rFonts w:ascii="Arial" w:hAnsi="Arial" w:cs="Arial"/>
          <w:sz w:val="22"/>
          <w:szCs w:val="22"/>
        </w:rPr>
        <w:t>"household income" -&gt; "population density"</w:t>
      </w:r>
    </w:p>
    <w:p w14:paraId="6DEAD561" w14:textId="77777777" w:rsidR="00C82214" w:rsidRDefault="00C82214" w:rsidP="00C82214">
      <w:pPr>
        <w:rPr>
          <w:rFonts w:ascii="Arial" w:hAnsi="Arial" w:cs="Arial"/>
          <w:sz w:val="22"/>
          <w:szCs w:val="22"/>
        </w:rPr>
      </w:pPr>
      <w:r>
        <w:rPr>
          <w:rFonts w:ascii="Arial" w:hAnsi="Arial" w:cs="Arial"/>
          <w:sz w:val="22"/>
          <w:szCs w:val="22"/>
        </w:rPr>
        <w:t>"household income" -&gt; comorbidities</w:t>
      </w:r>
    </w:p>
    <w:p w14:paraId="6508D98A" w14:textId="77777777" w:rsidR="00C82214" w:rsidRDefault="00C82214" w:rsidP="00C82214">
      <w:pPr>
        <w:rPr>
          <w:rFonts w:ascii="Arial" w:hAnsi="Arial" w:cs="Arial"/>
          <w:sz w:val="22"/>
          <w:szCs w:val="22"/>
        </w:rPr>
      </w:pPr>
      <w:r>
        <w:rPr>
          <w:rFonts w:ascii="Arial" w:hAnsi="Arial" w:cs="Arial"/>
          <w:sz w:val="22"/>
          <w:szCs w:val="22"/>
        </w:rPr>
        <w:t>"household income" -&gt; "political affiliation"</w:t>
      </w:r>
    </w:p>
    <w:p w14:paraId="1F8E78FF" w14:textId="77777777" w:rsidR="00C82214" w:rsidRDefault="00C82214" w:rsidP="00C82214">
      <w:pPr>
        <w:rPr>
          <w:rFonts w:ascii="Arial" w:hAnsi="Arial" w:cs="Arial"/>
          <w:sz w:val="22"/>
          <w:szCs w:val="22"/>
        </w:rPr>
      </w:pPr>
      <w:r>
        <w:rPr>
          <w:rFonts w:ascii="Arial" w:hAnsi="Arial" w:cs="Arial"/>
          <w:sz w:val="22"/>
          <w:szCs w:val="22"/>
        </w:rPr>
        <w:t>"household income" -&gt; "housing conditions"</w:t>
      </w:r>
    </w:p>
    <w:p w14:paraId="37C49DC3" w14:textId="77777777" w:rsidR="00C82214" w:rsidRDefault="00C82214" w:rsidP="00C82214">
      <w:pPr>
        <w:rPr>
          <w:rFonts w:ascii="Arial" w:hAnsi="Arial" w:cs="Arial"/>
          <w:sz w:val="22"/>
          <w:szCs w:val="22"/>
        </w:rPr>
      </w:pPr>
      <w:r>
        <w:rPr>
          <w:rFonts w:ascii="Arial" w:hAnsi="Arial" w:cs="Arial"/>
          <w:sz w:val="22"/>
          <w:szCs w:val="22"/>
        </w:rPr>
        <w:t>"household income" -&gt; "household size"</w:t>
      </w:r>
    </w:p>
    <w:p w14:paraId="0CE5147D" w14:textId="77777777" w:rsidR="00C82214" w:rsidRDefault="00C82214" w:rsidP="00C82214">
      <w:pPr>
        <w:rPr>
          <w:rFonts w:ascii="Arial" w:hAnsi="Arial" w:cs="Arial"/>
          <w:sz w:val="22"/>
          <w:szCs w:val="22"/>
        </w:rPr>
      </w:pPr>
      <w:r>
        <w:rPr>
          <w:rFonts w:ascii="Arial" w:hAnsi="Arial" w:cs="Arial"/>
          <w:sz w:val="22"/>
          <w:szCs w:val="22"/>
        </w:rPr>
        <w:t>"household income" -&gt; "COVID vaccination"</w:t>
      </w:r>
    </w:p>
    <w:p w14:paraId="4B4FC04C" w14:textId="77777777" w:rsidR="00C82214" w:rsidRDefault="00C82214" w:rsidP="00C82214">
      <w:pPr>
        <w:rPr>
          <w:rFonts w:ascii="Arial" w:hAnsi="Arial" w:cs="Arial"/>
          <w:sz w:val="22"/>
          <w:szCs w:val="22"/>
        </w:rPr>
      </w:pPr>
      <w:r>
        <w:rPr>
          <w:rFonts w:ascii="Arial" w:hAnsi="Arial" w:cs="Arial"/>
          <w:sz w:val="22"/>
          <w:szCs w:val="22"/>
        </w:rPr>
        <w:t>"neighborhood income" -&gt; education</w:t>
      </w:r>
    </w:p>
    <w:p w14:paraId="4D9108FD" w14:textId="77777777" w:rsidR="00C82214" w:rsidRDefault="00C82214" w:rsidP="00C82214">
      <w:pPr>
        <w:rPr>
          <w:rFonts w:ascii="Arial" w:hAnsi="Arial" w:cs="Arial"/>
          <w:sz w:val="22"/>
          <w:szCs w:val="22"/>
        </w:rPr>
      </w:pPr>
      <w:r>
        <w:rPr>
          <w:rFonts w:ascii="Arial" w:hAnsi="Arial" w:cs="Arial"/>
          <w:sz w:val="22"/>
          <w:szCs w:val="22"/>
        </w:rPr>
        <w:t>"neighborhood income" -&gt; "population density"</w:t>
      </w:r>
    </w:p>
    <w:p w14:paraId="5012A288" w14:textId="77777777" w:rsidR="00C82214" w:rsidRDefault="00C82214" w:rsidP="00C82214">
      <w:pPr>
        <w:rPr>
          <w:rFonts w:ascii="Arial" w:hAnsi="Arial" w:cs="Arial"/>
          <w:sz w:val="22"/>
          <w:szCs w:val="22"/>
        </w:rPr>
      </w:pPr>
      <w:r>
        <w:rPr>
          <w:rFonts w:ascii="Arial" w:hAnsi="Arial" w:cs="Arial"/>
          <w:sz w:val="22"/>
          <w:szCs w:val="22"/>
        </w:rPr>
        <w:t>"neighborhood income" -&gt; "air pollution"</w:t>
      </w:r>
    </w:p>
    <w:p w14:paraId="75F22653" w14:textId="77777777" w:rsidR="00C82214" w:rsidRDefault="00C82214" w:rsidP="00C82214">
      <w:pPr>
        <w:rPr>
          <w:rFonts w:ascii="Arial" w:hAnsi="Arial" w:cs="Arial"/>
          <w:sz w:val="22"/>
          <w:szCs w:val="22"/>
        </w:rPr>
      </w:pPr>
      <w:r>
        <w:rPr>
          <w:rFonts w:ascii="Arial" w:hAnsi="Arial" w:cs="Arial"/>
          <w:sz w:val="22"/>
          <w:szCs w:val="22"/>
        </w:rPr>
        <w:t>"neighborhood income" -&gt; greenness</w:t>
      </w:r>
    </w:p>
    <w:p w14:paraId="65B54612" w14:textId="77777777" w:rsidR="00C82214" w:rsidRDefault="00C82214" w:rsidP="00C82214">
      <w:pPr>
        <w:rPr>
          <w:rFonts w:ascii="Arial" w:hAnsi="Arial" w:cs="Arial"/>
          <w:sz w:val="22"/>
          <w:szCs w:val="22"/>
        </w:rPr>
      </w:pPr>
      <w:r>
        <w:rPr>
          <w:rFonts w:ascii="Arial" w:hAnsi="Arial" w:cs="Arial"/>
          <w:sz w:val="22"/>
          <w:szCs w:val="22"/>
        </w:rPr>
        <w:t>"neighborhood income" -&gt; "political affiliation"</w:t>
      </w:r>
    </w:p>
    <w:p w14:paraId="764E0D8F" w14:textId="77777777" w:rsidR="00C82214" w:rsidRDefault="00C82214" w:rsidP="00C82214">
      <w:pPr>
        <w:rPr>
          <w:rFonts w:ascii="Arial" w:hAnsi="Arial" w:cs="Arial"/>
          <w:sz w:val="22"/>
          <w:szCs w:val="22"/>
        </w:rPr>
      </w:pPr>
      <w:r>
        <w:rPr>
          <w:rFonts w:ascii="Arial" w:hAnsi="Arial" w:cs="Arial"/>
          <w:sz w:val="22"/>
          <w:szCs w:val="22"/>
        </w:rPr>
        <w:t>"population density" -&gt; "air pollution"</w:t>
      </w:r>
    </w:p>
    <w:p w14:paraId="2B6B0BCE" w14:textId="77777777" w:rsidR="00C82214" w:rsidRDefault="00C82214" w:rsidP="00C82214">
      <w:pPr>
        <w:rPr>
          <w:rFonts w:ascii="Arial" w:hAnsi="Arial" w:cs="Arial"/>
          <w:sz w:val="22"/>
          <w:szCs w:val="22"/>
        </w:rPr>
      </w:pPr>
      <w:r>
        <w:rPr>
          <w:rFonts w:ascii="Arial" w:hAnsi="Arial" w:cs="Arial"/>
          <w:sz w:val="22"/>
          <w:szCs w:val="22"/>
        </w:rPr>
        <w:t>"population density" -&gt; greenness</w:t>
      </w:r>
    </w:p>
    <w:p w14:paraId="44B0A432" w14:textId="77777777" w:rsidR="00C82214" w:rsidRDefault="00C82214" w:rsidP="00C82214">
      <w:pPr>
        <w:rPr>
          <w:rFonts w:ascii="Arial" w:hAnsi="Arial" w:cs="Arial"/>
          <w:sz w:val="22"/>
          <w:szCs w:val="22"/>
        </w:rPr>
      </w:pPr>
      <w:r>
        <w:rPr>
          <w:rFonts w:ascii="Arial" w:hAnsi="Arial" w:cs="Arial"/>
          <w:sz w:val="22"/>
          <w:szCs w:val="22"/>
        </w:rPr>
        <w:t>"population density" -&gt; "political affiliation"</w:t>
      </w:r>
    </w:p>
    <w:p w14:paraId="4797DB25" w14:textId="77777777" w:rsidR="00C82214" w:rsidRDefault="00C82214" w:rsidP="00C82214">
      <w:pPr>
        <w:rPr>
          <w:rFonts w:ascii="Arial" w:hAnsi="Arial" w:cs="Arial"/>
          <w:sz w:val="22"/>
          <w:szCs w:val="22"/>
        </w:rPr>
      </w:pPr>
      <w:r>
        <w:rPr>
          <w:rFonts w:ascii="Arial" w:hAnsi="Arial" w:cs="Arial"/>
          <w:sz w:val="22"/>
          <w:szCs w:val="22"/>
        </w:rPr>
        <w:t>"population density" -&gt; "housing conditions"</w:t>
      </w:r>
    </w:p>
    <w:p w14:paraId="27BEF123" w14:textId="77777777" w:rsidR="00C82214" w:rsidRDefault="00C82214" w:rsidP="00C82214">
      <w:pPr>
        <w:rPr>
          <w:rFonts w:ascii="Arial" w:hAnsi="Arial" w:cs="Arial"/>
          <w:sz w:val="22"/>
          <w:szCs w:val="22"/>
        </w:rPr>
      </w:pPr>
      <w:r>
        <w:rPr>
          <w:rFonts w:ascii="Arial" w:hAnsi="Arial" w:cs="Arial"/>
          <w:sz w:val="22"/>
          <w:szCs w:val="22"/>
        </w:rPr>
        <w:t>"population density" -&gt; "household size"</w:t>
      </w:r>
    </w:p>
    <w:p w14:paraId="63358542" w14:textId="77777777" w:rsidR="00C82214" w:rsidRDefault="00C82214" w:rsidP="00C82214">
      <w:pPr>
        <w:rPr>
          <w:rFonts w:ascii="Arial" w:hAnsi="Arial" w:cs="Arial"/>
          <w:sz w:val="22"/>
          <w:szCs w:val="22"/>
        </w:rPr>
      </w:pPr>
      <w:r>
        <w:rPr>
          <w:rFonts w:ascii="Arial" w:hAnsi="Arial" w:cs="Arial"/>
          <w:sz w:val="22"/>
          <w:szCs w:val="22"/>
        </w:rPr>
        <w:t>"political affiliation" -&gt; "COVID vaccination"</w:t>
      </w:r>
    </w:p>
    <w:p w14:paraId="17462200" w14:textId="77777777" w:rsidR="00C82214" w:rsidRDefault="00C82214" w:rsidP="00C82214">
      <w:pPr>
        <w:rPr>
          <w:rFonts w:ascii="Arial" w:hAnsi="Arial" w:cs="Arial"/>
          <w:sz w:val="22"/>
          <w:szCs w:val="22"/>
        </w:rPr>
      </w:pPr>
      <w:r>
        <w:rPr>
          <w:rFonts w:ascii="Arial" w:hAnsi="Arial" w:cs="Arial"/>
          <w:sz w:val="22"/>
          <w:szCs w:val="22"/>
        </w:rPr>
        <w:t>"population density" -&gt; "COVID case"</w:t>
      </w:r>
    </w:p>
    <w:p w14:paraId="7893187D" w14:textId="77777777" w:rsidR="00C82214" w:rsidRDefault="00C82214" w:rsidP="00C82214">
      <w:pPr>
        <w:rPr>
          <w:rFonts w:ascii="Arial" w:hAnsi="Arial" w:cs="Arial"/>
          <w:sz w:val="22"/>
          <w:szCs w:val="22"/>
        </w:rPr>
      </w:pPr>
      <w:r>
        <w:rPr>
          <w:rFonts w:ascii="Arial" w:hAnsi="Arial" w:cs="Arial"/>
          <w:sz w:val="22"/>
          <w:szCs w:val="22"/>
        </w:rPr>
        <w:t>"air pollution" -&gt; comorbidities</w:t>
      </w:r>
    </w:p>
    <w:p w14:paraId="3E1F5FFB" w14:textId="77777777" w:rsidR="00C82214" w:rsidRDefault="00C82214" w:rsidP="00C82214">
      <w:pPr>
        <w:rPr>
          <w:rFonts w:ascii="Arial" w:hAnsi="Arial" w:cs="Arial"/>
          <w:sz w:val="22"/>
          <w:szCs w:val="22"/>
        </w:rPr>
      </w:pPr>
      <w:r>
        <w:rPr>
          <w:rFonts w:ascii="Arial" w:hAnsi="Arial" w:cs="Arial"/>
          <w:sz w:val="22"/>
          <w:szCs w:val="22"/>
        </w:rPr>
        <w:t>"air pollution" -&gt; "housing conditions"</w:t>
      </w:r>
    </w:p>
    <w:p w14:paraId="54B201AA" w14:textId="77777777" w:rsidR="00C82214" w:rsidRDefault="00C82214" w:rsidP="00C82214">
      <w:pPr>
        <w:rPr>
          <w:rFonts w:ascii="Arial" w:hAnsi="Arial" w:cs="Arial"/>
          <w:sz w:val="22"/>
          <w:szCs w:val="22"/>
        </w:rPr>
      </w:pPr>
      <w:r>
        <w:rPr>
          <w:rFonts w:ascii="Arial" w:hAnsi="Arial" w:cs="Arial"/>
          <w:sz w:val="22"/>
          <w:szCs w:val="22"/>
        </w:rPr>
        <w:t>"air pollution" -&gt; "COVID case"</w:t>
      </w:r>
    </w:p>
    <w:p w14:paraId="4BF6BCA9" w14:textId="77777777" w:rsidR="00C82214" w:rsidRDefault="00C82214" w:rsidP="00C82214">
      <w:pPr>
        <w:rPr>
          <w:rFonts w:ascii="Arial" w:hAnsi="Arial" w:cs="Arial"/>
          <w:sz w:val="22"/>
          <w:szCs w:val="22"/>
        </w:rPr>
      </w:pPr>
      <w:r>
        <w:rPr>
          <w:rFonts w:ascii="Arial" w:hAnsi="Arial" w:cs="Arial"/>
          <w:sz w:val="22"/>
          <w:szCs w:val="22"/>
        </w:rPr>
        <w:t>greenness -&gt; "housing conditions"</w:t>
      </w:r>
    </w:p>
    <w:p w14:paraId="53B07A6E" w14:textId="77777777" w:rsidR="00C82214" w:rsidRDefault="00C82214" w:rsidP="00C82214">
      <w:pPr>
        <w:rPr>
          <w:rFonts w:ascii="Arial" w:hAnsi="Arial" w:cs="Arial"/>
          <w:sz w:val="22"/>
          <w:szCs w:val="22"/>
        </w:rPr>
      </w:pPr>
      <w:r>
        <w:rPr>
          <w:rFonts w:ascii="Arial" w:hAnsi="Arial" w:cs="Arial"/>
          <w:sz w:val="22"/>
          <w:szCs w:val="22"/>
        </w:rPr>
        <w:t>greenness -&gt; "COVID case"</w:t>
      </w:r>
    </w:p>
    <w:p w14:paraId="3455C267" w14:textId="77777777" w:rsidR="00C82214" w:rsidRDefault="00C82214" w:rsidP="00C82214">
      <w:pPr>
        <w:rPr>
          <w:rFonts w:ascii="Arial" w:hAnsi="Arial" w:cs="Arial"/>
          <w:sz w:val="22"/>
          <w:szCs w:val="22"/>
        </w:rPr>
      </w:pPr>
      <w:r>
        <w:rPr>
          <w:rFonts w:ascii="Arial" w:hAnsi="Arial" w:cs="Arial"/>
          <w:sz w:val="22"/>
          <w:szCs w:val="22"/>
        </w:rPr>
        <w:t>"region/state" -&gt; "neighborhood income"</w:t>
      </w:r>
    </w:p>
    <w:p w14:paraId="590FA73C" w14:textId="77777777" w:rsidR="00C82214" w:rsidRDefault="00C82214" w:rsidP="00C82214">
      <w:pPr>
        <w:rPr>
          <w:rFonts w:ascii="Arial" w:hAnsi="Arial" w:cs="Arial"/>
          <w:sz w:val="22"/>
          <w:szCs w:val="22"/>
        </w:rPr>
      </w:pPr>
      <w:r>
        <w:rPr>
          <w:rFonts w:ascii="Arial" w:hAnsi="Arial" w:cs="Arial"/>
          <w:sz w:val="22"/>
          <w:szCs w:val="22"/>
        </w:rPr>
        <w:t>"region/state" -&gt; greenness</w:t>
      </w:r>
    </w:p>
    <w:p w14:paraId="488F7D04" w14:textId="77777777" w:rsidR="00C82214" w:rsidRDefault="00C82214" w:rsidP="00C82214">
      <w:pPr>
        <w:rPr>
          <w:rFonts w:ascii="Arial" w:hAnsi="Arial" w:cs="Arial"/>
          <w:sz w:val="22"/>
          <w:szCs w:val="22"/>
        </w:rPr>
      </w:pPr>
      <w:r>
        <w:rPr>
          <w:rFonts w:ascii="Arial" w:hAnsi="Arial" w:cs="Arial"/>
          <w:sz w:val="22"/>
          <w:szCs w:val="22"/>
        </w:rPr>
        <w:t>"region/state" -&gt; "political affiliation"</w:t>
      </w:r>
    </w:p>
    <w:p w14:paraId="43BBE296" w14:textId="77777777" w:rsidR="00C82214" w:rsidRDefault="00C82214" w:rsidP="00C82214">
      <w:pPr>
        <w:rPr>
          <w:rFonts w:ascii="Arial" w:hAnsi="Arial" w:cs="Arial"/>
          <w:sz w:val="22"/>
          <w:szCs w:val="22"/>
        </w:rPr>
      </w:pPr>
      <w:r>
        <w:rPr>
          <w:rFonts w:ascii="Arial" w:hAnsi="Arial" w:cs="Arial"/>
          <w:sz w:val="22"/>
          <w:szCs w:val="22"/>
        </w:rPr>
        <w:t>"region/state" -&gt; "COVID case"</w:t>
      </w:r>
    </w:p>
    <w:p w14:paraId="19F0700F" w14:textId="77777777" w:rsidR="00C82214" w:rsidRDefault="00C82214" w:rsidP="00C82214">
      <w:pPr>
        <w:rPr>
          <w:rFonts w:ascii="Arial" w:hAnsi="Arial" w:cs="Arial"/>
          <w:sz w:val="22"/>
          <w:szCs w:val="22"/>
        </w:rPr>
      </w:pPr>
      <w:r>
        <w:rPr>
          <w:rFonts w:ascii="Arial" w:hAnsi="Arial" w:cs="Arial"/>
          <w:sz w:val="22"/>
          <w:szCs w:val="22"/>
        </w:rPr>
        <w:t>"region/state" -&gt; "COVID vaccination"</w:t>
      </w:r>
    </w:p>
    <w:p w14:paraId="3807A194" w14:textId="77777777" w:rsidR="00C82214" w:rsidRDefault="00C82214" w:rsidP="00C82214">
      <w:pPr>
        <w:rPr>
          <w:rFonts w:ascii="Arial" w:hAnsi="Arial" w:cs="Arial"/>
          <w:sz w:val="22"/>
          <w:szCs w:val="22"/>
        </w:rPr>
      </w:pPr>
      <w:r>
        <w:rPr>
          <w:rFonts w:ascii="Arial" w:hAnsi="Arial" w:cs="Arial"/>
          <w:sz w:val="22"/>
          <w:szCs w:val="22"/>
        </w:rPr>
        <w:t>occupation -&gt; "household income"</w:t>
      </w:r>
    </w:p>
    <w:p w14:paraId="17CE721A" w14:textId="77777777" w:rsidR="00C82214" w:rsidRDefault="00C82214" w:rsidP="00C82214">
      <w:pPr>
        <w:rPr>
          <w:rFonts w:ascii="Arial" w:hAnsi="Arial" w:cs="Arial"/>
          <w:sz w:val="22"/>
          <w:szCs w:val="22"/>
        </w:rPr>
      </w:pPr>
      <w:r>
        <w:rPr>
          <w:rFonts w:ascii="Arial" w:hAnsi="Arial" w:cs="Arial"/>
          <w:sz w:val="22"/>
          <w:szCs w:val="22"/>
        </w:rPr>
        <w:t>occupation -&gt; "air pollution"</w:t>
      </w:r>
    </w:p>
    <w:p w14:paraId="65FBFFEC" w14:textId="77777777" w:rsidR="00C82214" w:rsidRDefault="00C82214" w:rsidP="00C82214">
      <w:pPr>
        <w:rPr>
          <w:rFonts w:ascii="Arial" w:hAnsi="Arial" w:cs="Arial"/>
          <w:sz w:val="22"/>
          <w:szCs w:val="22"/>
        </w:rPr>
      </w:pPr>
      <w:r>
        <w:rPr>
          <w:rFonts w:ascii="Arial" w:hAnsi="Arial" w:cs="Arial"/>
          <w:sz w:val="22"/>
          <w:szCs w:val="22"/>
        </w:rPr>
        <w:t>occupation -&gt; greenness</w:t>
      </w:r>
    </w:p>
    <w:p w14:paraId="0F95EE95" w14:textId="77777777" w:rsidR="00C82214" w:rsidRDefault="00C82214" w:rsidP="00C82214">
      <w:pPr>
        <w:rPr>
          <w:rFonts w:ascii="Arial" w:hAnsi="Arial" w:cs="Arial"/>
          <w:sz w:val="22"/>
          <w:szCs w:val="22"/>
        </w:rPr>
      </w:pPr>
      <w:r>
        <w:rPr>
          <w:rFonts w:ascii="Arial" w:hAnsi="Arial" w:cs="Arial"/>
          <w:sz w:val="22"/>
          <w:szCs w:val="22"/>
        </w:rPr>
        <w:lastRenderedPageBreak/>
        <w:t>occupation -&gt; comorbidities</w:t>
      </w:r>
    </w:p>
    <w:p w14:paraId="05EE888C" w14:textId="77777777" w:rsidR="00C82214" w:rsidRDefault="00C82214" w:rsidP="00C82214">
      <w:pPr>
        <w:rPr>
          <w:rFonts w:ascii="Arial" w:hAnsi="Arial" w:cs="Arial"/>
          <w:sz w:val="22"/>
          <w:szCs w:val="22"/>
        </w:rPr>
      </w:pPr>
      <w:r>
        <w:rPr>
          <w:rFonts w:ascii="Arial" w:hAnsi="Arial" w:cs="Arial"/>
          <w:sz w:val="22"/>
          <w:szCs w:val="22"/>
        </w:rPr>
        <w:t>occupation -&gt; "political affiliation"</w:t>
      </w:r>
    </w:p>
    <w:p w14:paraId="2AF9221A" w14:textId="77777777" w:rsidR="00C82214" w:rsidRDefault="00C82214" w:rsidP="00C82214">
      <w:pPr>
        <w:rPr>
          <w:rFonts w:ascii="Arial" w:hAnsi="Arial" w:cs="Arial"/>
          <w:sz w:val="22"/>
          <w:szCs w:val="22"/>
        </w:rPr>
      </w:pPr>
      <w:r>
        <w:rPr>
          <w:rFonts w:ascii="Arial" w:hAnsi="Arial" w:cs="Arial"/>
          <w:sz w:val="22"/>
          <w:szCs w:val="22"/>
        </w:rPr>
        <w:t>occupation -&gt; "COVID case"</w:t>
      </w:r>
    </w:p>
    <w:p w14:paraId="329DFE9C" w14:textId="77777777" w:rsidR="00C82214" w:rsidRDefault="00C82214" w:rsidP="00C82214">
      <w:pPr>
        <w:rPr>
          <w:rFonts w:ascii="Arial" w:hAnsi="Arial" w:cs="Arial"/>
          <w:sz w:val="22"/>
          <w:szCs w:val="22"/>
        </w:rPr>
      </w:pPr>
      <w:r>
        <w:rPr>
          <w:rFonts w:ascii="Arial" w:hAnsi="Arial" w:cs="Arial"/>
          <w:sz w:val="22"/>
          <w:szCs w:val="22"/>
        </w:rPr>
        <w:t>"household size" -&gt; "COVID case"</w:t>
      </w:r>
    </w:p>
    <w:p w14:paraId="723D853B" w14:textId="77777777" w:rsidR="00C82214" w:rsidRDefault="00C82214" w:rsidP="00C82214">
      <w:pPr>
        <w:rPr>
          <w:rFonts w:ascii="Arial" w:hAnsi="Arial" w:cs="Arial"/>
          <w:sz w:val="22"/>
          <w:szCs w:val="22"/>
        </w:rPr>
      </w:pPr>
      <w:r>
        <w:rPr>
          <w:rFonts w:ascii="Arial" w:hAnsi="Arial" w:cs="Arial"/>
          <w:sz w:val="22"/>
          <w:szCs w:val="22"/>
        </w:rPr>
        <w:t>"housing conditions" -&gt; comorbidities</w:t>
      </w:r>
    </w:p>
    <w:p w14:paraId="3D2D0B1D" w14:textId="77777777" w:rsidR="00C82214" w:rsidRDefault="00C82214" w:rsidP="00C82214">
      <w:pPr>
        <w:rPr>
          <w:rFonts w:ascii="Arial" w:hAnsi="Arial" w:cs="Arial"/>
          <w:sz w:val="22"/>
          <w:szCs w:val="22"/>
        </w:rPr>
      </w:pPr>
      <w:r>
        <w:rPr>
          <w:rFonts w:ascii="Arial" w:hAnsi="Arial" w:cs="Arial"/>
          <w:sz w:val="22"/>
          <w:szCs w:val="22"/>
        </w:rPr>
        <w:t>"housing conditions" -&gt; "COVID case"</w:t>
      </w:r>
    </w:p>
    <w:p w14:paraId="041039EC" w14:textId="77777777" w:rsidR="00C82214" w:rsidRDefault="00C82214" w:rsidP="00C82214">
      <w:pPr>
        <w:rPr>
          <w:rFonts w:ascii="Arial" w:hAnsi="Arial" w:cs="Arial"/>
          <w:sz w:val="22"/>
          <w:szCs w:val="22"/>
        </w:rPr>
      </w:pPr>
      <w:r>
        <w:rPr>
          <w:rFonts w:ascii="Arial" w:hAnsi="Arial" w:cs="Arial"/>
          <w:sz w:val="22"/>
          <w:szCs w:val="22"/>
        </w:rPr>
        <w:t>}</w:t>
      </w:r>
    </w:p>
    <w:p w14:paraId="7D8AB2CD" w14:textId="77777777" w:rsidR="00C82214" w:rsidRDefault="00C82214" w:rsidP="00C82214">
      <w:pPr>
        <w:rPr>
          <w:rFonts w:ascii="Arial" w:hAnsi="Arial" w:cs="Arial"/>
          <w:b/>
          <w:bCs/>
          <w:sz w:val="22"/>
          <w:szCs w:val="22"/>
        </w:rPr>
      </w:pPr>
      <w:r>
        <w:rPr>
          <w:rFonts w:ascii="Arial" w:hAnsi="Arial" w:cs="Arial"/>
          <w:b/>
          <w:bCs/>
          <w:sz w:val="22"/>
          <w:szCs w:val="22"/>
        </w:rPr>
        <w:br w:type="page"/>
      </w:r>
    </w:p>
    <w:p w14:paraId="66F1680B" w14:textId="77777777" w:rsidR="00C82214" w:rsidRDefault="00C82214" w:rsidP="006C7872">
      <w:pPr>
        <w:rPr>
          <w:rFonts w:ascii="Arial" w:hAnsi="Arial" w:cs="Arial"/>
          <w:sz w:val="20"/>
          <w:szCs w:val="20"/>
        </w:rPr>
      </w:pPr>
    </w:p>
    <w:p w14:paraId="117706BF" w14:textId="77777777" w:rsidR="001760E5" w:rsidRDefault="00C82214"/>
    <w:sectPr w:rsidR="001760E5" w:rsidSect="006C787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ED1E59"/>
    <w:multiLevelType w:val="hybridMultilevel"/>
    <w:tmpl w:val="D52EED5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41116147"/>
    <w:multiLevelType w:val="hybridMultilevel"/>
    <w:tmpl w:val="42B0B956"/>
    <w:lvl w:ilvl="0" w:tplc="0409000F">
      <w:start w:val="1"/>
      <w:numFmt w:val="decimal"/>
      <w:lvlText w:val="%1."/>
      <w:lvlJc w:val="left"/>
      <w:pPr>
        <w:ind w:left="3600" w:hanging="360"/>
      </w:pPr>
    </w:lvl>
    <w:lvl w:ilvl="1" w:tplc="04090019">
      <w:start w:val="1"/>
      <w:numFmt w:val="lowerLetter"/>
      <w:lvlText w:val="%2."/>
      <w:lvlJc w:val="left"/>
      <w:pPr>
        <w:ind w:left="4320" w:hanging="360"/>
      </w:pPr>
    </w:lvl>
    <w:lvl w:ilvl="2" w:tplc="0409001B">
      <w:start w:val="1"/>
      <w:numFmt w:val="lowerRoman"/>
      <w:lvlText w:val="%3."/>
      <w:lvlJc w:val="right"/>
      <w:pPr>
        <w:ind w:left="5040" w:hanging="180"/>
      </w:pPr>
    </w:lvl>
    <w:lvl w:ilvl="3" w:tplc="0409000F">
      <w:start w:val="1"/>
      <w:numFmt w:val="decimal"/>
      <w:lvlText w:val="%4."/>
      <w:lvlJc w:val="left"/>
      <w:pPr>
        <w:ind w:left="5760" w:hanging="360"/>
      </w:pPr>
    </w:lvl>
    <w:lvl w:ilvl="4" w:tplc="04090019">
      <w:start w:val="1"/>
      <w:numFmt w:val="lowerLetter"/>
      <w:lvlText w:val="%5."/>
      <w:lvlJc w:val="left"/>
      <w:pPr>
        <w:ind w:left="6480" w:hanging="360"/>
      </w:pPr>
    </w:lvl>
    <w:lvl w:ilvl="5" w:tplc="0409001B">
      <w:start w:val="1"/>
      <w:numFmt w:val="lowerRoman"/>
      <w:lvlText w:val="%6."/>
      <w:lvlJc w:val="right"/>
      <w:pPr>
        <w:ind w:left="7200" w:hanging="180"/>
      </w:pPr>
    </w:lvl>
    <w:lvl w:ilvl="6" w:tplc="0409000F">
      <w:start w:val="1"/>
      <w:numFmt w:val="decimal"/>
      <w:lvlText w:val="%7."/>
      <w:lvlJc w:val="left"/>
      <w:pPr>
        <w:ind w:left="7920" w:hanging="360"/>
      </w:pPr>
    </w:lvl>
    <w:lvl w:ilvl="7" w:tplc="04090019">
      <w:start w:val="1"/>
      <w:numFmt w:val="lowerLetter"/>
      <w:lvlText w:val="%8."/>
      <w:lvlJc w:val="left"/>
      <w:pPr>
        <w:ind w:left="8640" w:hanging="360"/>
      </w:pPr>
    </w:lvl>
    <w:lvl w:ilvl="8" w:tplc="0409001B">
      <w:start w:val="1"/>
      <w:numFmt w:val="lowerRoman"/>
      <w:lvlText w:val="%9."/>
      <w:lvlJc w:val="right"/>
      <w:pPr>
        <w:ind w:left="936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872"/>
    <w:rsid w:val="006C7872"/>
    <w:rsid w:val="006E225C"/>
    <w:rsid w:val="008A3324"/>
    <w:rsid w:val="0096107C"/>
    <w:rsid w:val="00996CDB"/>
    <w:rsid w:val="009B6A41"/>
    <w:rsid w:val="00BA546E"/>
    <w:rsid w:val="00C82214"/>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76AD8"/>
  <w15:chartTrackingRefBased/>
  <w15:docId w15:val="{CC34C8DD-E8B1-49BD-A456-7FD5DDAF8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872"/>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C7872"/>
    <w:pPr>
      <w:spacing w:after="0" w:line="240" w:lineRule="auto"/>
    </w:pPr>
    <w:rPr>
      <w:rFonts w:eastAsiaTheme="minorEastAsia"/>
      <w:sz w:val="24"/>
      <w:szCs w:val="24"/>
      <w:lang w:eastAsia="ko-K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semiHidden/>
    <w:unhideWhenUsed/>
    <w:qFormat/>
    <w:rsid w:val="00C82214"/>
    <w:pPr>
      <w:spacing w:after="200"/>
    </w:pPr>
    <w:rPr>
      <w:rFonts w:eastAsiaTheme="minorHAnsi"/>
      <w:i/>
      <w:iCs/>
      <w:color w:val="44546A" w:themeColor="text2"/>
      <w:sz w:val="18"/>
      <w:szCs w:val="18"/>
    </w:rPr>
  </w:style>
  <w:style w:type="paragraph" w:styleId="ListParagraph">
    <w:name w:val="List Paragraph"/>
    <w:basedOn w:val="Normal"/>
    <w:uiPriority w:val="34"/>
    <w:qFormat/>
    <w:rsid w:val="00C82214"/>
    <w:pPr>
      <w:ind w:left="720"/>
      <w:contextualSpacing/>
    </w:pPr>
    <w:rPr>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35819">
      <w:bodyDiv w:val="1"/>
      <w:marLeft w:val="0"/>
      <w:marRight w:val="0"/>
      <w:marTop w:val="0"/>
      <w:marBottom w:val="0"/>
      <w:divBdr>
        <w:top w:val="none" w:sz="0" w:space="0" w:color="auto"/>
        <w:left w:val="none" w:sz="0" w:space="0" w:color="auto"/>
        <w:bottom w:val="none" w:sz="0" w:space="0" w:color="auto"/>
        <w:right w:val="none" w:sz="0" w:space="0" w:color="auto"/>
      </w:divBdr>
    </w:div>
    <w:div w:id="578447083">
      <w:bodyDiv w:val="1"/>
      <w:marLeft w:val="0"/>
      <w:marRight w:val="0"/>
      <w:marTop w:val="0"/>
      <w:marBottom w:val="0"/>
      <w:divBdr>
        <w:top w:val="none" w:sz="0" w:space="0" w:color="auto"/>
        <w:left w:val="none" w:sz="0" w:space="0" w:color="auto"/>
        <w:bottom w:val="none" w:sz="0" w:space="0" w:color="auto"/>
        <w:right w:val="none" w:sz="0" w:space="0" w:color="auto"/>
      </w:divBdr>
    </w:div>
    <w:div w:id="1120226602">
      <w:bodyDiv w:val="1"/>
      <w:marLeft w:val="0"/>
      <w:marRight w:val="0"/>
      <w:marTop w:val="0"/>
      <w:marBottom w:val="0"/>
      <w:divBdr>
        <w:top w:val="none" w:sz="0" w:space="0" w:color="auto"/>
        <w:left w:val="none" w:sz="0" w:space="0" w:color="auto"/>
        <w:bottom w:val="none" w:sz="0" w:space="0" w:color="auto"/>
        <w:right w:val="none" w:sz="0" w:space="0" w:color="auto"/>
      </w:divBdr>
    </w:div>
    <w:div w:id="1478842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25642</Words>
  <Characters>146162</Characters>
  <Application>Microsoft Office Word</Application>
  <DocSecurity>0</DocSecurity>
  <Lines>1218</Lines>
  <Paragraphs>342</Paragraphs>
  <ScaleCrop>false</ScaleCrop>
  <Company>Springer Nature</Company>
  <LinksUpToDate>false</LinksUpToDate>
  <CharactersWithSpaces>171462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2</cp:revision>
  <dcterms:created xsi:type="dcterms:W3CDTF">2023-07-06T10:20:00Z</dcterms:created>
  <dcterms:modified xsi:type="dcterms:W3CDTF">2023-07-06T10:22:00Z</dcterms:modified>
</cp:coreProperties>
</file>