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default" w:ascii="Times New Roman Regular" w:hAnsi="Times New Roman Regular" w:cs="Times New Roman Regular"/>
        </w:rPr>
      </w:pPr>
      <w:r>
        <w:rPr>
          <w:rFonts w:ascii="Arial-BoldMT" w:hAnsi="Arial-BoldMT" w:eastAsia="Arial-BoldMT" w:cs="Arial-BoldMT"/>
          <w:b/>
          <w:color w:val="000000"/>
          <w:kern w:val="0"/>
          <w:sz w:val="28"/>
          <w:szCs w:val="28"/>
          <w:lang w:val="en-US" w:eastAsia="zh-CN" w:bidi="ar"/>
        </w:rPr>
        <w:t>Supplementary Online Content</w:t>
      </w:r>
    </w:p>
    <w:p>
      <w:pPr>
        <w:jc w:val="center"/>
        <w:rPr>
          <w:rFonts w:hint="default" w:ascii="Times New Roman Regular" w:hAnsi="Times New Roman Regular" w:cs="Times New Roman Regul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6" w:name="_GoBack"/>
      <w:bookmarkEnd w:id="6"/>
      <w:r>
        <w:rPr>
          <w:rFonts w:hint="default" w:ascii="Times New Roman Regular" w:hAnsi="Times New Roman Regular" w:cs="Times New Roman Regular"/>
        </w:rPr>
        <w:t>The impact of residual inflammatory risk of albumin combined with C-reactive protein on long-term mortality in cardiovascular disease patients</w:t>
      </w: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hint="default" w:ascii="Times New Roman Regular" w:hAnsi="Times New Roman Regular" w:cs="Times New Roman Regular"/>
          <w:b/>
          <w:bCs/>
          <w:sz w:val="28"/>
          <w:szCs w:val="28"/>
        </w:rPr>
      </w:pPr>
      <w:r>
        <w:rPr>
          <w:rFonts w:hint="default" w:ascii="Times New Roman Regular" w:hAnsi="Times New Roman Regular" w:eastAsia="宋体" w:cs="Times New Roman Regular"/>
          <w:b/>
          <w:bCs/>
          <w:sz w:val="28"/>
          <w:szCs w:val="28"/>
        </w:rPr>
        <w:t>Catalogue</w:t>
      </w:r>
    </w:p>
    <w:p/>
    <w:p>
      <w:pPr>
        <w:pStyle w:val="3"/>
        <w:tabs>
          <w:tab w:val="right" w:leader="dot" w:pos="8306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r>
        <w:fldChar w:fldCharType="begin"/>
      </w:r>
      <w:r>
        <w:instrText xml:space="preserve"> HYPERLINK \l _Toc457048488 </w:instrText>
      </w:r>
      <w:r>
        <w:fldChar w:fldCharType="separate"/>
      </w:r>
      <w:r>
        <w:rPr>
          <w:rFonts w:hint="default"/>
          <w:lang w:val="en-US" w:eastAsia="zh-Hans"/>
        </w:rPr>
        <w:t>Supplemental Table 1. Statistics of missing value and extremesa</w:t>
      </w:r>
      <w:r>
        <w:tab/>
      </w:r>
      <w:r>
        <w:fldChar w:fldCharType="begin"/>
      </w:r>
      <w:r>
        <w:instrText xml:space="preserve"> PAGEREF _Toc457048488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3"/>
        <w:tabs>
          <w:tab w:val="right" w:leader="dot" w:pos="8306"/>
        </w:tabs>
      </w:pPr>
      <w:r>
        <w:fldChar w:fldCharType="begin"/>
      </w:r>
      <w:r>
        <w:instrText xml:space="preserve"> HYPERLINK \l _Toc64932497 </w:instrText>
      </w:r>
      <w:r>
        <w:fldChar w:fldCharType="separate"/>
      </w:r>
      <w:r>
        <w:rPr>
          <w:rFonts w:hint="default"/>
          <w:lang w:val="en-US" w:eastAsia="zh-Hans"/>
        </w:rPr>
        <w:t xml:space="preserve">Supplemental </w:t>
      </w:r>
      <w:r>
        <w:rPr>
          <w:rFonts w:hint="default"/>
          <w:lang w:eastAsia="zh-Hans"/>
        </w:rPr>
        <w:t>Figure</w:t>
      </w:r>
      <w:r>
        <w:rPr>
          <w:rFonts w:hint="default"/>
          <w:lang w:val="en-US" w:eastAsia="zh-Hans"/>
        </w:rPr>
        <w:t xml:space="preserve"> 1. Cumulative incidence of the primary and second outcomes among three GPS level groups in the model </w:t>
      </w:r>
      <w:r>
        <w:rPr>
          <w:rFonts w:hint="default"/>
          <w:lang w:eastAsia="zh-Hans"/>
        </w:rPr>
        <w:t>1</w:t>
      </w:r>
      <w:r>
        <w:tab/>
      </w:r>
      <w:r>
        <w:fldChar w:fldCharType="begin"/>
      </w:r>
      <w:r>
        <w:instrText xml:space="preserve"> PAGEREF _Toc64932497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3"/>
        <w:tabs>
          <w:tab w:val="right" w:leader="dot" w:pos="8306"/>
        </w:tabs>
      </w:pPr>
      <w:r>
        <w:fldChar w:fldCharType="begin"/>
      </w:r>
      <w:r>
        <w:instrText xml:space="preserve"> HYPERLINK \l _Toc398784403 </w:instrText>
      </w:r>
      <w:r>
        <w:fldChar w:fldCharType="separate"/>
      </w:r>
      <w:r>
        <w:rPr>
          <w:rFonts w:hint="default"/>
          <w:lang w:val="en-US" w:eastAsia="zh-Hans"/>
        </w:rPr>
        <w:t xml:space="preserve">Supplemental </w:t>
      </w:r>
      <w:r>
        <w:rPr>
          <w:rFonts w:hint="default"/>
          <w:lang w:eastAsia="zh-Hans"/>
        </w:rPr>
        <w:t>Figure</w:t>
      </w:r>
      <w:r>
        <w:rPr>
          <w:rFonts w:hint="default"/>
          <w:lang w:val="en-US" w:eastAsia="zh-Hans"/>
        </w:rPr>
        <w:t xml:space="preserve"> </w:t>
      </w:r>
      <w:r>
        <w:rPr>
          <w:rFonts w:hint="default"/>
          <w:lang w:eastAsia="zh-Hans"/>
        </w:rPr>
        <w:t>2</w:t>
      </w:r>
      <w:r>
        <w:rPr>
          <w:rFonts w:hint="default"/>
          <w:lang w:val="en-US" w:eastAsia="zh-Hans"/>
        </w:rPr>
        <w:t xml:space="preserve">. Cumulative incidence of the primary and second outcomes among three GPS level groups in the model </w:t>
      </w:r>
      <w:r>
        <w:rPr>
          <w:rFonts w:hint="default"/>
          <w:lang w:eastAsia="zh-Hans"/>
        </w:rPr>
        <w:t>2</w:t>
      </w:r>
      <w:r>
        <w:tab/>
      </w:r>
      <w:r>
        <w:fldChar w:fldCharType="begin"/>
      </w:r>
      <w:r>
        <w:instrText xml:space="preserve"> PAGEREF _Toc398784403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3"/>
        <w:tabs>
          <w:tab w:val="right" w:leader="dot" w:pos="8306"/>
        </w:tabs>
      </w:pPr>
      <w:r>
        <w:fldChar w:fldCharType="begin"/>
      </w:r>
      <w:r>
        <w:instrText xml:space="preserve"> HYPERLINK \l _Toc72998934 </w:instrText>
      </w:r>
      <w:r>
        <w:fldChar w:fldCharType="separate"/>
      </w:r>
      <w:r>
        <w:rPr>
          <w:rFonts w:hint="default"/>
          <w:lang w:val="en-US" w:eastAsia="zh-Hans"/>
        </w:rPr>
        <w:t xml:space="preserve">Supplemental Table </w:t>
      </w:r>
      <w:r>
        <w:rPr>
          <w:rFonts w:hint="default"/>
          <w:lang w:eastAsia="zh-Hans"/>
        </w:rPr>
        <w:t>2</w:t>
      </w:r>
      <w:r>
        <w:rPr>
          <w:rFonts w:hint="default"/>
          <w:lang w:val="en-US" w:eastAsia="zh-Hans"/>
        </w:rPr>
        <w:t>. Subgroups analyses of the effect of GPS level on adverse events</w:t>
      </w:r>
      <w:r>
        <w:tab/>
      </w:r>
      <w:r>
        <w:fldChar w:fldCharType="begin"/>
      </w:r>
      <w:r>
        <w:instrText xml:space="preserve"> PAGEREF _Toc72998934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fldChar w:fldCharType="end"/>
      </w:r>
    </w:p>
    <w:p>
      <w:pPr>
        <w:pStyle w:val="2"/>
        <w:bidi w:val="0"/>
        <w:rPr>
          <w:rFonts w:hint="default"/>
          <w:lang w:val="en-US" w:eastAsia="zh-Hans"/>
        </w:rPr>
      </w:pPr>
      <w:bookmarkStart w:id="0" w:name="_Toc2002143483"/>
      <w:bookmarkStart w:id="1" w:name="_Toc1390332646"/>
      <w:bookmarkStart w:id="2" w:name="_Toc457048488"/>
      <w:r>
        <w:rPr>
          <w:rFonts w:hint="default"/>
          <w:lang w:val="en-US" w:eastAsia="zh-Hans"/>
        </w:rPr>
        <w:t xml:space="preserve">Supplemental Table 1. </w:t>
      </w:r>
      <w:bookmarkEnd w:id="0"/>
      <w:bookmarkEnd w:id="1"/>
      <w:r>
        <w:rPr>
          <w:rFonts w:hint="default"/>
          <w:lang w:val="en-US" w:eastAsia="zh-Hans"/>
        </w:rPr>
        <w:t>Statistics of missing value and extremesa</w:t>
      </w:r>
      <w:bookmarkEnd w:id="2"/>
    </w:p>
    <w:tbl>
      <w:tblPr>
        <w:tblStyle w:val="4"/>
        <w:tblpPr w:leftFromText="180" w:rightFromText="180" w:vertAnchor="text" w:horzAnchor="page" w:tblpX="187" w:tblpY="319"/>
        <w:tblOverlap w:val="never"/>
        <w:tblW w:w="1135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78"/>
        <w:gridCol w:w="731"/>
        <w:gridCol w:w="1220"/>
        <w:gridCol w:w="1749"/>
        <w:gridCol w:w="1220"/>
        <w:gridCol w:w="1220"/>
        <w:gridCol w:w="1220"/>
        <w:gridCol w:w="122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vMerge w:val="restart"/>
            <w:tcBorders>
              <w:top w:val="single" w:color="4F81BD" w:sz="8" w:space="0"/>
              <w:left w:val="single" w:color="4F81BD" w:sz="8" w:space="0"/>
              <w:bottom w:val="single" w:color="FFFFFF" w:sz="8" w:space="0"/>
              <w:right w:val="single" w:color="4F81BD" w:sz="8" w:space="0"/>
              <w:tl2br w:val="nil"/>
              <w:tr2bl w:val="nil"/>
            </w:tcBorders>
            <w:shd w:val="clear" w:color="auto" w:fill="4F81BD"/>
            <w:noWrap w:val="0"/>
            <w:vAlign w:val="bottom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FFFFFF"/>
                <w:sz w:val="24"/>
                <w:szCs w:val="24"/>
              </w:rPr>
            </w:pPr>
          </w:p>
        </w:tc>
        <w:tc>
          <w:tcPr>
            <w:tcW w:w="731" w:type="dxa"/>
            <w:vMerge w:val="restart"/>
            <w:tcBorders>
              <w:top w:val="single" w:color="4F81BD" w:sz="8" w:space="0"/>
              <w:left w:val="single" w:color="4F81BD" w:sz="8" w:space="0"/>
              <w:bottom w:val="single" w:color="FFFFFF" w:sz="8" w:space="0"/>
              <w:right w:val="single" w:color="4F81BD" w:sz="8" w:space="0"/>
              <w:tl2br w:val="nil"/>
              <w:tr2bl w:val="nil"/>
            </w:tcBorders>
            <w:shd w:val="clear" w:color="auto" w:fill="4F81BD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FFFFFF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FFFFFF"/>
                <w:sz w:val="24"/>
                <w:szCs w:val="24"/>
              </w:rPr>
              <w:t>N</w:t>
            </w:r>
          </w:p>
        </w:tc>
        <w:tc>
          <w:tcPr>
            <w:tcW w:w="1220" w:type="dxa"/>
            <w:vMerge w:val="restart"/>
            <w:tcBorders>
              <w:top w:val="single" w:color="4F81BD" w:sz="8" w:space="0"/>
              <w:left w:val="single" w:color="4F81BD" w:sz="8" w:space="0"/>
              <w:bottom w:val="single" w:color="FFFFFF" w:sz="8" w:space="0"/>
              <w:right w:val="single" w:color="4F81BD" w:sz="8" w:space="0"/>
              <w:tl2br w:val="nil"/>
              <w:tr2bl w:val="nil"/>
            </w:tcBorders>
            <w:shd w:val="clear" w:color="auto" w:fill="4F81BD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FFFFFF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FFFFFF"/>
                <w:sz w:val="24"/>
                <w:szCs w:val="24"/>
              </w:rPr>
              <w:t>Mean</w:t>
            </w:r>
          </w:p>
        </w:tc>
        <w:tc>
          <w:tcPr>
            <w:tcW w:w="1749" w:type="dxa"/>
            <w:vMerge w:val="restart"/>
            <w:tcBorders>
              <w:top w:val="single" w:color="4F81BD" w:sz="8" w:space="0"/>
              <w:left w:val="single" w:color="4F81BD" w:sz="8" w:space="0"/>
              <w:bottom w:val="single" w:color="FFFFFF" w:sz="8" w:space="0"/>
              <w:right w:val="single" w:color="4F81BD" w:sz="8" w:space="0"/>
              <w:tl2br w:val="nil"/>
              <w:tr2bl w:val="nil"/>
            </w:tcBorders>
            <w:shd w:val="clear" w:color="auto" w:fill="4F81BD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FFFFFF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FFFFFF"/>
                <w:sz w:val="24"/>
                <w:szCs w:val="24"/>
              </w:rPr>
              <w:t>Std. Deviation</w:t>
            </w:r>
          </w:p>
        </w:tc>
        <w:tc>
          <w:tcPr>
            <w:tcW w:w="2440" w:type="dxa"/>
            <w:gridSpan w:val="2"/>
            <w:tcBorders>
              <w:top w:val="single" w:color="4F81BD" w:sz="8" w:space="0"/>
              <w:left w:val="single" w:color="4F81BD" w:sz="8" w:space="0"/>
              <w:bottom w:val="single" w:color="FFFFFF" w:sz="8" w:space="0"/>
              <w:right w:val="single" w:color="4F81BD" w:sz="8" w:space="0"/>
              <w:tl2br w:val="nil"/>
              <w:tr2bl w:val="nil"/>
            </w:tcBorders>
            <w:shd w:val="clear" w:color="auto" w:fill="4F81BD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FFFFFF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FFFFFF"/>
                <w:sz w:val="24"/>
                <w:szCs w:val="24"/>
              </w:rPr>
              <w:t>Missing</w:t>
            </w:r>
          </w:p>
        </w:tc>
        <w:tc>
          <w:tcPr>
            <w:tcW w:w="2440" w:type="dxa"/>
            <w:gridSpan w:val="2"/>
            <w:tcBorders>
              <w:top w:val="single" w:color="4F81BD" w:sz="8" w:space="0"/>
              <w:left w:val="single" w:color="4F81BD" w:sz="8" w:space="0"/>
              <w:bottom w:val="single" w:color="FFFFFF" w:sz="8" w:space="0"/>
              <w:right w:val="single" w:color="4F81BD" w:sz="8" w:space="0"/>
              <w:tl2br w:val="nil"/>
              <w:tr2bl w:val="nil"/>
            </w:tcBorders>
            <w:shd w:val="clear" w:color="auto" w:fill="4F81BD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FFFFFF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FFFFFF"/>
                <w:sz w:val="24"/>
                <w:szCs w:val="24"/>
              </w:rPr>
              <w:t>No. of Extremes</w:t>
            </w:r>
            <w:r>
              <w:rPr>
                <w:rFonts w:hint="default" w:ascii="Times New Roman Regular" w:hAnsi="Times New Roman Regular" w:cs="Times New Roman Regular"/>
                <w:color w:val="FFFFFF"/>
                <w:sz w:val="24"/>
                <w:szCs w:val="24"/>
                <w:vertAlign w:val="superscript"/>
              </w:rPr>
              <w:t>a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vMerge w:val="continue"/>
            <w:tcBorders>
              <w:top w:val="single" w:color="FFFFFF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bottom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731" w:type="dxa"/>
            <w:vMerge w:val="continue"/>
            <w:tcBorders>
              <w:top w:val="single" w:color="FFFFFF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bottom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single" w:color="FFFFFF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bottom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vMerge w:val="continue"/>
            <w:tcBorders>
              <w:top w:val="single" w:color="FFFFFF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bottom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FFFFFF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Count</w:t>
            </w:r>
          </w:p>
        </w:tc>
        <w:tc>
          <w:tcPr>
            <w:tcW w:w="1220" w:type="dxa"/>
            <w:tcBorders>
              <w:top w:val="single" w:color="FFFFFF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Percent</w:t>
            </w:r>
          </w:p>
        </w:tc>
        <w:tc>
          <w:tcPr>
            <w:tcW w:w="1220" w:type="dxa"/>
            <w:tcBorders>
              <w:top w:val="single" w:color="FFFFFF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220" w:type="dxa"/>
            <w:tcBorders>
              <w:top w:val="single" w:color="FFFFFF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bottom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High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Age, years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3833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68.26</w:t>
            </w: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13.193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.0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Sex,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3833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.0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BMI, kg/m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3298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29.72</w:t>
            </w: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6.746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535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14.0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CRP, mg/L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3252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6.54</w:t>
            </w: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12.642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581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15.2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Albumin,, g/L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3224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41.37</w:t>
            </w: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3.532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609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15.9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ALT, U/L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3205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23.46</w:t>
            </w: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19.482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628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16.4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sz w:val="24"/>
                <w:szCs w:val="24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 xml:space="preserve">BUN,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val="en-US" w:eastAsia="zh-Hans"/>
              </w:rPr>
              <w:t>mm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eastAsia="zh-Hans"/>
              </w:rPr>
              <w:t>ol/L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3223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6.41</w:t>
            </w: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3.466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610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15.9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184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 xml:space="preserve">Tch,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val="en-US" w:eastAsia="zh-Hans"/>
              </w:rPr>
              <w:t>mm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eastAsia="zh-Hans"/>
              </w:rPr>
              <w:t>ol/L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3224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4.92</w:t>
            </w: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1.218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609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15.9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51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 xml:space="preserve">TG,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val="en-US" w:eastAsia="zh-Hans"/>
              </w:rPr>
              <w:t>mm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eastAsia="zh-Hans"/>
              </w:rPr>
              <w:t>ol/L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3222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1.611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611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15.9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163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sz w:val="24"/>
                <w:szCs w:val="24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 xml:space="preserve">Creatinine,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val="en-US" w:eastAsia="zh-Hans"/>
              </w:rPr>
              <w:t>μm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eastAsia="zh-Hans"/>
              </w:rPr>
              <w:t>ol/L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3223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100.40</w:t>
            </w: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75.371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610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15.9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Education status,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3812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.5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PIR,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3459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374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9.8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Race/ethnicity,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3833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.0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Smoking,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3827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.2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Hypertension,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3833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.0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Diabetes,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3833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.0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Asthma,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3823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.3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Arthritis,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3826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.2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Emphysema,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3813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.5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Chronic bronchitis,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3818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.4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Liver disease,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3816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.4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Cancer,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3825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.2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CHF,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3764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CHD,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3727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AP,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3759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HT,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3796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Stroke, no.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3819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.4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277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Follow up duration, month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val="en-US" w:eastAsia="zh-Hans"/>
              </w:rPr>
              <w:t>s</w:t>
            </w:r>
          </w:p>
        </w:tc>
        <w:tc>
          <w:tcPr>
            <w:tcW w:w="73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3833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111.09</w:t>
            </w:r>
          </w:p>
        </w:tc>
        <w:tc>
          <w:tcPr>
            <w:tcW w:w="174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63.654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.0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B8CCE4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</w:trPr>
        <w:tc>
          <w:tcPr>
            <w:tcW w:w="11358" w:type="dxa"/>
            <w:gridSpan w:val="8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a Number of cases outside the range (Q1 - 1.5*IQR, Q3 + 1.5*IQR).</w:t>
            </w:r>
          </w:p>
        </w:tc>
      </w:tr>
    </w:tbl>
    <w:p>
      <w:pPr>
        <w:rPr>
          <w:rFonts w:hint="default" w:ascii="Times New Roman Regular" w:hAnsi="Times New Roman Regular" w:cs="Times New Roman Regular"/>
          <w:lang w:val="en-US" w:eastAsia="zh-Hans"/>
        </w:rPr>
      </w:pPr>
    </w:p>
    <w:p>
      <w:pPr>
        <w:jc w:val="left"/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 Regular" w:hAnsi="Times New Roman Regular" w:cs="Times New Roman Regular"/>
          <w:sz w:val="24"/>
          <w:szCs w:val="24"/>
          <w:lang w:val="en-US" w:eastAsia="zh-Hans"/>
        </w:rPr>
        <w:t>Supplemental Table 1.</w:t>
      </w:r>
      <w:r>
        <w:rPr>
          <w:rFonts w:hint="default" w:ascii="Times New Roman Regular" w:hAnsi="Times New Roman Regular" w:cs="Times New Roman Regular"/>
          <w:sz w:val="24"/>
          <w:szCs w:val="24"/>
          <w:lang w:eastAsia="zh-Hans"/>
        </w:rPr>
        <w:t xml:space="preserve"> Statistics of missing value and extremesa. 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t xml:space="preserve">AP: angina pectoris, ALT: alanine aminotransferase, BMI: body mass index, BUN: blood urea nitrogen, CHD: coronary heart disease, CHF: </w:t>
      </w:r>
      <w:r>
        <w:rPr>
          <w:rFonts w:hint="eastAsia" w:ascii="Times New Roman Regular" w:hAnsi="Times New Roman Regular" w:cs="Times New Roman Regular"/>
          <w:color w:val="000000"/>
          <w:sz w:val="24"/>
          <w:szCs w:val="24"/>
          <w:lang w:val="en-US" w:eastAsia="zh-Hans"/>
        </w:rPr>
        <w:t>c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t>ongestive heart failure, CRP: C reactive protein, HT: heart attack, no.: number, PIR: poverty-income ratio, Tch: total cholesterol, TG: triglyceride.</w:t>
      </w:r>
    </w:p>
    <w:p>
      <w:pPr>
        <w:pStyle w:val="2"/>
        <w:bidi w:val="0"/>
        <w:rPr>
          <w:rFonts w:hint="default"/>
          <w:lang w:eastAsia="zh-Hans"/>
        </w:rPr>
      </w:pPr>
      <w:bookmarkStart w:id="3" w:name="_Toc64932497"/>
      <w:r>
        <w:rPr>
          <w:rFonts w:hint="default"/>
          <w:lang w:val="en-US" w:eastAsia="zh-Hans"/>
        </w:rPr>
        <w:t xml:space="preserve">Supplemental </w:t>
      </w:r>
      <w:r>
        <w:rPr>
          <w:rFonts w:hint="default"/>
          <w:lang w:eastAsia="zh-Hans"/>
        </w:rPr>
        <w:t>Figure</w:t>
      </w:r>
      <w:r>
        <w:rPr>
          <w:rFonts w:hint="default"/>
          <w:lang w:val="en-US" w:eastAsia="zh-Hans"/>
        </w:rPr>
        <w:t xml:space="preserve"> 1. Cumulative incidence of the primary and second outcomes among three GPS level groups in the model </w:t>
      </w:r>
      <w:r>
        <w:rPr>
          <w:rFonts w:hint="default"/>
          <w:lang w:eastAsia="zh-Hans"/>
        </w:rPr>
        <w:t>1</w:t>
      </w:r>
      <w:bookmarkEnd w:id="3"/>
    </w:p>
    <w:p>
      <w:pPr>
        <w:rPr>
          <w:rFonts w:hint="default"/>
          <w:lang w:val="en-US" w:eastAsia="zh-Hans"/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val="en-US" w:eastAsia="zh-Hans"/>
        </w:rPr>
        <w:t xml:space="preserve">Supplemental Figure 1. Cumulative incidence of the primary and second outcomes among three GPS level groups in the model </w:t>
      </w:r>
      <w:r>
        <w:rPr>
          <w:rFonts w:hint="default" w:ascii="Times New Roman Regular" w:hAnsi="Times New Roman Regular" w:cs="Times New Roman Regular"/>
          <w:sz w:val="24"/>
          <w:szCs w:val="24"/>
          <w:lang w:eastAsia="zh-Hans"/>
        </w:rPr>
        <w:t>1</w:t>
      </w:r>
      <w:r>
        <w:rPr>
          <w:rFonts w:hint="default" w:ascii="Times New Roman Regular" w:hAnsi="Times New Roman Regular" w:cs="Times New Roman Regular"/>
          <w:sz w:val="24"/>
          <w:szCs w:val="24"/>
          <w:lang w:val="en-US" w:eastAsia="zh-Hans"/>
        </w:rPr>
        <w:t xml:space="preserve">. A. cumulative risk of all-cause death, B. cumulative risk of cardiac death, C. cumulative risk of cardiac death. GPS: Glasgow Prognostic Score. </w:t>
      </w:r>
      <w:r>
        <w:rPr>
          <w:rFonts w:hint="default"/>
          <w:lang w:val="en-US" w:eastAsia="zh-Hans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79375</wp:posOffset>
            </wp:positionV>
            <wp:extent cx="7400925" cy="3244850"/>
            <wp:effectExtent l="0" t="0" r="15875" b="6350"/>
            <wp:wrapTopAndBottom/>
            <wp:docPr id="1" name="图片 1" descr="补充图1.COX回归-模型1图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补充图1.COX回归-模型1图组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00925" cy="3244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default" w:ascii="Times New Roman Regular" w:hAnsi="Times New Roman Regular" w:cs="Times New Roman Regular"/>
          <w:color w:val="000000"/>
          <w:sz w:val="24"/>
          <w:szCs w:val="24"/>
        </w:rPr>
      </w:pPr>
    </w:p>
    <w:p>
      <w:pPr>
        <w:jc w:val="left"/>
        <w:rPr>
          <w:rFonts w:hint="default" w:ascii="Times New Roman Regular" w:hAnsi="Times New Roman Regular" w:cs="Times New Roman Regular"/>
          <w:color w:val="000000"/>
          <w:sz w:val="24"/>
          <w:szCs w:val="24"/>
        </w:rPr>
      </w:pPr>
    </w:p>
    <w:p>
      <w:pPr>
        <w:jc w:val="left"/>
        <w:rPr>
          <w:rFonts w:hint="default" w:ascii="Times New Roman Regular" w:hAnsi="Times New Roman Regular" w:cs="Times New Roman Regular"/>
          <w:color w:val="000000"/>
          <w:sz w:val="24"/>
          <w:szCs w:val="24"/>
        </w:rPr>
      </w:pPr>
    </w:p>
    <w:p>
      <w:pPr>
        <w:jc w:val="left"/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bidi w:val="0"/>
        <w:rPr>
          <w:rFonts w:hint="default"/>
          <w:lang w:eastAsia="zh-Hans"/>
        </w:rPr>
      </w:pP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t xml:space="preserve"> </w:t>
      </w:r>
      <w:bookmarkStart w:id="4" w:name="_Toc398784403"/>
      <w:r>
        <w:rPr>
          <w:rFonts w:hint="default"/>
          <w:lang w:val="en-US" w:eastAsia="zh-Hans"/>
        </w:rPr>
        <w:t xml:space="preserve">Supplemental </w:t>
      </w:r>
      <w:r>
        <w:rPr>
          <w:rFonts w:hint="default"/>
          <w:lang w:eastAsia="zh-Hans"/>
        </w:rPr>
        <w:t>Figure</w:t>
      </w:r>
      <w:r>
        <w:rPr>
          <w:rFonts w:hint="default"/>
          <w:lang w:val="en-US" w:eastAsia="zh-Hans"/>
        </w:rPr>
        <w:t xml:space="preserve"> </w:t>
      </w:r>
      <w:r>
        <w:rPr>
          <w:rFonts w:hint="default"/>
          <w:lang w:eastAsia="zh-Hans"/>
        </w:rPr>
        <w:t>2</w:t>
      </w:r>
      <w:r>
        <w:rPr>
          <w:rFonts w:hint="default"/>
          <w:lang w:val="en-US" w:eastAsia="zh-Hans"/>
        </w:rPr>
        <w:t xml:space="preserve">. Cumulative incidence of the primary and second outcomes among three GPS level groups in the model </w:t>
      </w:r>
      <w:r>
        <w:rPr>
          <w:rFonts w:hint="default"/>
          <w:lang w:eastAsia="zh-Hans"/>
        </w:rPr>
        <w:t>2</w:t>
      </w:r>
      <w:bookmarkEnd w:id="4"/>
    </w:p>
    <w:p>
      <w:pPr>
        <w:rPr>
          <w:rFonts w:hint="default"/>
          <w:lang w:val="en-US" w:eastAsia="zh-Hans"/>
        </w:rPr>
      </w:pPr>
      <w:r>
        <w:rPr>
          <w:rFonts w:hint="default"/>
          <w:lang w:val="en-US" w:eastAsia="zh-Hans"/>
        </w:rP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-1115060</wp:posOffset>
            </wp:positionH>
            <wp:positionV relativeFrom="paragraph">
              <wp:posOffset>17780</wp:posOffset>
            </wp:positionV>
            <wp:extent cx="7400925" cy="3389630"/>
            <wp:effectExtent l="0" t="0" r="15875" b="13970"/>
            <wp:wrapTopAndBottom/>
            <wp:docPr id="2" name="图片 2" descr="/Users/m/Desktop/临床研究/GPS评分对CVD病人的全因和心血管死亡率的预测价值/图组/补充图2.COX回归-模型2图组.tif补充图2.COX回归-模型2图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/Users/m/Desktop/临床研究/GPS评分对CVD病人的全因和心血管死亡率的预测价值/图组/补充图2.COX回归-模型2图组.tif补充图2.COX回归-模型2图组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00925" cy="3389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 Regular" w:hAnsi="Times New Roman Regular" w:cs="Times New Roman Regular"/>
          <w:sz w:val="24"/>
          <w:szCs w:val="24"/>
          <w:lang w:val="en-US" w:eastAsia="zh-Hans"/>
        </w:rPr>
        <w:t xml:space="preserve">Supplemental Figure </w:t>
      </w:r>
      <w:r>
        <w:rPr>
          <w:rFonts w:hint="default" w:ascii="Times New Roman Regular" w:hAnsi="Times New Roman Regular" w:cs="Times New Roman Regular"/>
          <w:sz w:val="24"/>
          <w:szCs w:val="24"/>
          <w:lang w:eastAsia="zh-Hans"/>
        </w:rPr>
        <w:t>2</w:t>
      </w:r>
      <w:r>
        <w:rPr>
          <w:rFonts w:hint="default" w:ascii="Times New Roman Regular" w:hAnsi="Times New Roman Regular" w:cs="Times New Roman Regular"/>
          <w:sz w:val="24"/>
          <w:szCs w:val="24"/>
          <w:lang w:val="en-US" w:eastAsia="zh-Hans"/>
        </w:rPr>
        <w:t xml:space="preserve">. Cumulative incidence of the primary and second outcomes among three GPS level groups in the model </w:t>
      </w:r>
      <w:r>
        <w:rPr>
          <w:rFonts w:hint="default" w:ascii="Times New Roman Regular" w:hAnsi="Times New Roman Regular" w:cs="Times New Roman Regular"/>
          <w:sz w:val="24"/>
          <w:szCs w:val="24"/>
          <w:lang w:eastAsia="zh-Hans"/>
        </w:rPr>
        <w:t>2</w:t>
      </w:r>
      <w:r>
        <w:rPr>
          <w:rFonts w:hint="default" w:ascii="Times New Roman Regular" w:hAnsi="Times New Roman Regular" w:cs="Times New Roman Regular"/>
          <w:sz w:val="24"/>
          <w:szCs w:val="24"/>
          <w:lang w:val="en-US" w:eastAsia="zh-Hans"/>
        </w:rPr>
        <w:t xml:space="preserve">. A. cumulative risk of all-cause death, B. cumulative risk of cardiac death, C. cumulative risk of cardiac death. GPS: Glasgow Prognostic Score. </w:t>
      </w:r>
    </w:p>
    <w:p>
      <w:pPr>
        <w:jc w:val="left"/>
        <w:rPr>
          <w:rFonts w:hint="default" w:eastAsiaTheme="minorEastAsia"/>
          <w:lang w:eastAsia="zh-Hans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bidi w:val="0"/>
        <w:rPr>
          <w:rFonts w:hint="default"/>
          <w:lang w:val="en-US" w:eastAsia="zh-Hans"/>
        </w:rPr>
      </w:pPr>
      <w:bookmarkStart w:id="5" w:name="_Toc72998934"/>
      <w:r>
        <w:rPr>
          <w:rFonts w:hint="default"/>
          <w:lang w:val="en-US" w:eastAsia="zh-Hans"/>
        </w:rPr>
        <w:t xml:space="preserve">Supplemental Table </w:t>
      </w:r>
      <w:r>
        <w:rPr>
          <w:rFonts w:hint="default"/>
          <w:lang w:eastAsia="zh-Hans"/>
        </w:rPr>
        <w:t>2</w:t>
      </w:r>
      <w:r>
        <w:rPr>
          <w:rFonts w:hint="default"/>
          <w:lang w:val="en-US" w:eastAsia="zh-Hans"/>
        </w:rPr>
        <w:t>. Subgroups analyses of the effect of GPS level on adverse events</w:t>
      </w:r>
      <w:bookmarkEnd w:id="5"/>
    </w:p>
    <w:tbl>
      <w:tblPr>
        <w:tblStyle w:val="5"/>
        <w:tblW w:w="16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989"/>
        <w:gridCol w:w="1180"/>
        <w:gridCol w:w="1187"/>
        <w:gridCol w:w="822"/>
        <w:gridCol w:w="909"/>
        <w:gridCol w:w="1035"/>
        <w:gridCol w:w="1153"/>
        <w:gridCol w:w="1225"/>
        <w:gridCol w:w="787"/>
        <w:gridCol w:w="941"/>
        <w:gridCol w:w="1023"/>
        <w:gridCol w:w="1200"/>
        <w:gridCol w:w="1338"/>
        <w:gridCol w:w="723"/>
        <w:gridCol w:w="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525" w:type="dxa"/>
            <w:gridSpan w:val="16"/>
            <w:tcBorders>
              <w:top w:val="single" w:color="4F81BD" w:sz="8" w:space="0"/>
              <w:left w:val="single" w:color="4F81BD" w:sz="8" w:space="0"/>
              <w:bottom w:val="single" w:color="FFFFFF" w:sz="0" w:space="0"/>
              <w:right w:val="single" w:color="4F81BD" w:sz="8" w:space="0"/>
            </w:tcBorders>
            <w:shd w:val="clear" w:color="auto" w:fill="4F81BD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FFFFFF"/>
                <w:sz w:val="20"/>
                <w:szCs w:val="20"/>
                <w:vertAlign w:val="baseline"/>
              </w:rPr>
            </w:pPr>
            <w:r>
              <w:rPr>
                <w:rStyle w:val="7"/>
                <w:rFonts w:hint="default" w:ascii="Times New Roman" w:hAnsi="Times New Roman" w:cs="Times New Roman"/>
                <w:color w:val="FFFFFF"/>
                <w:sz w:val="20"/>
                <w:szCs w:val="20"/>
              </w:rPr>
              <w:t>Supplemental Table 2. Subgroups analyses of the effect of GPS level on adverse events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1" w:hRule="atLeast"/>
          <w:jc w:val="center"/>
        </w:trPr>
        <w:tc>
          <w:tcPr>
            <w:tcW w:w="1085" w:type="dxa"/>
            <w:tcBorders>
              <w:top w:val="single" w:color="FFFFFF" w:sz="0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</w:p>
        </w:tc>
        <w:tc>
          <w:tcPr>
            <w:tcW w:w="15440" w:type="dxa"/>
            <w:gridSpan w:val="15"/>
            <w:tcBorders>
              <w:top w:val="single" w:color="FFFFFF" w:sz="4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  <w:t>Primary and secondary outcomes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5" w:hRule="atLeast"/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  <w:t>Subgroup</w:t>
            </w:r>
          </w:p>
        </w:tc>
        <w:tc>
          <w:tcPr>
            <w:tcW w:w="3356" w:type="dxa"/>
            <w:gridSpan w:val="3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eastAsia="AdvPSSAB-R" w:cs="Times New Roman"/>
                <w:b w:val="0"/>
                <w:i w:val="0"/>
                <w:color w:val="000000"/>
                <w:sz w:val="16"/>
                <w:szCs w:val="16"/>
              </w:rPr>
              <w:t>All-cause death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eastAsia="AdvOT7fb33346 . I" w:cs="Times New Roman"/>
                <w:b w:val="0"/>
                <w:i w:val="0"/>
                <w:color w:val="000000"/>
                <w:sz w:val="16"/>
                <w:szCs w:val="16"/>
              </w:rPr>
              <w:t xml:space="preserve">P 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z w:val="16"/>
                <w:szCs w:val="16"/>
              </w:rPr>
              <w:t>for trend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eastAsia="AdvOT7fb33346 . I" w:cs="Times New Roman"/>
                <w:b w:val="0"/>
                <w:i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eastAsia="AdvOT7fb33346 . I" w:cs="Times New Roman"/>
                <w:b w:val="0"/>
                <w:i w:val="0"/>
                <w:color w:val="000000"/>
                <w:sz w:val="16"/>
                <w:szCs w:val="16"/>
              </w:rPr>
              <w:t xml:space="preserve">P 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z w:val="16"/>
                <w:szCs w:val="16"/>
              </w:rPr>
              <w:t>for interaction</w:t>
            </w:r>
          </w:p>
        </w:tc>
        <w:tc>
          <w:tcPr>
            <w:tcW w:w="3413" w:type="dxa"/>
            <w:gridSpan w:val="3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eastAsia="AdvPSSAB-R" w:cs="Times New Roman"/>
                <w:b w:val="0"/>
                <w:i w:val="0"/>
                <w:color w:val="000000"/>
                <w:sz w:val="16"/>
                <w:szCs w:val="16"/>
              </w:rPr>
              <w:t>Cardiac death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eastAsia="AdvOT7fb33346 . I" w:cs="Times New Roman"/>
                <w:b w:val="0"/>
                <w:i w:val="0"/>
                <w:color w:val="000000"/>
                <w:sz w:val="16"/>
                <w:szCs w:val="16"/>
              </w:rPr>
              <w:t xml:space="preserve">P 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z w:val="16"/>
                <w:szCs w:val="16"/>
              </w:rPr>
              <w:t>for trend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eastAsia="AdvOT7fb33346 . I" w:cs="Times New Roman"/>
                <w:b w:val="0"/>
                <w:i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eastAsia="AdvOT7fb33346 . I" w:cs="Times New Roman"/>
                <w:b w:val="0"/>
                <w:i w:val="0"/>
                <w:color w:val="000000"/>
                <w:sz w:val="16"/>
                <w:szCs w:val="16"/>
              </w:rPr>
              <w:t xml:space="preserve">P 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z w:val="16"/>
                <w:szCs w:val="16"/>
              </w:rPr>
              <w:t>for interaction</w:t>
            </w:r>
          </w:p>
        </w:tc>
        <w:tc>
          <w:tcPr>
            <w:tcW w:w="3561" w:type="dxa"/>
            <w:gridSpan w:val="3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Style w:val="7"/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lang w:val="en-US" w:eastAsia="zh-CN"/>
              </w:rPr>
              <w:t>Non-cardiac death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Style w:val="7"/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AdvOT7fb33346 . I" w:cs="Times New Roman"/>
                <w:b w:val="0"/>
                <w:i w:val="0"/>
                <w:color w:val="000000"/>
                <w:sz w:val="16"/>
                <w:szCs w:val="16"/>
              </w:rPr>
              <w:t xml:space="preserve">P 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z w:val="16"/>
                <w:szCs w:val="16"/>
              </w:rPr>
              <w:t>for trend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eastAsia="AdvOT7fb33346 . I" w:cs="Times New Roman"/>
                <w:b w:val="0"/>
                <w:i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eastAsia="AdvOT7fb33346 . I" w:cs="Times New Roman"/>
                <w:b w:val="0"/>
                <w:i w:val="0"/>
                <w:color w:val="000000"/>
                <w:sz w:val="16"/>
                <w:szCs w:val="16"/>
              </w:rPr>
              <w:t xml:space="preserve">P 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z w:val="16"/>
                <w:szCs w:val="16"/>
              </w:rPr>
              <w:t>for interaction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</w:p>
        </w:tc>
        <w:tc>
          <w:tcPr>
            <w:tcW w:w="3356" w:type="dxa"/>
            <w:gridSpan w:val="3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  <w:t>GPS, HR (95% Cl)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</w:p>
        </w:tc>
        <w:tc>
          <w:tcPr>
            <w:tcW w:w="3413" w:type="dxa"/>
            <w:gridSpan w:val="3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  <w:t>GPS, HR (95% Cl)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</w:p>
        </w:tc>
        <w:tc>
          <w:tcPr>
            <w:tcW w:w="3561" w:type="dxa"/>
            <w:gridSpan w:val="3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  <w:t>GPS, HR (95% Cl)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5" w:hRule="atLeast"/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000000"/>
                <w:sz w:val="16"/>
                <w:szCs w:val="16"/>
                <w:vertAlign w:val="baseline"/>
                <w:lang w:val="en-US" w:eastAsia="zh-Han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A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Hans"/>
              </w:rPr>
              <w:t>ge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  <w:t>0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  <w:t>1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  <w:t>2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  <w:t>0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  <w:t>1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  <w:t>2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  <w:t>0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  <w:t>1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  <w:t>2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Hans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Hans"/>
              </w:rPr>
              <w:t>≥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Hans"/>
              </w:rPr>
              <w:t xml:space="preserve">65 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Hans"/>
              </w:rPr>
              <w:t>y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Hans"/>
              </w:rPr>
              <w:t>ea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Hans"/>
              </w:rPr>
              <w:t>r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.433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1.254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1.637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2.611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1.821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3.743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0.002</w:t>
            </w: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1.507 (1.207-1.883)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1.930 (0.983-3.788)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0.314</w:t>
            </w: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1.394 (1.180-1.646)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3.021 (1.972-4.630)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Hans"/>
              </w:rPr>
              <w:t>＜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Hans"/>
              </w:rPr>
              <w:t xml:space="preserve">65 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Hans"/>
              </w:rPr>
              <w:t>y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Hans"/>
              </w:rPr>
              <w:t>ea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Hans"/>
              </w:rPr>
              <w:t>r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846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1.486-2.293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2.073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1.097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3.917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1.551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1.046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2.300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1.950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0.584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6.515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</w:rPr>
              <w:t>0.020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2.004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1.545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2.600)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2.128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1.005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4.505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4" w:hRule="atLeast"/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6"/>
                <w:szCs w:val="16"/>
                <w:vertAlign w:val="baseline"/>
                <w:lang w:val="en-US" w:eastAsia="zh-CN"/>
              </w:rPr>
              <w:t>Sex</w:t>
            </w:r>
          </w:p>
        </w:tc>
        <w:tc>
          <w:tcPr>
            <w:tcW w:w="15440" w:type="dxa"/>
            <w:gridSpan w:val="15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7" w:hRule="atLeast"/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  <w:t>Male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1.749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1.501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12.040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3.561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2.293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5.531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0.088</w:t>
            </w: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1.757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1.354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2.279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3.352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1.565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7.179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0.206</w:t>
            </w: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1.74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6"/>
                <w:szCs w:val="16"/>
                <w:vertAlign w:val="baseline"/>
                <w:lang w:eastAsia="zh-CN"/>
              </w:rPr>
              <w:t xml:space="preserve">7 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zh-CN"/>
              </w:rPr>
              <w:t>.445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2.113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3.678 (2.144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6.310)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7" w:hRule="atLeast"/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eastAsia="AdvPSSAB-R" w:cs="Times New Roman"/>
                <w:b w:val="0"/>
                <w:i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eastAsia="AdvPSSAB-R" w:cs="Times New Roman"/>
                <w:b w:val="0"/>
                <w:i w:val="0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vertAlign w:val="baseline"/>
                <w:lang w:eastAsia="zh-CN"/>
              </w:rPr>
              <w:t>1.620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1.372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1.913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2.449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1.573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3.815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1.664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1.243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2.228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1.601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642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3.994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1.605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1.310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1.965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2.885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1.736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4.795)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6"/>
                <w:szCs w:val="16"/>
                <w:vertAlign w:val="baseline"/>
              </w:rPr>
              <w:t>Race</w:t>
            </w:r>
          </w:p>
        </w:tc>
        <w:tc>
          <w:tcPr>
            <w:tcW w:w="15440" w:type="dxa"/>
            <w:gridSpan w:val="15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6"/>
                <w:szCs w:val="16"/>
              </w:rPr>
              <w:t>Mexican-American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2.125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1.541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2.930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6.768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2.044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22.405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0.976</w:t>
            </w: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1.968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1.066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3.632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7.964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991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63.963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0.009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 Italic" w:hAnsi="Times New Roman Italic" w:cs="Times New Roman Italic"/>
                <w:i/>
                <w:iCs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0.756</w:t>
            </w: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2.172 (1.488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3.170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6.331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1.464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27.375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6"/>
                <w:szCs w:val="16"/>
                <w:vertAlign w:val="baseline"/>
              </w:rPr>
              <w:t>Non-Hispanic White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1.660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1.435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1.921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2.197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1.412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3.417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1.691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1.321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2.166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1.904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885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4.098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1.645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1.373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1.970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2.368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1.379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4.066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6"/>
                <w:szCs w:val="16"/>
                <w:vertAlign w:val="baseline"/>
              </w:rPr>
              <w:t>Non-Hispanic Black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1.426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1.107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1.837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3.413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1.973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5.903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Han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Han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1.647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1.080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2.513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Han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2.450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734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8.178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0.009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1.315(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957-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1.807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3.703(1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985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6.907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4" w:hRule="atLeast"/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16"/>
                <w:szCs w:val="16"/>
                <w:vertAlign w:val="baseline"/>
              </w:rPr>
              <w:t>Others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2.311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1.417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3.769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20.696 (5.263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81.379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1.569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</w:rPr>
              <w:t>600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4.105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-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  <w:t>0.070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2.625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1.474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4.677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29.017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4.950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170.094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0" w:hRule="atLeast"/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AdvPSSAB-R" w:cs="Times New Roman Regular"/>
                <w:b w:val="0"/>
                <w:i w:val="0"/>
                <w:color w:val="000000"/>
                <w:sz w:val="16"/>
                <w:szCs w:val="16"/>
              </w:rPr>
              <w:t>Smoking</w:t>
            </w:r>
          </w:p>
        </w:tc>
        <w:tc>
          <w:tcPr>
            <w:tcW w:w="15440" w:type="dxa"/>
            <w:gridSpan w:val="15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AdvPSSAB-R" w:cs="Times New Roman Regular"/>
                <w:b w:val="0"/>
                <w:i w:val="0"/>
                <w:color w:val="000000"/>
                <w:sz w:val="16"/>
                <w:szCs w:val="16"/>
              </w:rPr>
              <w:t>Never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1.758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1.447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2.135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2.639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1.418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4.909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0.630</w:t>
            </w: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1.718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1.236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2.389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2.900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1.040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8.087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0.465</w:t>
            </w: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1.786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1.403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2.272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2.461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1.128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5.366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0.936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3" w:hRule="atLeast"/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AdvPSSAB-R" w:cs="Times New Roman Regular"/>
                <w:b w:val="0"/>
                <w:i w:val="0"/>
                <w:color w:val="000000"/>
                <w:sz w:val="16"/>
                <w:szCs w:val="16"/>
              </w:rPr>
              <w:t>Current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.606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1.397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1.846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2.759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1.918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3.971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1.698 (1.333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2.162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2.020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984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4.146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1.564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1.319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1.854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3.145 (2.061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4.799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AdvOT596495f2" w:cs="Times New Roman Regular"/>
                <w:b w:val="0"/>
                <w:i w:val="0"/>
                <w:color w:val="auto"/>
                <w:sz w:val="16"/>
                <w:szCs w:val="16"/>
              </w:rPr>
              <w:t>Diabetes</w:t>
            </w:r>
          </w:p>
        </w:tc>
        <w:tc>
          <w:tcPr>
            <w:tcW w:w="15440" w:type="dxa"/>
            <w:gridSpan w:val="15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  <w:t>Yes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.692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1.422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2.013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3.257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2.118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5.006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0.563</w:t>
            </w: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u w:val="none"/>
                <w:vertAlign w:val="baseline"/>
                <w:lang w:eastAsia="zh-CN"/>
              </w:rPr>
              <w:t xml:space="preserve">79 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1.161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2.146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2.761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1.238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6.159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0.928</w:t>
            </w: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1.751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1.418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2.162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3.502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2.104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5.831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No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1.606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1.383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1.864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2.504 (1.564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4.009)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1.691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1.313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2.178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1.817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745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4.435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1.565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1.300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1.884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2.870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1.684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4.997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AdvOT596495f2" w:cs="Times New Roman Regular"/>
                <w:b w:val="0"/>
                <w:i w:val="0"/>
                <w:color w:val="auto"/>
                <w:sz w:val="16"/>
                <w:szCs w:val="16"/>
              </w:rPr>
              <w:t>Hypertension</w:t>
            </w:r>
          </w:p>
        </w:tc>
        <w:tc>
          <w:tcPr>
            <w:tcW w:w="15440" w:type="dxa"/>
            <w:gridSpan w:val="15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  <w:t>Yes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1.628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1.431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1.853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2.783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1.992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3.890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0.360</w:t>
            </w: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1.513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1.207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1.896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2.085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1.095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3.973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0.011</w:t>
            </w: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1.691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1.444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1.980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3.165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2.138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4.686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No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1.813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1.438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2.285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3.179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1.270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7.956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2.628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1.783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3.872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5.575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1.293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24.033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1.527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1.142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2.042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2.331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717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7.585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  <w:t>0.002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AdvPSSAB-R" w:cs="Times New Roman Regular"/>
                <w:b w:val="0"/>
                <w:i w:val="0"/>
                <w:color w:val="000000"/>
                <w:sz w:val="16"/>
                <w:szCs w:val="16"/>
              </w:rPr>
              <w:t>Asthma</w:t>
            </w:r>
          </w:p>
        </w:tc>
        <w:tc>
          <w:tcPr>
            <w:tcW w:w="15440" w:type="dxa"/>
            <w:gridSpan w:val="15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  <w:t>Yes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1.504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1.144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1.977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Hans"/>
              </w:rPr>
              <w:t>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Hans"/>
              </w:rPr>
              <w:t xml:space="preserve">479 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0.976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6.296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  <w:t>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0.481</w:t>
            </w: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1.128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</w:rPr>
              <w:t>663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1.920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-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Hans" w:bidi="ar-SA"/>
              </w:rPr>
              <w:t>0.910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0.018</w:t>
            </w: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1.690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1.226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2.329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3.903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1.498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10.171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No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1.718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1.517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1.946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Hans"/>
              </w:rPr>
              <w:t>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Hans"/>
              </w:rPr>
              <w:t xml:space="preserve">960 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2.126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4.122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1.872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1.521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2.304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Hans"/>
              </w:rPr>
              <w:t>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Hans"/>
              </w:rPr>
              <w:t xml:space="preserve">686 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1.492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4.834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1.643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1.407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1.919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3.104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2.079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4.633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AdvPSSAB-R" w:cs="Times New Roman Regular"/>
                <w:b w:val="0"/>
                <w:i w:val="0"/>
                <w:color w:val="000000"/>
                <w:sz w:val="16"/>
                <w:szCs w:val="16"/>
              </w:rPr>
              <w:t>Emphysema</w:t>
            </w:r>
          </w:p>
        </w:tc>
        <w:tc>
          <w:tcPr>
            <w:tcW w:w="15440" w:type="dxa"/>
            <w:gridSpan w:val="15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  <w:t>Yes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1.570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1.141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2.159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3.860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1.475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10.099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0.658</w:t>
            </w: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1.461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815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2.620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2.197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273-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17.711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0.150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0.592</w:t>
            </w: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1.672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1.139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2.455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4.876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1.639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14.507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0.359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No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1.662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1.471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1.876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2.795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2.003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3.900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1.725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1.403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2.122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2.396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1.295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4.433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1.632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1.404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1.897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3.003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2.020-4.464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AdvPSSAB-R" w:cs="Times New Roman Regular"/>
                <w:b w:val="0"/>
                <w:i w:val="0"/>
                <w:color w:val="000000"/>
                <w:sz w:val="16"/>
                <w:szCs w:val="16"/>
              </w:rPr>
              <w:t>Chronic bronchitis</w:t>
            </w:r>
          </w:p>
        </w:tc>
        <w:tc>
          <w:tcPr>
            <w:tcW w:w="15440" w:type="dxa"/>
            <w:gridSpan w:val="15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  <w:t>Yes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1.501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1.091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2.065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1.962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1.054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3.651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0.003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0.331</w:t>
            </w: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1.343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</w:rPr>
              <w:t>763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2.364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0.806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</w:rPr>
              <w:t>190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3.419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0.597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0.037</w:t>
            </w: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1.610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1.091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2.376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2.842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1.409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u w:val="none"/>
                <w:lang w:eastAsia="zh-CN"/>
              </w:rPr>
              <w:t>.735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  <w:t>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0.675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No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1.691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1.498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1.909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3.255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2.262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4.685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1.778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1.444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2.189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3.334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1.758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6.323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1.649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1.421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1.915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3.220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2.068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5.014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left"/>
              <w:rPr>
                <w:rFonts w:hint="default" w:ascii="Times New Roman Regular" w:hAnsi="Times New Roman Regular" w:eastAsia="AdvPSSAB-R" w:cs="Times New Roman Regular"/>
                <w:b w:val="0"/>
                <w:i w:val="0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AdvPSSAB-R" w:cs="Times New Roman Regular"/>
                <w:b w:val="0"/>
                <w:i w:val="0"/>
                <w:color w:val="000000"/>
                <w:sz w:val="16"/>
                <w:szCs w:val="16"/>
              </w:rPr>
              <w:t>Arthritis</w:t>
            </w:r>
          </w:p>
        </w:tc>
        <w:tc>
          <w:tcPr>
            <w:tcW w:w="15440" w:type="dxa"/>
            <w:gridSpan w:val="15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  <w:t>Yes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1.471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1.267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1.707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2.371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1.650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3.408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0.002</w:t>
            </w: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1.523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1.179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1.966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1.451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</w:rPr>
              <w:t>676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3.115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0.002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0.019</w:t>
            </w: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1.448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1.205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1.739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2.879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1.903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4.354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No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2.007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1.689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2.385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4.814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2.604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8.896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2.008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1.490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2.706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6.379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2.534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16.057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2.009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1.626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2.483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4.003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1.752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9.146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default" w:ascii="Times New Roman Regular" w:hAnsi="Times New Roman Regular" w:eastAsia="AdvPSSAB-R" w:cs="Times New Roman Regular"/>
                <w:b w:val="0"/>
                <w:i w:val="0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AdvPSSAB-R" w:cs="Times New Roman Regular"/>
                <w:b w:val="0"/>
                <w:i w:val="0"/>
                <w:color w:val="000000"/>
                <w:sz w:val="16"/>
                <w:szCs w:val="16"/>
              </w:rPr>
              <w:t>Cancer</w:t>
            </w:r>
          </w:p>
        </w:tc>
        <w:tc>
          <w:tcPr>
            <w:tcW w:w="15440" w:type="dxa"/>
            <w:gridSpan w:val="15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  <w:t>Yes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1.528 (1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.195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1.955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2.223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1.270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3.893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0.137</w:t>
            </w: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1.577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1.008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2.467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2.180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844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5.632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0.014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0.528</w:t>
            </w: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1.506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1.121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2.023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2.246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1.120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4.502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  <w:t>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No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1.678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1.477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1.907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3.648 (2.499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5.324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1.681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1.354-2.088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2.395(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1.121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5.120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1.679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1.433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1.966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4.374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2.825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6.774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left"/>
              <w:rPr>
                <w:rFonts w:hint="default" w:ascii="Times New Roman Regular" w:hAnsi="Times New Roman Regular" w:eastAsia="AdvPSSAB-R" w:cs="Times New Roman Regular"/>
                <w:b w:val="0"/>
                <w:i w:val="0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AdvPSSAB-R" w:cs="Times New Roman Regular"/>
                <w:b w:val="0"/>
                <w:i w:val="0"/>
                <w:color w:val="000000"/>
                <w:sz w:val="16"/>
                <w:szCs w:val="16"/>
              </w:rPr>
              <w:t>Liver dysfunction</w:t>
            </w:r>
          </w:p>
        </w:tc>
        <w:tc>
          <w:tcPr>
            <w:tcW w:w="15440" w:type="dxa"/>
            <w:gridSpan w:val="15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  <w:t>Yes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1.749 (1.054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2.901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-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  <w:t>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0.006</w:t>
            </w: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1.645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</w:rPr>
              <w:t>679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3.984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-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0.321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0.035</w:t>
            </w: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1.543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</w:rPr>
              <w:t>792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3.008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59.129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14.096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lang w:eastAsia="zh-CN"/>
              </w:rPr>
              <w:t>248.026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No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1.626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1.448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1.827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2.585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1.865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3.583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1.619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1.324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1.980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2.287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1.272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4.110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1.632 (1.416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1.881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2.743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1.851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4.064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default" w:ascii="Times New Roman Regular" w:hAnsi="Times New Roman Regular" w:eastAsia="AdvPSSAB-R" w:cs="Times New Roman Regular"/>
                <w:b w:val="0"/>
                <w:i w:val="0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AdvPSSAB-R" w:cs="Times New Roman Regular"/>
                <w:b w:val="0"/>
                <w:i w:val="0"/>
                <w:color w:val="000000"/>
                <w:sz w:val="16"/>
                <w:szCs w:val="16"/>
              </w:rPr>
              <w:t xml:space="preserve">Moderate </w:t>
            </w:r>
            <w:r>
              <w:rPr>
                <w:rFonts w:hint="eastAsia" w:ascii="Times New Roman Regular" w:hAnsi="Times New Roman Regular" w:eastAsia="AdvPSSAB-R" w:cs="Times New Roman Regular"/>
                <w:b w:val="0"/>
                <w:i w:val="0"/>
                <w:color w:val="000000"/>
                <w:sz w:val="16"/>
                <w:szCs w:val="16"/>
                <w:lang w:val="en-US" w:eastAsia="zh-Hans"/>
              </w:rPr>
              <w:t>or</w:t>
            </w:r>
            <w:r>
              <w:rPr>
                <w:rFonts w:hint="default" w:ascii="Times New Roman Regular" w:hAnsi="Times New Roman Regular" w:eastAsia="AdvPSSAB-R" w:cs="Times New Roman Regular"/>
                <w:b w:val="0"/>
                <w:i w:val="0"/>
                <w:color w:val="000000"/>
                <w:sz w:val="16"/>
                <w:szCs w:val="16"/>
              </w:rPr>
              <w:t xml:space="preserve"> severe nephropathy</w:t>
            </w:r>
          </w:p>
        </w:tc>
        <w:tc>
          <w:tcPr>
            <w:tcW w:w="15440" w:type="dxa"/>
            <w:gridSpan w:val="15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  <w:t>Yes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1.711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1.456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2.011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2.367 (1.582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3.541)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0.420</w:t>
            </w: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1.852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1.419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2.417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2.149 (1.034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4.464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0.141</w:t>
            </w: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1.639 (1.338-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2.009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2.474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1.525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4.011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No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1.589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1.357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1.862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3.561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2.152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5.892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1.444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1.084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1.923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2.647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0.973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7.20</w:t>
            </w:r>
            <w:r>
              <w:rPr>
                <w:rFonts w:hint="default" w:ascii="Times New Roman Italic" w:hAnsi="Times New Roman Italic" w:cs="Times New Roman Italic"/>
                <w:i/>
                <w:iCs/>
                <w:color w:val="000000"/>
                <w:sz w:val="16"/>
                <w:szCs w:val="16"/>
                <w:lang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0.003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1.656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1.369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2.002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4.046 (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2.258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eastAsia="zh-CN"/>
              </w:rPr>
              <w:t>7.250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Follow-up periods</w:t>
            </w:r>
          </w:p>
        </w:tc>
        <w:tc>
          <w:tcPr>
            <w:tcW w:w="15440" w:type="dxa"/>
            <w:gridSpan w:val="15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≤ 10 years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  <w:t>1.408 (1.243-1.595)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  <w:t>2.673 (1.919-3.723)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  <w:t>&lt;0.001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0.052</w:t>
            </w: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  <w:t>1.534 (1.243-1.893)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  <w:t>2.070 (1.123-3.816)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0.017</w:t>
            </w: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highlight w:val="none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  <w:t>1.348 (1.155-1.573)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  <w:t>3.030 (2.042-4.495)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&lt;0.001</w:t>
            </w: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0.496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8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&gt; 10 years</w:t>
            </w:r>
          </w:p>
        </w:tc>
        <w:tc>
          <w:tcPr>
            <w:tcW w:w="98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8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  <w:t>1.250 (0.959-1.628)</w:t>
            </w:r>
          </w:p>
        </w:tc>
        <w:tc>
          <w:tcPr>
            <w:tcW w:w="11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  <w:t>1.827 (0.733-4.554)</w:t>
            </w:r>
          </w:p>
        </w:tc>
        <w:tc>
          <w:tcPr>
            <w:tcW w:w="82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  <w:t>0.047</w:t>
            </w:r>
          </w:p>
        </w:tc>
        <w:tc>
          <w:tcPr>
            <w:tcW w:w="90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15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  <w:t>0.920</w:t>
            </w:r>
            <w:r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  <w:t>(0.551-1.535)</w:t>
            </w:r>
          </w:p>
        </w:tc>
        <w:tc>
          <w:tcPr>
            <w:tcW w:w="12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  <w:t>1.236 (0.165-9.266）</w:t>
            </w:r>
          </w:p>
        </w:tc>
        <w:tc>
          <w:tcPr>
            <w:tcW w:w="78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  <w:t>0.830</w:t>
            </w:r>
          </w:p>
        </w:tc>
        <w:tc>
          <w:tcPr>
            <w:tcW w:w="94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eastAsia="zh-CN"/>
              </w:rPr>
              <w:t>.000 (Reference)</w:t>
            </w:r>
          </w:p>
        </w:tc>
        <w:tc>
          <w:tcPr>
            <w:tcW w:w="120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  <w:t>1.428 (1.047-1.948)</w:t>
            </w:r>
          </w:p>
        </w:tc>
        <w:tc>
          <w:tcPr>
            <w:tcW w:w="133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vertAlign w:val="baseline"/>
                <w:lang w:val="en-US" w:eastAsia="zh-CN" w:bidi="ar-SA"/>
              </w:rPr>
              <w:t>2.118 (0.758-5.919)</w:t>
            </w:r>
          </w:p>
        </w:tc>
        <w:tc>
          <w:tcPr>
            <w:tcW w:w="72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highlight w:val="none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6"/>
                <w:szCs w:val="16"/>
                <w:highlight w:val="none"/>
                <w:vertAlign w:val="baseline"/>
                <w:lang w:val="en-US" w:eastAsia="zh-CN" w:bidi="ar-SA"/>
              </w:rPr>
              <w:t>0.01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2"/>
                <w:sz w:val="16"/>
                <w:szCs w:val="16"/>
                <w:vertAlign w:val="baseline"/>
                <w:lang w:eastAsia="zh-CN" w:bidi="ar-SA"/>
              </w:rPr>
            </w:pPr>
          </w:p>
        </w:tc>
        <w:tc>
          <w:tcPr>
            <w:tcW w:w="9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vertAlign w:val="baseline"/>
                <w:lang w:val="en-US" w:eastAsia="zh-CN"/>
              </w:rPr>
            </w:pPr>
          </w:p>
        </w:tc>
      </w:tr>
    </w:tbl>
    <w:p>
      <w:r>
        <w:rPr>
          <w:rFonts w:hint="default" w:ascii="Times New Roman Regular" w:hAnsi="Times New Roman Regular" w:cs="Times New Roman Regular"/>
          <w:sz w:val="24"/>
          <w:szCs w:val="24"/>
          <w:lang w:eastAsia="zh-Hans"/>
        </w:rPr>
        <w:t>Supplemental Table 2. Subgroups analyses of the effect of GPS level on adverse events. CI: confidence interval, GPS: inflammation-based Glasgow Prognostic Score, HR: hazard ratio.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AdvPSSAB-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AdvOT596495f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Arial-BoldMT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AdvOT7fb33346 . 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Italic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62232"/>
    <w:rsid w:val="6C5EE8C3"/>
    <w:rsid w:val="6D4F6131"/>
    <w:rsid w:val="6FBDC9E6"/>
    <w:rsid w:val="6FC7AD6E"/>
    <w:rsid w:val="6FF88C46"/>
    <w:rsid w:val="75BF983E"/>
    <w:rsid w:val="7AB62232"/>
    <w:rsid w:val="7DD27AD4"/>
    <w:rsid w:val="7DD86A62"/>
    <w:rsid w:val="7ECBE499"/>
    <w:rsid w:val="7FDDD3CD"/>
    <w:rsid w:val="7FEA5E0A"/>
    <w:rsid w:val="7FFB5B1E"/>
    <w:rsid w:val="9BF0E629"/>
    <w:rsid w:val="9FE71BAF"/>
    <w:rsid w:val="BADF8314"/>
    <w:rsid w:val="BB7FA356"/>
    <w:rsid w:val="CF9F8445"/>
    <w:rsid w:val="DFF7EDB4"/>
    <w:rsid w:val="EA8B78DB"/>
    <w:rsid w:val="ED2794E6"/>
    <w:rsid w:val="EFFF574A"/>
    <w:rsid w:val="EFFFB7A9"/>
    <w:rsid w:val="F7ED1E43"/>
    <w:rsid w:val="FBDDB13E"/>
    <w:rsid w:val="FE6FB5ED"/>
    <w:rsid w:val="FFBF5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jc w:val="center"/>
      <w:outlineLvl w:val="1"/>
    </w:pPr>
    <w:rPr>
      <w:b/>
      <w:bCs/>
      <w:sz w:val="24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style01"/>
    <w:basedOn w:val="6"/>
    <w:qFormat/>
    <w:uiPriority w:val="0"/>
    <w:rPr>
      <w:rFonts w:ascii="AdvPSSAB-R" w:hAnsi="AdvPSSAB-R" w:eastAsia="AdvPSSAB-R" w:cs="AdvPSSAB-R"/>
      <w:color w:val="000000"/>
      <w:sz w:val="16"/>
      <w:szCs w:val="16"/>
    </w:rPr>
  </w:style>
  <w:style w:type="character" w:customStyle="1" w:styleId="8">
    <w:name w:val="fontstyle21"/>
    <w:basedOn w:val="6"/>
    <w:qFormat/>
    <w:uiPriority w:val="0"/>
    <w:rPr>
      <w:rFonts w:ascii="AdvOT596495f2" w:hAnsi="AdvOT596495f2" w:eastAsia="AdvOT596495f2" w:cs="AdvOT596495f2"/>
      <w:color w:val="000000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Office_5.4.0.7913_F1E327BC-269C-435d-A152-05C5408002CA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2022-10-11T13:43:00Z</dcterms:created>
  <dc:creator>Author</dc:creator>
  <cp:lastModifiedBy>Author</cp:lastModifiedBy>
  <dcterms:modified xsi:type="dcterms:W3CDTF">2023-05-16T16:41:54Z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0095BFA8B2FD6DEE81214463CA3C53F1</vt:lpwstr>
  </property>
</Properties>
</file>