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cs="Times New Roman"/>
          <w:b/>
          <w:bCs/>
          <w:sz w:val="24"/>
        </w:rPr>
      </w:pPr>
      <w:r>
        <w:rPr>
          <w:rFonts w:ascii="Times New Roman" w:hAnsi="Times New Roman" w:cs="Times New Roman"/>
          <w:b/>
          <w:bCs/>
          <w:sz w:val="24"/>
        </w:rPr>
        <w:t>Supplementary Information</w:t>
      </w:r>
    </w:p>
    <w:p>
      <w:pPr>
        <w:spacing w:line="360" w:lineRule="auto"/>
        <w:rPr>
          <w:rFonts w:hint="default" w:ascii="Times New Roman" w:hAnsi="Times New Roman" w:cs="Times New Roman" w:eastAsiaTheme="minorEastAsia"/>
          <w:b/>
          <w:bCs/>
          <w:sz w:val="24"/>
          <w:lang w:val="en-US" w:eastAsia="zh-CN"/>
        </w:rPr>
      </w:pPr>
      <w:r>
        <w:rPr>
          <w:rFonts w:hint="eastAsia" w:ascii="Times New Roman" w:hAnsi="Times New Roman" w:cs="Times New Roman"/>
          <w:sz w:val="24"/>
        </w:rPr>
        <w:t>Additional f</w:t>
      </w:r>
      <w:r>
        <w:rPr>
          <w:rFonts w:hint="eastAsia" w:ascii="Times New Roman" w:hAnsi="Times New Roman" w:cs="Times New Roman"/>
          <w:sz w:val="24"/>
          <w:lang w:val="en-US" w:eastAsia="zh-CN"/>
        </w:rPr>
        <w:t>i</w:t>
      </w:r>
      <w:r>
        <w:rPr>
          <w:rFonts w:hint="eastAsia" w:ascii="Times New Roman" w:hAnsi="Times New Roman" w:cs="Times New Roman"/>
          <w:sz w:val="24"/>
        </w:rPr>
        <w:t xml:space="preserve">le </w:t>
      </w:r>
      <w:r>
        <w:rPr>
          <w:rFonts w:hint="eastAsia" w:ascii="Times New Roman" w:hAnsi="Times New Roman" w:cs="Times New Roman"/>
          <w:sz w:val="24"/>
          <w:lang w:val="en-US" w:eastAsia="zh-CN"/>
        </w:rPr>
        <w:t xml:space="preserve">1: </w:t>
      </w:r>
      <w:r>
        <w:rPr>
          <w:rFonts w:ascii="Times New Roman" w:hAnsi="Times New Roman" w:cs="Times New Roman"/>
          <w:sz w:val="24"/>
        </w:rPr>
        <w:t xml:space="preserve">Supplementary </w:t>
      </w:r>
      <w:r>
        <w:rPr>
          <w:rFonts w:hint="eastAsia" w:ascii="Times New Roman" w:hAnsi="Times New Roman" w:cs="Times New Roman"/>
          <w:sz w:val="24"/>
          <w:lang w:val="en-US" w:eastAsia="zh-CN"/>
        </w:rPr>
        <w:t>m</w:t>
      </w:r>
      <w:r>
        <w:rPr>
          <w:rFonts w:ascii="Times New Roman" w:hAnsi="Times New Roman" w:cs="Times New Roman"/>
          <w:sz w:val="24"/>
        </w:rPr>
        <w:t>ethods</w:t>
      </w:r>
    </w:p>
    <w:p>
      <w:pPr>
        <w:spacing w:line="360" w:lineRule="auto"/>
        <w:rPr>
          <w:rFonts w:ascii="Times New Roman" w:hAnsi="Times New Roman" w:cs="Times New Roman"/>
          <w:b/>
          <w:bCs/>
          <w:sz w:val="24"/>
        </w:rPr>
      </w:pPr>
      <w:r>
        <w:rPr>
          <w:rFonts w:ascii="Times New Roman" w:hAnsi="Times New Roman" w:cs="Times New Roman"/>
          <w:b/>
          <w:bCs/>
          <w:sz w:val="24"/>
        </w:rPr>
        <w:t>TEM</w:t>
      </w:r>
    </w:p>
    <w:p>
      <w:pPr>
        <w:spacing w:line="360" w:lineRule="auto"/>
        <w:rPr>
          <w:rFonts w:ascii="Times New Roman" w:hAnsi="Times New Roman" w:cs="Times New Roman"/>
          <w:sz w:val="24"/>
        </w:rPr>
      </w:pPr>
      <w:r>
        <w:rPr>
          <w:rFonts w:ascii="Times New Roman" w:hAnsi="Times New Roman" w:cs="Times New Roman"/>
          <w:sz w:val="24"/>
        </w:rPr>
        <w:t>Exosome solution (10 µL) was placed on a copper mesh and incubated at room temperature for 1 min. After washing with sterile distilled water, the exosomes were incubated with uranyl acetate solution for 1 min. The sample was then dried for 2 min under incandescent light. The copper mesh was observed and photographed under a transmission electron microscope (H-7650, Hitachi Ltd., Tokyo, Japan).</w:t>
      </w:r>
    </w:p>
    <w:p>
      <w:pPr>
        <w:spacing w:line="360" w:lineRule="auto"/>
        <w:rPr>
          <w:rFonts w:ascii="Times New Roman" w:hAnsi="Times New Roman" w:cs="Times New Roman"/>
          <w:b/>
          <w:bCs/>
          <w:sz w:val="24"/>
        </w:rPr>
      </w:pPr>
      <w:r>
        <w:rPr>
          <w:rFonts w:ascii="Times New Roman" w:hAnsi="Times New Roman" w:cs="Times New Roman"/>
          <w:b/>
          <w:bCs/>
          <w:sz w:val="24"/>
        </w:rPr>
        <w:t>NTA</w:t>
      </w:r>
    </w:p>
    <w:p>
      <w:pPr>
        <w:spacing w:line="360" w:lineRule="auto"/>
        <w:rPr>
          <w:rFonts w:ascii="Times New Roman" w:hAnsi="Times New Roman" w:cs="Times New Roman"/>
          <w:sz w:val="24"/>
        </w:rPr>
      </w:pPr>
      <w:r>
        <w:rPr>
          <w:rFonts w:ascii="Times New Roman" w:hAnsi="Times New Roman" w:cs="Times New Roman"/>
          <w:sz w:val="24"/>
        </w:rPr>
        <w:t>Vesicle suspensions with concentrations between 1 × 10</w:t>
      </w:r>
      <w:r>
        <w:rPr>
          <w:rFonts w:ascii="Times New Roman" w:hAnsi="Times New Roman" w:cs="Times New Roman"/>
          <w:sz w:val="24"/>
          <w:vertAlign w:val="superscript"/>
        </w:rPr>
        <w:t>7</w:t>
      </w:r>
      <w:r>
        <w:rPr>
          <w:rFonts w:ascii="Times New Roman" w:hAnsi="Times New Roman" w:cs="Times New Roman"/>
          <w:sz w:val="24"/>
        </w:rPr>
        <w:t>/mL and 1 × 10</w:t>
      </w:r>
      <w:r>
        <w:rPr>
          <w:rFonts w:ascii="Times New Roman" w:hAnsi="Times New Roman" w:cs="Times New Roman"/>
          <w:sz w:val="24"/>
          <w:vertAlign w:val="superscript"/>
        </w:rPr>
        <w:t>9</w:t>
      </w:r>
      <w:r>
        <w:rPr>
          <w:rFonts w:ascii="Times New Roman" w:hAnsi="Times New Roman" w:cs="Times New Roman"/>
          <w:sz w:val="24"/>
        </w:rPr>
        <w:t>/mL were examined using the ZetaView PMX 110 (Particle Metrix, Meerbusch, Germany) equipped with a 405-nm laser to determine the size and quantity of particles isolated. A 60-s video was taken with a frame rate of 30 frames/s, and particle movement was analyzed using NTA software (ZetaView 8.02.28).</w:t>
      </w:r>
    </w:p>
    <w:p>
      <w:pPr>
        <w:spacing w:line="360" w:lineRule="auto"/>
        <w:rPr>
          <w:rFonts w:ascii="Times New Roman" w:hAnsi="Times New Roman" w:cs="Times New Roman"/>
          <w:b/>
          <w:bCs/>
          <w:sz w:val="24"/>
        </w:rPr>
      </w:pPr>
      <w:r>
        <w:rPr>
          <w:rFonts w:ascii="Times New Roman" w:hAnsi="Times New Roman" w:cs="Times New Roman"/>
          <w:b/>
          <w:bCs/>
          <w:sz w:val="24"/>
        </w:rPr>
        <w:t>Library preparation and sequencing</w:t>
      </w:r>
    </w:p>
    <w:p>
      <w:pPr>
        <w:spacing w:line="360" w:lineRule="auto"/>
        <w:rPr>
          <w:rFonts w:ascii="Times New Roman" w:hAnsi="Times New Roman" w:cs="Times New Roman"/>
          <w:sz w:val="24"/>
        </w:rPr>
      </w:pPr>
      <w:r>
        <w:rPr>
          <w:rFonts w:ascii="Times New Roman" w:hAnsi="Times New Roman" w:cs="Times New Roman"/>
          <w:sz w:val="24"/>
        </w:rPr>
        <w:t xml:space="preserve">For small RNA libraries, 1–500 ng of RNA per sample were used as the input for RNA sample preparation. Sequencing libraries were generated using a QIAseq miRNA Library Kit (Qiagen, Frederick, MD, USA) following the manufacturer’s recommendations, and index codes were added to attribute sequences to each sample. Reverse transcription primers with unique molecular indices (UMIs) were introduced to analyze the quantification of miRNA expression during cDNA synthesis and PCR amplification. Finally, library quality was assessed using the Agilent Bioanalyzer 2100 and qPCR. The clustering of the index-coded samples was performed on the acBot Cluster Generation System using TruSeq PE Cluster Kitv3-cBot-HS (Illumina, San Diego, CA, USA) according to the manufacturer’s instructions. After cluster generation, the library preparations were sequenced on an Illumina </w:t>
      </w:r>
      <w:r>
        <w:rPr>
          <w:rFonts w:ascii="Times New Roman" w:hAnsi="Times New Roman" w:eastAsia="宋体" w:cs="Times New Roman"/>
          <w:color w:val="000000" w:themeColor="text1"/>
          <w:kern w:val="0"/>
          <w:sz w:val="23"/>
          <w:szCs w:val="23"/>
          <w14:textFill>
            <w14:solidFill>
              <w14:schemeClr w14:val="tx1"/>
            </w14:solidFill>
          </w14:textFill>
        </w:rPr>
        <w:t>NovaSeq 6000</w:t>
      </w:r>
      <w:r>
        <w:rPr>
          <w:rFonts w:ascii="Times New Roman" w:hAnsi="Times New Roman" w:cs="Times New Roman"/>
          <w:sz w:val="24"/>
        </w:rPr>
        <w:t xml:space="preserve"> platform, and paired-end reads were generated</w:t>
      </w:r>
      <w:r>
        <w:t xml:space="preserve"> </w:t>
      </w:r>
      <w:r>
        <w:rPr>
          <w:rFonts w:ascii="Times New Roman" w:hAnsi="Times New Roman" w:cs="Times New Roman"/>
          <w:sz w:val="24"/>
        </w:rPr>
        <w:t xml:space="preserve">at EchoBiotech Co. Ltd. </w:t>
      </w:r>
    </w:p>
    <w:p>
      <w:pPr>
        <w:spacing w:line="360" w:lineRule="auto"/>
        <w:rPr>
          <w:rFonts w:ascii="Times New Roman" w:hAnsi="Times New Roman" w:cs="Times New Roman"/>
          <w:sz w:val="24"/>
        </w:rPr>
      </w:pPr>
      <w:r>
        <w:rPr>
          <w:rFonts w:ascii="Times New Roman" w:hAnsi="Times New Roman" w:cs="Times New Roman"/>
          <w:b/>
          <w:bCs/>
          <w:sz w:val="24"/>
        </w:rPr>
        <w:t>miRNA-seq data analysis and differential expression analysis</w:t>
      </w:r>
    </w:p>
    <w:p>
      <w:pPr>
        <w:spacing w:line="360" w:lineRule="auto"/>
        <w:rPr>
          <w:rFonts w:ascii="Times New Roman" w:hAnsi="Times New Roman" w:cs="Times New Roman"/>
          <w:sz w:val="24"/>
        </w:rPr>
      </w:pPr>
      <w:r>
        <w:rPr>
          <w:rFonts w:ascii="Times New Roman" w:hAnsi="Times New Roman" w:cs="Times New Roman"/>
          <w:sz w:val="24"/>
        </w:rPr>
        <w:t xml:space="preserve">Raw data of fastq format were initially processed using in-house perl scripts. In this step, clean data (clean reads) were obtained by removing reads containing adapters, reads containing ploy-N, and low-quality reads from raw data. At the same time, Q20, Q30, the GC content, and the sequence duplication level of the clean data were calculated. All downstream analyses were based on clean data with high quality. </w:t>
      </w:r>
      <w:r>
        <w:rPr>
          <w:rFonts w:hint="eastAsia" w:ascii="Times New Roman" w:hAnsi="Times New Roman" w:cs="Times New Roman"/>
          <w:sz w:val="24"/>
          <w:lang w:val="en-US" w:eastAsia="zh-CN"/>
        </w:rPr>
        <w:t>The Bowtie soft was used to align Clean Reads with Silva database, GtRNAdb database, Rfam database and Repbase database, respectively. Then the repeats and ncRNA, such as ribosomal RNA (rRNA), transfer RNA (tRNA), small nuclear RNA (snRNA), and small nucleolar RNA (snoRNA) were filtered.</w:t>
      </w:r>
      <w:r>
        <w:rPr>
          <w:rFonts w:ascii="Times New Roman" w:hAnsi="Times New Roman" w:cs="Times New Roman"/>
          <w:sz w:val="24"/>
        </w:rPr>
        <w:t xml:space="preserve"> The remaining </w:t>
      </w:r>
      <w:r>
        <w:rPr>
          <w:rFonts w:hint="eastAsia" w:ascii="Times New Roman" w:hAnsi="Times New Roman" w:cs="Times New Roman"/>
          <w:sz w:val="24"/>
          <w:lang w:val="en-US" w:eastAsia="zh-CN"/>
        </w:rPr>
        <w:t xml:space="preserve">clean </w:t>
      </w:r>
      <w:r>
        <w:rPr>
          <w:rFonts w:ascii="Times New Roman" w:hAnsi="Times New Roman" w:cs="Times New Roman"/>
          <w:sz w:val="24"/>
        </w:rPr>
        <w:t>reads were used to detect known and new miRNAs predicted via comparisons with known miRNAs from miRbase and Human Genome (GRCh38), respectively. The expression matrix of quantified UMI counts of miRNAs was normalized to transcripts per million (TPM) and calculated as the relative log expression via the EdgeR package.</w:t>
      </w:r>
    </w:p>
    <w:p>
      <w:pPr>
        <w:spacing w:line="360" w:lineRule="auto"/>
        <w:rPr>
          <w:rFonts w:hint="eastAsia" w:ascii="Times New Roman" w:hAnsi="Times New Roman" w:cs="Times New Roman"/>
          <w:sz w:val="24"/>
        </w:rPr>
      </w:pPr>
      <w:r>
        <w:rPr>
          <w:rFonts w:ascii="Times New Roman" w:hAnsi="Times New Roman" w:eastAsia="宋体" w:cs="Times New Roman"/>
          <w:color w:val="000000" w:themeColor="text1"/>
          <w:kern w:val="0"/>
          <w:sz w:val="24"/>
          <w14:textFill>
            <w14:solidFill>
              <w14:schemeClr w14:val="tx1"/>
            </w14:solidFill>
          </w14:textFill>
        </w:rPr>
        <w:t xml:space="preserve">Differential expression analysis of the two groups was performed using the edgeR package with cutoffs of TPM &gt; 10, P &lt; 0.05, and </w:t>
      </w:r>
      <w:r>
        <w:rPr>
          <w:rFonts w:ascii="Times New Roman" w:hAnsi="Times New Roman" w:cs="Times New Roman"/>
          <w:sz w:val="24"/>
        </w:rPr>
        <w:t>absolute expression fold change &gt; 1.55</w:t>
      </w:r>
      <w:r>
        <w:rPr>
          <w:rFonts w:ascii="Times New Roman" w:hAnsi="Times New Roman" w:eastAsia="宋体" w:cs="Times New Roman"/>
          <w:color w:val="000000" w:themeColor="text1"/>
          <w:kern w:val="0"/>
          <w:sz w:val="24"/>
          <w14:textFill>
            <w14:solidFill>
              <w14:schemeClr w14:val="tx1"/>
            </w14:solidFill>
          </w14:textFill>
        </w:rPr>
        <w:t xml:space="preserve">. </w:t>
      </w:r>
      <w:r>
        <w:rPr>
          <w:rFonts w:ascii="Times New Roman" w:hAnsi="Times New Roman" w:cs="Times New Roman"/>
          <w:sz w:val="24"/>
        </w:rPr>
        <w:t>qRT-PCR was performed to confirm the conformation. Volcano plots were generated to visualize the differentially expressed miRNAs using R package “ggplot2.”</w:t>
      </w:r>
    </w:p>
    <w:p>
      <w:pPr>
        <w:spacing w:line="360" w:lineRule="auto"/>
        <w:rPr>
          <w:rFonts w:hint="eastAsia" w:ascii="Times New Roman" w:hAnsi="Times New Roman" w:cs="Times New Roman"/>
          <w:sz w:val="24"/>
        </w:rPr>
      </w:pPr>
    </w:p>
    <w:p>
      <w:pPr>
        <w:spacing w:line="360" w:lineRule="auto"/>
        <w:rPr>
          <w:rFonts w:ascii="Times New Roman" w:hAnsi="Times New Roman" w:cs="Times New Roman"/>
          <w:sz w:val="24"/>
        </w:rPr>
      </w:pPr>
      <w:r>
        <w:rPr>
          <w:rFonts w:hint="eastAsia" w:ascii="Times New Roman" w:hAnsi="Times New Roman" w:cs="Times New Roman"/>
          <w:sz w:val="24"/>
        </w:rPr>
        <w:t>Additional f</w:t>
      </w:r>
      <w:r>
        <w:rPr>
          <w:rFonts w:hint="eastAsia" w:ascii="Times New Roman" w:hAnsi="Times New Roman" w:cs="Times New Roman"/>
          <w:sz w:val="24"/>
          <w:lang w:val="en-US" w:eastAsia="zh-CN"/>
        </w:rPr>
        <w:t>i</w:t>
      </w:r>
      <w:r>
        <w:rPr>
          <w:rFonts w:hint="eastAsia" w:ascii="Times New Roman" w:hAnsi="Times New Roman" w:cs="Times New Roman"/>
          <w:sz w:val="24"/>
        </w:rPr>
        <w:t xml:space="preserve">le </w:t>
      </w:r>
      <w:r>
        <w:rPr>
          <w:rFonts w:hint="eastAsia" w:ascii="Times New Roman" w:hAnsi="Times New Roman" w:cs="Times New Roman"/>
          <w:sz w:val="24"/>
          <w:lang w:val="en-US" w:eastAsia="zh-CN"/>
        </w:rPr>
        <w:t>2</w:t>
      </w:r>
      <w:r>
        <w:rPr>
          <w:rFonts w:hint="eastAsia" w:ascii="Times New Roman" w:hAnsi="Times New Roman" w:cs="Times New Roman"/>
          <w:sz w:val="24"/>
        </w:rPr>
        <w:t xml:space="preserve">: </w:t>
      </w:r>
    </w:p>
    <w:p>
      <w:pPr>
        <w:spacing w:line="360" w:lineRule="auto"/>
        <w:rPr>
          <w:rFonts w:ascii="Times New Roman" w:hAnsi="Times New Roman" w:cs="Times New Roman"/>
          <w:sz w:val="24"/>
        </w:rPr>
      </w:pPr>
      <w:r>
        <w:rPr>
          <w:rFonts w:ascii="Times New Roman" w:hAnsi="Times New Roman" w:cs="Times New Roman"/>
          <w:sz w:val="24"/>
        </w:rPr>
        <w:t>Table S1. The primer sequences used for qRT-PCR</w:t>
      </w:r>
    </w:p>
    <w:tbl>
      <w:tblPr>
        <w:tblStyle w:val="3"/>
        <w:tblpPr w:leftFromText="180" w:rightFromText="180" w:vertAnchor="text" w:horzAnchor="page" w:tblpXSpec="center" w:tblpY="103"/>
        <w:tblOverlap w:val="never"/>
        <w:tblW w:w="10333"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03"/>
        <w:gridCol w:w="833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003" w:type="dxa"/>
            <w:tcBorders>
              <w:top w:val="single" w:color="auto" w:sz="4" w:space="0"/>
              <w:bottom w:val="single" w:color="auto" w:sz="4" w:space="0"/>
            </w:tcBorders>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Primers</w:t>
            </w:r>
          </w:p>
        </w:tc>
        <w:tc>
          <w:tcPr>
            <w:tcW w:w="8330" w:type="dxa"/>
            <w:tcBorders>
              <w:top w:val="single" w:color="auto" w:sz="4" w:space="0"/>
              <w:bottom w:val="single" w:color="auto" w:sz="4" w:space="0"/>
            </w:tcBorders>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Sequences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003" w:type="dxa"/>
            <w:tcBorders>
              <w:top w:val="single" w:color="auto" w:sz="4" w:space="0"/>
            </w:tcBorders>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qPCR-TYR</w:t>
            </w:r>
          </w:p>
        </w:tc>
        <w:tc>
          <w:tcPr>
            <w:tcW w:w="8330" w:type="dxa"/>
            <w:tcBorders>
              <w:top w:val="single" w:color="auto" w:sz="4" w:space="0"/>
            </w:tcBorders>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GTGCAGGGTCCGAGGT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003"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U6-RT</w:t>
            </w:r>
          </w:p>
        </w:tc>
        <w:tc>
          <w:tcPr>
            <w:tcW w:w="8330"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AACGCTTCACGAATTTGCGT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003"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U6-S</w:t>
            </w:r>
          </w:p>
        </w:tc>
        <w:tc>
          <w:tcPr>
            <w:tcW w:w="8330"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CTCGCTTCGGCAGCACA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003"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U6-A</w:t>
            </w:r>
          </w:p>
        </w:tc>
        <w:tc>
          <w:tcPr>
            <w:tcW w:w="8330"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AACGCTTCACGAATTTGCGT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003"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U6 probe</w:t>
            </w:r>
          </w:p>
        </w:tc>
        <w:tc>
          <w:tcPr>
            <w:tcW w:w="8330"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AGAAGATTAGCATGGCCCCTGCGCA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003"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miR-200c-3p-RT</w:t>
            </w:r>
          </w:p>
        </w:tc>
        <w:tc>
          <w:tcPr>
            <w:tcW w:w="8330" w:type="dxa"/>
            <w:shd w:val="clear" w:color="auto" w:fill="auto"/>
            <w:noWrap/>
            <w:vAlign w:val="center"/>
          </w:tcPr>
          <w:p>
            <w:pPr>
              <w:rPr>
                <w:rFonts w:ascii="Times New Roman" w:hAnsi="Times New Roman" w:cs="Times New Roman"/>
                <w:sz w:val="24"/>
              </w:rPr>
            </w:pPr>
            <w:r>
              <w:rPr>
                <w:rFonts w:ascii="Times New Roman" w:hAnsi="Times New Roman" w:cs="Times New Roman"/>
                <w:sz w:val="24"/>
              </w:rPr>
              <w:t>GTCGTATCCAGTGCAGGGTCCGAGGTATTCGCACTGGATACGACTCCATC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003"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miR-200c-3p-F1</w:t>
            </w:r>
          </w:p>
        </w:tc>
        <w:tc>
          <w:tcPr>
            <w:tcW w:w="8330" w:type="dxa"/>
            <w:shd w:val="clear" w:color="auto" w:fill="auto"/>
            <w:noWrap/>
            <w:vAlign w:val="center"/>
          </w:tcPr>
          <w:p>
            <w:pPr>
              <w:rPr>
                <w:rFonts w:ascii="Times New Roman" w:hAnsi="Times New Roman" w:cs="Times New Roman"/>
                <w:sz w:val="24"/>
              </w:rPr>
            </w:pPr>
            <w:r>
              <w:rPr>
                <w:rFonts w:ascii="Times New Roman" w:hAnsi="Times New Roman" w:cs="Times New Roman"/>
                <w:sz w:val="24"/>
              </w:rPr>
              <w:t>ACGCTAATACTGCCGGGTAAT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003"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miR-200c-3p-P</w:t>
            </w:r>
          </w:p>
        </w:tc>
        <w:tc>
          <w:tcPr>
            <w:tcW w:w="8330" w:type="dxa"/>
            <w:shd w:val="clear" w:color="auto" w:fill="auto"/>
            <w:noWrap/>
            <w:vAlign w:val="center"/>
          </w:tcPr>
          <w:p>
            <w:pPr>
              <w:rPr>
                <w:rFonts w:ascii="Times New Roman" w:hAnsi="Times New Roman" w:cs="Times New Roman"/>
                <w:sz w:val="24"/>
              </w:rPr>
            </w:pPr>
            <w:r>
              <w:rPr>
                <w:rFonts w:ascii="Times New Roman" w:hAnsi="Times New Roman" w:cs="Times New Roman"/>
                <w:sz w:val="24"/>
              </w:rPr>
              <w:t xml:space="preserve">TTCGCACTGGATACGACTCCATC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003"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miR-141-3p-RT</w:t>
            </w:r>
          </w:p>
        </w:tc>
        <w:tc>
          <w:tcPr>
            <w:tcW w:w="8330"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GTCGTATCCAGTGCAGGGTCCGAGGTATTCGCACTGGATACGACCCATCT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003"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miR-141-3p -F2</w:t>
            </w:r>
          </w:p>
        </w:tc>
        <w:tc>
          <w:tcPr>
            <w:tcW w:w="8330"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 xml:space="preserve">TCGCTAACACTGTCTGGTAAAG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003"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miR-141-3p -P</w:t>
            </w:r>
          </w:p>
        </w:tc>
        <w:tc>
          <w:tcPr>
            <w:tcW w:w="8330" w:type="dxa"/>
            <w:shd w:val="clear" w:color="auto" w:fill="auto"/>
            <w:noWrap/>
            <w:vAlign w:val="center"/>
          </w:tcPr>
          <w:p>
            <w:pPr>
              <w:widowControl/>
              <w:spacing w:line="360" w:lineRule="auto"/>
              <w:jc w:val="left"/>
              <w:rPr>
                <w:rFonts w:ascii="Times New Roman" w:hAnsi="Times New Roman" w:cs="Times New Roman"/>
                <w:sz w:val="24"/>
              </w:rPr>
            </w:pPr>
            <w:r>
              <w:rPr>
                <w:rFonts w:ascii="Times New Roman" w:hAnsi="Times New Roman" w:cs="Times New Roman"/>
                <w:sz w:val="24"/>
              </w:rPr>
              <w:t xml:space="preserve">TTCGCACTGGATACGACCCATCT </w:t>
            </w:r>
          </w:p>
        </w:tc>
      </w:tr>
    </w:tbl>
    <w:p>
      <w:r>
        <w:drawing>
          <wp:inline distT="0" distB="0" distL="114300" distR="114300">
            <wp:extent cx="2479675" cy="1599565"/>
            <wp:effectExtent l="0" t="0" r="15875" b="635"/>
            <wp:docPr id="15" name="内容占位符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 name="内容占位符 3"/>
                    <pic:cNvPicPr>
                      <a:picLocks noGrp="1"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79675" cy="1599565"/>
                    </a:xfrm>
                    <a:prstGeom prst="rect">
                      <a:avLst/>
                    </a:prstGeom>
                  </pic:spPr>
                </pic:pic>
              </a:graphicData>
            </a:graphic>
          </wp:inline>
        </w:drawing>
      </w:r>
      <w:r>
        <w:drawing>
          <wp:inline distT="0" distB="0" distL="114300" distR="114300">
            <wp:extent cx="2525395" cy="1623060"/>
            <wp:effectExtent l="0" t="0" r="8255" b="15240"/>
            <wp:docPr id="26" name="图片 2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图片1"/>
                    <pic:cNvPicPr>
                      <a:picLocks noChangeAspect="1"/>
                    </pic:cNvPicPr>
                  </pic:nvPicPr>
                  <pic:blipFill>
                    <a:blip r:embed="rId5" cstate="print"/>
                    <a:stretch>
                      <a:fillRect/>
                    </a:stretch>
                  </pic:blipFill>
                  <pic:spPr>
                    <a:xfrm>
                      <a:off x="0" y="0"/>
                      <a:ext cx="2525395" cy="1623060"/>
                    </a:xfrm>
                    <a:prstGeom prst="rect">
                      <a:avLst/>
                    </a:prstGeom>
                  </pic:spPr>
                </pic:pic>
              </a:graphicData>
            </a:graphic>
          </wp:inline>
        </w:drawing>
      </w:r>
    </w:p>
    <w:p>
      <w:pPr>
        <w:spacing w:line="360" w:lineRule="auto"/>
        <w:rPr>
          <w:rFonts w:ascii="Times New Roman" w:hAnsi="Times New Roman" w:cs="Times New Roman"/>
          <w:sz w:val="24"/>
        </w:rPr>
      </w:pPr>
      <w:r>
        <w:rPr>
          <w:rFonts w:ascii="Times New Roman" w:hAnsi="Times New Roman" w:cs="Times New Roman"/>
          <w:sz w:val="24"/>
        </w:rPr>
        <w:t xml:space="preserve">Figure S1. Characterization of the CSF exosomes. (A) TEM of the preparation from patients’ CSF revealing small vesicles of 100 nm (scale bars, 500 nm). (B) Size distribution analysis of CSF exosomes by NTA. </w:t>
      </w: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r>
        <w:rPr>
          <w:rFonts w:ascii="Times New Roman" w:hAnsi="Times New Roman" w:cs="Times New Roman"/>
          <w:sz w:val="24"/>
        </w:rPr>
        <w:t>Table S2. Quality control metrics of CSF exosomal miRNA sequencing libraries</w:t>
      </w:r>
    </w:p>
    <w:tbl>
      <w:tblPr>
        <w:tblStyle w:val="3"/>
        <w:tblW w:w="8213" w:type="dxa"/>
        <w:tblInd w:w="0" w:type="dxa"/>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autofit"/>
        <w:tblCellMar>
          <w:top w:w="15" w:type="dxa"/>
          <w:left w:w="15" w:type="dxa"/>
          <w:bottom w:w="15" w:type="dxa"/>
          <w:right w:w="15" w:type="dxa"/>
        </w:tblCellMar>
      </w:tblPr>
      <w:tblGrid>
        <w:gridCol w:w="1709"/>
        <w:gridCol w:w="1559"/>
        <w:gridCol w:w="1709"/>
        <w:gridCol w:w="2094"/>
        <w:gridCol w:w="1142"/>
      </w:tblGrid>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tblHeader/>
        </w:trPr>
        <w:tc>
          <w:tcPr>
            <w:tcW w:w="0" w:type="auto"/>
            <w:tcBorders>
              <w:top w:val="single" w:color="auto" w:sz="4" w:space="0"/>
              <w:left w:val="single" w:color="DDDDDD" w:sz="6" w:space="0"/>
              <w:bottom w:val="single" w:color="auto" w:sz="4" w:space="0"/>
              <w:right w:val="single" w:color="DDDDDD" w:sz="6" w:space="0"/>
            </w:tcBorders>
            <w:shd w:val="clear" w:color="auto" w:fill="auto"/>
            <w:tcMar>
              <w:top w:w="120" w:type="dxa"/>
              <w:left w:w="120" w:type="dxa"/>
              <w:bottom w:w="120" w:type="dxa"/>
              <w:right w:w="120" w:type="dxa"/>
            </w:tcMar>
            <w:vAlign w:val="bottom"/>
          </w:tcPr>
          <w:p>
            <w:pPr>
              <w:widowControl/>
              <w:jc w:val="center"/>
              <w:textAlignment w:val="center"/>
              <w:rPr>
                <w:rFonts w:ascii="Times New Roman" w:hAnsi="Times New Roman" w:cs="Times New Roman"/>
                <w:sz w:val="24"/>
              </w:rPr>
            </w:pPr>
            <w:r>
              <w:rPr>
                <w:rFonts w:ascii="Times New Roman" w:hAnsi="Times New Roman" w:cs="Times New Roman"/>
                <w:sz w:val="24"/>
              </w:rPr>
              <w:t>Samples ID</w:t>
            </w:r>
          </w:p>
        </w:tc>
        <w:tc>
          <w:tcPr>
            <w:tcW w:w="0" w:type="auto"/>
            <w:tcBorders>
              <w:top w:val="single" w:color="auto" w:sz="4" w:space="0"/>
              <w:left w:val="single" w:color="DDDDDD" w:sz="6" w:space="0"/>
              <w:bottom w:val="single" w:color="auto" w:sz="4" w:space="0"/>
              <w:right w:val="single" w:color="DDDDDD" w:sz="6" w:space="0"/>
            </w:tcBorders>
            <w:shd w:val="clear" w:color="auto" w:fill="auto"/>
            <w:tcMar>
              <w:top w:w="120" w:type="dxa"/>
              <w:left w:w="120" w:type="dxa"/>
              <w:bottom w:w="120" w:type="dxa"/>
              <w:right w:w="120" w:type="dxa"/>
            </w:tcMar>
            <w:vAlign w:val="bottom"/>
          </w:tcPr>
          <w:p>
            <w:pPr>
              <w:widowControl/>
              <w:jc w:val="center"/>
              <w:textAlignment w:val="center"/>
              <w:rPr>
                <w:rFonts w:ascii="Times New Roman" w:hAnsi="Times New Roman" w:cs="Times New Roman"/>
                <w:sz w:val="24"/>
              </w:rPr>
            </w:pPr>
            <w:r>
              <w:rPr>
                <w:rFonts w:ascii="Times New Roman" w:hAnsi="Times New Roman" w:cs="Times New Roman"/>
                <w:sz w:val="24"/>
              </w:rPr>
              <w:t>Raw reads</w:t>
            </w:r>
          </w:p>
        </w:tc>
        <w:tc>
          <w:tcPr>
            <w:tcW w:w="0" w:type="auto"/>
            <w:tcBorders>
              <w:top w:val="single" w:color="auto" w:sz="4" w:space="0"/>
              <w:left w:val="single" w:color="DDDDDD" w:sz="6" w:space="0"/>
              <w:bottom w:val="single" w:color="auto" w:sz="4" w:space="0"/>
              <w:right w:val="single" w:color="DDDDDD" w:sz="6" w:space="0"/>
            </w:tcBorders>
            <w:shd w:val="clear" w:color="auto" w:fill="auto"/>
            <w:tcMar>
              <w:top w:w="120" w:type="dxa"/>
              <w:left w:w="120" w:type="dxa"/>
              <w:bottom w:w="120" w:type="dxa"/>
              <w:right w:w="120" w:type="dxa"/>
            </w:tcMar>
            <w:vAlign w:val="bottom"/>
          </w:tcPr>
          <w:p>
            <w:pPr>
              <w:widowControl/>
              <w:jc w:val="center"/>
              <w:textAlignment w:val="center"/>
              <w:rPr>
                <w:rFonts w:ascii="Times New Roman" w:hAnsi="Times New Roman" w:cs="Times New Roman"/>
                <w:sz w:val="24"/>
              </w:rPr>
            </w:pPr>
            <w:r>
              <w:rPr>
                <w:rFonts w:ascii="Times New Roman" w:hAnsi="Times New Roman" w:cs="Times New Roman"/>
                <w:sz w:val="24"/>
              </w:rPr>
              <w:t>Clean reads</w:t>
            </w:r>
          </w:p>
        </w:tc>
        <w:tc>
          <w:tcPr>
            <w:tcW w:w="2094" w:type="dxa"/>
            <w:tcBorders>
              <w:top w:val="single" w:color="auto" w:sz="4" w:space="0"/>
              <w:left w:val="single" w:color="DDDDDD" w:sz="6" w:space="0"/>
              <w:bottom w:val="single" w:color="auto" w:sz="4" w:space="0"/>
              <w:right w:val="single" w:color="DDDDDD" w:sz="6" w:space="0"/>
            </w:tcBorders>
            <w:shd w:val="clear" w:color="auto" w:fill="auto"/>
            <w:tcMar>
              <w:top w:w="120" w:type="dxa"/>
              <w:left w:w="120" w:type="dxa"/>
              <w:bottom w:w="120" w:type="dxa"/>
              <w:right w:w="120" w:type="dxa"/>
            </w:tcMar>
            <w:vAlign w:val="bottom"/>
          </w:tcPr>
          <w:p>
            <w:pPr>
              <w:widowControl/>
              <w:jc w:val="center"/>
              <w:textAlignment w:val="center"/>
              <w:rPr>
                <w:rFonts w:ascii="Times New Roman" w:hAnsi="Times New Roman" w:cs="Times New Roman"/>
                <w:sz w:val="24"/>
              </w:rPr>
            </w:pPr>
            <w:r>
              <w:rPr>
                <w:rFonts w:ascii="Times New Roman" w:hAnsi="Times New Roman" w:cs="Times New Roman"/>
                <w:sz w:val="24"/>
              </w:rPr>
              <w:t>≥ Q30 bases (%)</w:t>
            </w:r>
          </w:p>
        </w:tc>
        <w:tc>
          <w:tcPr>
            <w:tcW w:w="1142" w:type="dxa"/>
            <w:tcBorders>
              <w:top w:val="single" w:color="auto" w:sz="4" w:space="0"/>
              <w:left w:val="single" w:color="DDDDDD" w:sz="6" w:space="0"/>
              <w:bottom w:val="single" w:color="auto" w:sz="4" w:space="0"/>
              <w:right w:val="single" w:color="DDDDDD" w:sz="6" w:space="0"/>
            </w:tcBorders>
            <w:shd w:val="clear" w:color="auto" w:fill="auto"/>
            <w:tcMar>
              <w:top w:w="120" w:type="dxa"/>
              <w:left w:w="120" w:type="dxa"/>
              <w:bottom w:w="120" w:type="dxa"/>
              <w:right w:w="120" w:type="dxa"/>
            </w:tcMar>
            <w:vAlign w:val="bottom"/>
          </w:tcPr>
          <w:p>
            <w:pPr>
              <w:widowControl/>
              <w:jc w:val="center"/>
              <w:textAlignment w:val="center"/>
              <w:rPr>
                <w:rFonts w:ascii="Times New Roman" w:hAnsi="Times New Roman" w:cs="Times New Roman"/>
                <w:sz w:val="24"/>
              </w:rPr>
            </w:pPr>
            <w:r>
              <w:rPr>
                <w:rFonts w:ascii="Times New Roman" w:hAnsi="Times New Roman" w:cs="Times New Roman"/>
                <w:sz w:val="24"/>
              </w:rPr>
              <w:t>miRNAs</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auto" w:sz="4"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ID1</w:t>
            </w:r>
          </w:p>
        </w:tc>
        <w:tc>
          <w:tcPr>
            <w:tcW w:w="0" w:type="auto"/>
            <w:tcBorders>
              <w:top w:val="single" w:color="auto" w:sz="4"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25566312</w:t>
            </w:r>
          </w:p>
        </w:tc>
        <w:tc>
          <w:tcPr>
            <w:tcW w:w="0" w:type="auto"/>
            <w:tcBorders>
              <w:top w:val="single" w:color="auto" w:sz="4"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7880787</w:t>
            </w:r>
          </w:p>
        </w:tc>
        <w:tc>
          <w:tcPr>
            <w:tcW w:w="2094" w:type="dxa"/>
            <w:tcBorders>
              <w:top w:val="single" w:color="auto" w:sz="4"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96.69</w:t>
            </w:r>
          </w:p>
        </w:tc>
        <w:tc>
          <w:tcPr>
            <w:tcW w:w="1142" w:type="dxa"/>
            <w:tcBorders>
              <w:top w:val="single" w:color="auto" w:sz="4"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324</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ID2</w:t>
            </w:r>
          </w:p>
        </w:tc>
        <w:tc>
          <w:tcPr>
            <w:tcW w:w="0" w:type="auto"/>
            <w:tcBorders>
              <w:top w:val="single" w:color="DDDDDD" w:sz="6"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22446096</w:t>
            </w:r>
          </w:p>
        </w:tc>
        <w:tc>
          <w:tcPr>
            <w:tcW w:w="0" w:type="auto"/>
            <w:tcBorders>
              <w:top w:val="single" w:color="DDDDDD" w:sz="6"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8440224</w:t>
            </w:r>
          </w:p>
        </w:tc>
        <w:tc>
          <w:tcPr>
            <w:tcW w:w="2094" w:type="dxa"/>
            <w:tcBorders>
              <w:top w:val="single" w:color="DDDDDD" w:sz="6"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96.89</w:t>
            </w:r>
          </w:p>
        </w:tc>
        <w:tc>
          <w:tcPr>
            <w:tcW w:w="1142" w:type="dxa"/>
            <w:tcBorders>
              <w:top w:val="single" w:color="DDDDDD" w:sz="6"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387</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AT1</w:t>
            </w:r>
          </w:p>
        </w:tc>
        <w:tc>
          <w:tcPr>
            <w:tcW w:w="0" w:type="auto"/>
            <w:tcBorders>
              <w:top w:val="single" w:color="DDDDDD" w:sz="6"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20232409</w:t>
            </w:r>
          </w:p>
        </w:tc>
        <w:tc>
          <w:tcPr>
            <w:tcW w:w="0" w:type="auto"/>
            <w:tcBorders>
              <w:top w:val="single" w:color="DDDDDD" w:sz="6"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5257456</w:t>
            </w:r>
          </w:p>
        </w:tc>
        <w:tc>
          <w:tcPr>
            <w:tcW w:w="2094" w:type="dxa"/>
            <w:tcBorders>
              <w:top w:val="single" w:color="DDDDDD" w:sz="6"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96.72</w:t>
            </w:r>
          </w:p>
        </w:tc>
        <w:tc>
          <w:tcPr>
            <w:tcW w:w="1142" w:type="dxa"/>
            <w:tcBorders>
              <w:top w:val="single" w:color="DDDDDD" w:sz="6"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325</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DDDDDD" w:sz="6" w:space="0"/>
              <w:left w:val="single" w:color="DDDDDD" w:sz="6" w:space="0"/>
              <w:bottom w:val="single" w:color="auto" w:sz="4"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AT2</w:t>
            </w:r>
          </w:p>
        </w:tc>
        <w:tc>
          <w:tcPr>
            <w:tcW w:w="0" w:type="auto"/>
            <w:tcBorders>
              <w:top w:val="single" w:color="DDDDDD" w:sz="6" w:space="0"/>
              <w:left w:val="single" w:color="DDDDDD" w:sz="6" w:space="0"/>
              <w:bottom w:val="single" w:color="auto" w:sz="4"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21620360</w:t>
            </w:r>
          </w:p>
        </w:tc>
        <w:tc>
          <w:tcPr>
            <w:tcW w:w="0" w:type="auto"/>
            <w:tcBorders>
              <w:top w:val="single" w:color="DDDDDD" w:sz="6" w:space="0"/>
              <w:left w:val="single" w:color="DDDDDD" w:sz="6" w:space="0"/>
              <w:bottom w:val="single" w:color="auto" w:sz="4"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6453587</w:t>
            </w:r>
          </w:p>
        </w:tc>
        <w:tc>
          <w:tcPr>
            <w:tcW w:w="2094" w:type="dxa"/>
            <w:tcBorders>
              <w:top w:val="single" w:color="DDDDDD" w:sz="6" w:space="0"/>
              <w:left w:val="single" w:color="DDDDDD" w:sz="6" w:space="0"/>
              <w:bottom w:val="single" w:color="auto" w:sz="4"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96.59</w:t>
            </w:r>
          </w:p>
        </w:tc>
        <w:tc>
          <w:tcPr>
            <w:tcW w:w="1142" w:type="dxa"/>
            <w:tcBorders>
              <w:top w:val="single" w:color="DDDDDD" w:sz="6" w:space="0"/>
              <w:left w:val="single" w:color="DDDDDD" w:sz="6" w:space="0"/>
              <w:bottom w:val="single" w:color="auto" w:sz="4" w:space="0"/>
              <w:right w:val="single" w:color="DDDDDD" w:sz="6" w:space="0"/>
            </w:tcBorders>
            <w:shd w:val="clear" w:color="auto" w:fill="auto"/>
            <w:tcMar>
              <w:top w:w="120" w:type="dxa"/>
              <w:left w:w="120" w:type="dxa"/>
              <w:bottom w:w="120" w:type="dxa"/>
              <w:right w:w="120" w:type="dxa"/>
            </w:tcMar>
          </w:tcPr>
          <w:p>
            <w:pPr>
              <w:widowControl/>
              <w:jc w:val="center"/>
              <w:textAlignment w:val="center"/>
              <w:rPr>
                <w:rFonts w:ascii="Times New Roman" w:hAnsi="Times New Roman" w:cs="Times New Roman"/>
                <w:sz w:val="24"/>
              </w:rPr>
            </w:pPr>
            <w:r>
              <w:rPr>
                <w:rFonts w:ascii="Times New Roman" w:hAnsi="Times New Roman" w:cs="Times New Roman"/>
                <w:sz w:val="24"/>
              </w:rPr>
              <w:t>311</w:t>
            </w:r>
          </w:p>
        </w:tc>
      </w:tr>
    </w:tbl>
    <w:p>
      <w:pPr>
        <w:spacing w:line="360" w:lineRule="auto"/>
        <w:rPr>
          <w:rFonts w:ascii="Times New Roman" w:hAnsi="Times New Roman" w:cs="Times New Roman"/>
          <w:sz w:val="24"/>
        </w:rPr>
      </w:pPr>
      <w:r>
        <w:rPr>
          <w:rFonts w:ascii="Times New Roman" w:hAnsi="Times New Roman" w:cs="Times New Roman"/>
          <w:sz w:val="24"/>
        </w:rPr>
        <w:t>ID, initial diagnosis; AT, after treatment</w:t>
      </w: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r>
        <w:rPr>
          <w:rFonts w:ascii="Times New Roman" w:hAnsi="Times New Roman" w:cs="Times New Roman"/>
          <w:sz w:val="24"/>
        </w:rPr>
        <w:t>Table S3. Nine miRNAs differentially expressed between patients initially diagnosed with PCNSL and previously treated patients (P &lt; 0.01)</w:t>
      </w:r>
    </w:p>
    <w:tbl>
      <w:tblPr>
        <w:tblStyle w:val="3"/>
        <w:tblpPr w:leftFromText="180" w:rightFromText="180" w:vertAnchor="text" w:horzAnchor="page" w:tblpX="149" w:tblpY="242"/>
        <w:tblOverlap w:val="never"/>
        <w:tblW w:w="11698" w:type="dxa"/>
        <w:tblInd w:w="0" w:type="dxa"/>
        <w:tblLayout w:type="fixed"/>
        <w:tblCellMar>
          <w:top w:w="0" w:type="dxa"/>
          <w:left w:w="108" w:type="dxa"/>
          <w:bottom w:w="0" w:type="dxa"/>
          <w:right w:w="108" w:type="dxa"/>
        </w:tblCellMar>
      </w:tblPr>
      <w:tblGrid>
        <w:gridCol w:w="2689"/>
        <w:gridCol w:w="1707"/>
        <w:gridCol w:w="1459"/>
        <w:gridCol w:w="1459"/>
        <w:gridCol w:w="1894"/>
        <w:gridCol w:w="1346"/>
        <w:gridCol w:w="1144"/>
      </w:tblGrid>
      <w:tr>
        <w:tblPrEx>
          <w:tblCellMar>
            <w:top w:w="0" w:type="dxa"/>
            <w:left w:w="108" w:type="dxa"/>
            <w:bottom w:w="0" w:type="dxa"/>
            <w:right w:w="108" w:type="dxa"/>
          </w:tblCellMar>
        </w:tblPrEx>
        <w:trPr>
          <w:trHeight w:val="513" w:hRule="atLeast"/>
        </w:trPr>
        <w:tc>
          <w:tcPr>
            <w:tcW w:w="2689" w:type="dxa"/>
            <w:vMerge w:val="restart"/>
            <w:tcBorders>
              <w:top w:val="single" w:color="auto" w:sz="4" w:space="0"/>
              <w:left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miRNA</w:t>
            </w:r>
          </w:p>
        </w:tc>
        <w:tc>
          <w:tcPr>
            <w:tcW w:w="6519" w:type="dxa"/>
            <w:gridSpan w:val="4"/>
            <w:tcBorders>
              <w:top w:val="single" w:color="auto" w:sz="4" w:space="0"/>
              <w:left w:val="nil"/>
              <w:bottom w:val="single" w:color="auto" w:sz="4" w:space="0"/>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Transcripts Per Kilobase Million</w:t>
            </w:r>
          </w:p>
        </w:tc>
        <w:tc>
          <w:tcPr>
            <w:tcW w:w="1346" w:type="dxa"/>
            <w:vMerge w:val="restart"/>
            <w:tcBorders>
              <w:top w:val="single" w:color="auto" w:sz="4" w:space="0"/>
              <w:left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Log2FC</w:t>
            </w:r>
          </w:p>
        </w:tc>
        <w:tc>
          <w:tcPr>
            <w:tcW w:w="1144" w:type="dxa"/>
            <w:vMerge w:val="restart"/>
            <w:tcBorders>
              <w:top w:val="single" w:color="auto" w:sz="4" w:space="0"/>
              <w:left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P value</w:t>
            </w:r>
          </w:p>
        </w:tc>
      </w:tr>
      <w:tr>
        <w:tblPrEx>
          <w:tblCellMar>
            <w:top w:w="0" w:type="dxa"/>
            <w:left w:w="108" w:type="dxa"/>
            <w:bottom w:w="0" w:type="dxa"/>
            <w:right w:w="108" w:type="dxa"/>
          </w:tblCellMar>
        </w:tblPrEx>
        <w:trPr>
          <w:trHeight w:val="513" w:hRule="atLeast"/>
        </w:trPr>
        <w:tc>
          <w:tcPr>
            <w:tcW w:w="2689" w:type="dxa"/>
            <w:vMerge w:val="continue"/>
            <w:tcBorders>
              <w:left w:val="nil"/>
              <w:bottom w:val="single" w:color="auto" w:sz="4" w:space="0"/>
              <w:right w:val="nil"/>
            </w:tcBorders>
            <w:shd w:val="clear" w:color="auto" w:fill="auto"/>
            <w:noWrap/>
            <w:vAlign w:val="center"/>
          </w:tcPr>
          <w:p>
            <w:pPr>
              <w:widowControl/>
              <w:jc w:val="center"/>
              <w:textAlignment w:val="center"/>
              <w:rPr>
                <w:rFonts w:ascii="Times New Roman" w:hAnsi="Times New Roman" w:cs="Times New Roman"/>
                <w:sz w:val="24"/>
              </w:rPr>
            </w:pPr>
          </w:p>
        </w:tc>
        <w:tc>
          <w:tcPr>
            <w:tcW w:w="1707" w:type="dxa"/>
            <w:tcBorders>
              <w:top w:val="single" w:color="auto" w:sz="4" w:space="0"/>
              <w:left w:val="nil"/>
              <w:bottom w:val="single" w:color="auto" w:sz="4" w:space="0"/>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ID1</w:t>
            </w:r>
          </w:p>
        </w:tc>
        <w:tc>
          <w:tcPr>
            <w:tcW w:w="1459" w:type="dxa"/>
            <w:tcBorders>
              <w:top w:val="single" w:color="auto" w:sz="4" w:space="0"/>
              <w:left w:val="nil"/>
              <w:bottom w:val="single" w:color="auto" w:sz="4" w:space="0"/>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ID2</w:t>
            </w:r>
          </w:p>
        </w:tc>
        <w:tc>
          <w:tcPr>
            <w:tcW w:w="1459" w:type="dxa"/>
            <w:tcBorders>
              <w:top w:val="single" w:color="auto" w:sz="4" w:space="0"/>
              <w:left w:val="nil"/>
              <w:bottom w:val="single" w:color="auto" w:sz="4" w:space="0"/>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AT1</w:t>
            </w:r>
          </w:p>
        </w:tc>
        <w:tc>
          <w:tcPr>
            <w:tcW w:w="1894" w:type="dxa"/>
            <w:tcBorders>
              <w:top w:val="single" w:color="auto" w:sz="4" w:space="0"/>
              <w:left w:val="nil"/>
              <w:bottom w:val="single" w:color="auto" w:sz="4" w:space="0"/>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AT2</w:t>
            </w:r>
          </w:p>
        </w:tc>
        <w:tc>
          <w:tcPr>
            <w:tcW w:w="1346" w:type="dxa"/>
            <w:vMerge w:val="continue"/>
            <w:tcBorders>
              <w:left w:val="nil"/>
              <w:bottom w:val="single" w:color="auto" w:sz="4" w:space="0"/>
              <w:right w:val="nil"/>
            </w:tcBorders>
            <w:shd w:val="clear" w:color="auto" w:fill="auto"/>
            <w:noWrap/>
            <w:vAlign w:val="center"/>
          </w:tcPr>
          <w:p>
            <w:pPr>
              <w:widowControl/>
              <w:jc w:val="center"/>
              <w:textAlignment w:val="center"/>
              <w:rPr>
                <w:rFonts w:ascii="Times New Roman" w:hAnsi="Times New Roman" w:cs="Times New Roman"/>
                <w:sz w:val="24"/>
              </w:rPr>
            </w:pPr>
          </w:p>
        </w:tc>
        <w:tc>
          <w:tcPr>
            <w:tcW w:w="1144" w:type="dxa"/>
            <w:vMerge w:val="continue"/>
            <w:tcBorders>
              <w:left w:val="nil"/>
              <w:bottom w:val="single" w:color="auto" w:sz="4" w:space="0"/>
              <w:right w:val="nil"/>
            </w:tcBorders>
            <w:shd w:val="clear" w:color="auto" w:fill="auto"/>
            <w:noWrap/>
            <w:vAlign w:val="center"/>
          </w:tcPr>
          <w:p>
            <w:pPr>
              <w:widowControl/>
              <w:jc w:val="center"/>
              <w:textAlignment w:val="center"/>
              <w:rPr>
                <w:rFonts w:ascii="Times New Roman" w:hAnsi="Times New Roman" w:cs="Times New Roman"/>
                <w:sz w:val="24"/>
              </w:rPr>
            </w:pPr>
          </w:p>
        </w:tc>
      </w:tr>
      <w:tr>
        <w:tblPrEx>
          <w:tblCellMar>
            <w:top w:w="0" w:type="dxa"/>
            <w:left w:w="108" w:type="dxa"/>
            <w:bottom w:w="0" w:type="dxa"/>
            <w:right w:w="108" w:type="dxa"/>
          </w:tblCellMar>
        </w:tblPrEx>
        <w:trPr>
          <w:trHeight w:val="513" w:hRule="atLeast"/>
        </w:trPr>
        <w:tc>
          <w:tcPr>
            <w:tcW w:w="2689" w:type="dxa"/>
            <w:tcBorders>
              <w:top w:val="single" w:color="auto" w:sz="4" w:space="0"/>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miR-150-5p</w:t>
            </w:r>
          </w:p>
        </w:tc>
        <w:tc>
          <w:tcPr>
            <w:tcW w:w="1707" w:type="dxa"/>
            <w:tcBorders>
              <w:top w:val="single" w:color="auto" w:sz="4" w:space="0"/>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14285.39</w:t>
            </w:r>
          </w:p>
        </w:tc>
        <w:tc>
          <w:tcPr>
            <w:tcW w:w="1459" w:type="dxa"/>
            <w:tcBorders>
              <w:top w:val="single" w:color="auto" w:sz="4" w:space="0"/>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28284.24</w:t>
            </w:r>
          </w:p>
        </w:tc>
        <w:tc>
          <w:tcPr>
            <w:tcW w:w="1459" w:type="dxa"/>
            <w:tcBorders>
              <w:top w:val="single" w:color="auto" w:sz="4" w:space="0"/>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2258.59</w:t>
            </w:r>
          </w:p>
        </w:tc>
        <w:tc>
          <w:tcPr>
            <w:tcW w:w="1894" w:type="dxa"/>
            <w:tcBorders>
              <w:top w:val="single" w:color="auto" w:sz="4" w:space="0"/>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1079.69</w:t>
            </w:r>
          </w:p>
        </w:tc>
        <w:tc>
          <w:tcPr>
            <w:tcW w:w="1346" w:type="dxa"/>
            <w:tcBorders>
              <w:top w:val="single" w:color="auto" w:sz="4" w:space="0"/>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 xml:space="preserve">-3.67 </w:t>
            </w:r>
          </w:p>
        </w:tc>
        <w:tc>
          <w:tcPr>
            <w:tcW w:w="1144" w:type="dxa"/>
            <w:tcBorders>
              <w:top w:val="single" w:color="auto" w:sz="4" w:space="0"/>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5.58E-04</w:t>
            </w:r>
          </w:p>
        </w:tc>
      </w:tr>
      <w:tr>
        <w:tblPrEx>
          <w:tblCellMar>
            <w:top w:w="0" w:type="dxa"/>
            <w:left w:w="108" w:type="dxa"/>
            <w:bottom w:w="0" w:type="dxa"/>
            <w:right w:w="108" w:type="dxa"/>
          </w:tblCellMar>
        </w:tblPrEx>
        <w:trPr>
          <w:trHeight w:val="493" w:hRule="atLeast"/>
        </w:trPr>
        <w:tc>
          <w:tcPr>
            <w:tcW w:w="268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miR-200a-3p</w:t>
            </w:r>
          </w:p>
        </w:tc>
        <w:tc>
          <w:tcPr>
            <w:tcW w:w="1707"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158.73</w:t>
            </w:r>
          </w:p>
        </w:tc>
        <w:tc>
          <w:tcPr>
            <w:tcW w:w="145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161.26</w:t>
            </w:r>
          </w:p>
        </w:tc>
        <w:tc>
          <w:tcPr>
            <w:tcW w:w="145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4189.85</w:t>
            </w:r>
          </w:p>
        </w:tc>
        <w:tc>
          <w:tcPr>
            <w:tcW w:w="189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2091.91</w:t>
            </w:r>
          </w:p>
        </w:tc>
        <w:tc>
          <w:tcPr>
            <w:tcW w:w="1346"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 xml:space="preserve">4.30 </w:t>
            </w:r>
          </w:p>
        </w:tc>
        <w:tc>
          <w:tcPr>
            <w:tcW w:w="11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6.86E-04</w:t>
            </w:r>
          </w:p>
        </w:tc>
      </w:tr>
      <w:tr>
        <w:tblPrEx>
          <w:tblCellMar>
            <w:top w:w="0" w:type="dxa"/>
            <w:left w:w="108" w:type="dxa"/>
            <w:bottom w:w="0" w:type="dxa"/>
            <w:right w:w="108" w:type="dxa"/>
          </w:tblCellMar>
        </w:tblPrEx>
        <w:trPr>
          <w:trHeight w:val="493" w:hRule="atLeast"/>
        </w:trPr>
        <w:tc>
          <w:tcPr>
            <w:tcW w:w="268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miR-141-3p</w:t>
            </w:r>
          </w:p>
        </w:tc>
        <w:tc>
          <w:tcPr>
            <w:tcW w:w="1707"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204.08</w:t>
            </w:r>
          </w:p>
        </w:tc>
        <w:tc>
          <w:tcPr>
            <w:tcW w:w="145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161.26</w:t>
            </w:r>
          </w:p>
        </w:tc>
        <w:tc>
          <w:tcPr>
            <w:tcW w:w="145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5237.32</w:t>
            </w:r>
          </w:p>
        </w:tc>
        <w:tc>
          <w:tcPr>
            <w:tcW w:w="189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1979.44</w:t>
            </w:r>
          </w:p>
        </w:tc>
        <w:tc>
          <w:tcPr>
            <w:tcW w:w="1346"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 xml:space="preserve">4.30 </w:t>
            </w:r>
          </w:p>
        </w:tc>
        <w:tc>
          <w:tcPr>
            <w:tcW w:w="11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8.60E-04</w:t>
            </w:r>
          </w:p>
        </w:tc>
      </w:tr>
      <w:tr>
        <w:tblPrEx>
          <w:tblCellMar>
            <w:top w:w="0" w:type="dxa"/>
            <w:left w:w="108" w:type="dxa"/>
            <w:bottom w:w="0" w:type="dxa"/>
            <w:right w:w="108" w:type="dxa"/>
          </w:tblCellMar>
        </w:tblPrEx>
        <w:trPr>
          <w:trHeight w:val="493" w:hRule="atLeast"/>
        </w:trPr>
        <w:tc>
          <w:tcPr>
            <w:tcW w:w="268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miR-148a-3p</w:t>
            </w:r>
          </w:p>
        </w:tc>
        <w:tc>
          <w:tcPr>
            <w:tcW w:w="1707"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2199.50</w:t>
            </w:r>
          </w:p>
        </w:tc>
        <w:tc>
          <w:tcPr>
            <w:tcW w:w="145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2418.83</w:t>
            </w:r>
          </w:p>
        </w:tc>
        <w:tc>
          <w:tcPr>
            <w:tcW w:w="145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17283.14</w:t>
            </w:r>
          </w:p>
        </w:tc>
        <w:tc>
          <w:tcPr>
            <w:tcW w:w="189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16442.85</w:t>
            </w:r>
          </w:p>
        </w:tc>
        <w:tc>
          <w:tcPr>
            <w:tcW w:w="1346"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 xml:space="preserve">2.87 </w:t>
            </w:r>
          </w:p>
        </w:tc>
        <w:tc>
          <w:tcPr>
            <w:tcW w:w="11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1.78E-03</w:t>
            </w:r>
          </w:p>
        </w:tc>
      </w:tr>
      <w:tr>
        <w:tblPrEx>
          <w:tblCellMar>
            <w:top w:w="0" w:type="dxa"/>
            <w:left w:w="108" w:type="dxa"/>
            <w:bottom w:w="0" w:type="dxa"/>
            <w:right w:w="108" w:type="dxa"/>
          </w:tblCellMar>
        </w:tblPrEx>
        <w:trPr>
          <w:trHeight w:val="493" w:hRule="atLeast"/>
        </w:trPr>
        <w:tc>
          <w:tcPr>
            <w:tcW w:w="268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miR-200c-3p</w:t>
            </w:r>
          </w:p>
        </w:tc>
        <w:tc>
          <w:tcPr>
            <w:tcW w:w="1707"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158.73</w:t>
            </w:r>
          </w:p>
        </w:tc>
        <w:tc>
          <w:tcPr>
            <w:tcW w:w="145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64.50</w:t>
            </w:r>
          </w:p>
        </w:tc>
        <w:tc>
          <w:tcPr>
            <w:tcW w:w="145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12340.43</w:t>
            </w:r>
          </w:p>
        </w:tc>
        <w:tc>
          <w:tcPr>
            <w:tcW w:w="189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539.85</w:t>
            </w:r>
          </w:p>
        </w:tc>
        <w:tc>
          <w:tcPr>
            <w:tcW w:w="1346"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 xml:space="preserve">5.85 </w:t>
            </w:r>
          </w:p>
        </w:tc>
        <w:tc>
          <w:tcPr>
            <w:tcW w:w="11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5.45E-03</w:t>
            </w:r>
          </w:p>
        </w:tc>
      </w:tr>
      <w:tr>
        <w:tblPrEx>
          <w:tblCellMar>
            <w:top w:w="0" w:type="dxa"/>
            <w:left w:w="108" w:type="dxa"/>
            <w:bottom w:w="0" w:type="dxa"/>
            <w:right w:w="108" w:type="dxa"/>
          </w:tblCellMar>
        </w:tblPrEx>
        <w:trPr>
          <w:trHeight w:val="493" w:hRule="atLeast"/>
        </w:trPr>
        <w:tc>
          <w:tcPr>
            <w:tcW w:w="268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miR-660-5p</w:t>
            </w:r>
          </w:p>
        </w:tc>
        <w:tc>
          <w:tcPr>
            <w:tcW w:w="1707"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45.35</w:t>
            </w:r>
          </w:p>
        </w:tc>
        <w:tc>
          <w:tcPr>
            <w:tcW w:w="145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215.01</w:t>
            </w:r>
          </w:p>
        </w:tc>
        <w:tc>
          <w:tcPr>
            <w:tcW w:w="145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0</w:t>
            </w:r>
          </w:p>
        </w:tc>
        <w:tc>
          <w:tcPr>
            <w:tcW w:w="189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0</w:t>
            </w:r>
          </w:p>
        </w:tc>
        <w:tc>
          <w:tcPr>
            <w:tcW w:w="1346"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 xml:space="preserve">-16.99 </w:t>
            </w:r>
          </w:p>
        </w:tc>
        <w:tc>
          <w:tcPr>
            <w:tcW w:w="11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2.88E-02</w:t>
            </w:r>
          </w:p>
        </w:tc>
      </w:tr>
      <w:tr>
        <w:tblPrEx>
          <w:tblCellMar>
            <w:top w:w="0" w:type="dxa"/>
            <w:left w:w="108" w:type="dxa"/>
            <w:bottom w:w="0" w:type="dxa"/>
            <w:right w:w="108" w:type="dxa"/>
          </w:tblCellMar>
        </w:tblPrEx>
        <w:trPr>
          <w:trHeight w:val="493" w:hRule="atLeast"/>
        </w:trPr>
        <w:tc>
          <w:tcPr>
            <w:tcW w:w="268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Unconservative 1 7886</w:t>
            </w:r>
          </w:p>
        </w:tc>
        <w:tc>
          <w:tcPr>
            <w:tcW w:w="1707"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0</w:t>
            </w:r>
          </w:p>
        </w:tc>
        <w:tc>
          <w:tcPr>
            <w:tcW w:w="145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21.50</w:t>
            </w:r>
          </w:p>
        </w:tc>
        <w:tc>
          <w:tcPr>
            <w:tcW w:w="145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130.93</w:t>
            </w:r>
          </w:p>
        </w:tc>
        <w:tc>
          <w:tcPr>
            <w:tcW w:w="189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224.94</w:t>
            </w:r>
          </w:p>
        </w:tc>
        <w:tc>
          <w:tcPr>
            <w:tcW w:w="1346"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 xml:space="preserve">4.05 </w:t>
            </w:r>
          </w:p>
        </w:tc>
        <w:tc>
          <w:tcPr>
            <w:tcW w:w="11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2.95E-02</w:t>
            </w:r>
          </w:p>
        </w:tc>
      </w:tr>
      <w:tr>
        <w:tblPrEx>
          <w:tblCellMar>
            <w:top w:w="0" w:type="dxa"/>
            <w:left w:w="108" w:type="dxa"/>
            <w:bottom w:w="0" w:type="dxa"/>
            <w:right w:w="108" w:type="dxa"/>
          </w:tblCellMar>
        </w:tblPrEx>
        <w:trPr>
          <w:trHeight w:val="493" w:hRule="atLeast"/>
        </w:trPr>
        <w:tc>
          <w:tcPr>
            <w:tcW w:w="268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miR-20b-5p</w:t>
            </w:r>
          </w:p>
        </w:tc>
        <w:tc>
          <w:tcPr>
            <w:tcW w:w="1707"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113.38</w:t>
            </w:r>
          </w:p>
        </w:tc>
        <w:tc>
          <w:tcPr>
            <w:tcW w:w="145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75.25</w:t>
            </w:r>
          </w:p>
        </w:tc>
        <w:tc>
          <w:tcPr>
            <w:tcW w:w="1459"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0</w:t>
            </w:r>
          </w:p>
        </w:tc>
        <w:tc>
          <w:tcPr>
            <w:tcW w:w="189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0</w:t>
            </w:r>
          </w:p>
        </w:tc>
        <w:tc>
          <w:tcPr>
            <w:tcW w:w="1346"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 xml:space="preserve">-16.53 </w:t>
            </w:r>
          </w:p>
        </w:tc>
        <w:tc>
          <w:tcPr>
            <w:tcW w:w="11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3.01E-02</w:t>
            </w:r>
          </w:p>
        </w:tc>
      </w:tr>
      <w:tr>
        <w:tblPrEx>
          <w:tblCellMar>
            <w:top w:w="0" w:type="dxa"/>
            <w:left w:w="108" w:type="dxa"/>
            <w:bottom w:w="0" w:type="dxa"/>
            <w:right w:w="108" w:type="dxa"/>
          </w:tblCellMar>
        </w:tblPrEx>
        <w:trPr>
          <w:trHeight w:val="493" w:hRule="atLeast"/>
        </w:trPr>
        <w:tc>
          <w:tcPr>
            <w:tcW w:w="2689" w:type="dxa"/>
            <w:tcBorders>
              <w:top w:val="nil"/>
              <w:left w:val="nil"/>
              <w:bottom w:val="single" w:color="auto" w:sz="4" w:space="0"/>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miR-532-3p</w:t>
            </w:r>
          </w:p>
        </w:tc>
        <w:tc>
          <w:tcPr>
            <w:tcW w:w="1707" w:type="dxa"/>
            <w:tcBorders>
              <w:top w:val="nil"/>
              <w:left w:val="nil"/>
              <w:bottom w:val="single" w:color="auto" w:sz="4" w:space="0"/>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45.35</w:t>
            </w:r>
          </w:p>
        </w:tc>
        <w:tc>
          <w:tcPr>
            <w:tcW w:w="1459" w:type="dxa"/>
            <w:tcBorders>
              <w:top w:val="nil"/>
              <w:left w:val="nil"/>
              <w:bottom w:val="single" w:color="auto" w:sz="4" w:space="0"/>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150.51</w:t>
            </w:r>
          </w:p>
        </w:tc>
        <w:tc>
          <w:tcPr>
            <w:tcW w:w="1459" w:type="dxa"/>
            <w:tcBorders>
              <w:top w:val="nil"/>
              <w:left w:val="nil"/>
              <w:bottom w:val="single" w:color="auto" w:sz="4" w:space="0"/>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0</w:t>
            </w:r>
          </w:p>
        </w:tc>
        <w:tc>
          <w:tcPr>
            <w:tcW w:w="1894" w:type="dxa"/>
            <w:tcBorders>
              <w:top w:val="nil"/>
              <w:left w:val="nil"/>
              <w:bottom w:val="single" w:color="auto" w:sz="4" w:space="0"/>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0</w:t>
            </w:r>
          </w:p>
        </w:tc>
        <w:tc>
          <w:tcPr>
            <w:tcW w:w="1346" w:type="dxa"/>
            <w:tcBorders>
              <w:top w:val="nil"/>
              <w:left w:val="nil"/>
              <w:bottom w:val="single" w:color="auto" w:sz="4" w:space="0"/>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 xml:space="preserve">-16.58 </w:t>
            </w:r>
          </w:p>
        </w:tc>
        <w:tc>
          <w:tcPr>
            <w:tcW w:w="1144" w:type="dxa"/>
            <w:tcBorders>
              <w:top w:val="nil"/>
              <w:left w:val="nil"/>
              <w:bottom w:val="single" w:color="auto" w:sz="4" w:space="0"/>
              <w:right w:val="nil"/>
            </w:tcBorders>
            <w:shd w:val="clear" w:color="auto" w:fill="auto"/>
            <w:noWrap/>
            <w:vAlign w:val="center"/>
          </w:tcPr>
          <w:p>
            <w:pPr>
              <w:widowControl/>
              <w:jc w:val="center"/>
              <w:textAlignment w:val="center"/>
              <w:rPr>
                <w:rFonts w:ascii="Times New Roman" w:hAnsi="Times New Roman" w:cs="Times New Roman"/>
                <w:sz w:val="24"/>
              </w:rPr>
            </w:pPr>
            <w:r>
              <w:rPr>
                <w:rFonts w:ascii="Times New Roman" w:hAnsi="Times New Roman" w:cs="Times New Roman"/>
                <w:sz w:val="24"/>
              </w:rPr>
              <w:t>3.68E-02</w:t>
            </w:r>
          </w:p>
        </w:tc>
      </w:tr>
    </w:tbl>
    <w:p>
      <w:pPr>
        <w:spacing w:line="360" w:lineRule="auto"/>
        <w:rPr>
          <w:rFonts w:ascii="Times New Roman" w:hAnsi="Times New Roman" w:cs="Times New Roman"/>
          <w:sz w:val="24"/>
        </w:rPr>
      </w:pPr>
      <w:r>
        <w:rPr>
          <w:rFonts w:ascii="Times New Roman" w:hAnsi="Times New Roman" w:cs="Times New Roman"/>
          <w:sz w:val="24"/>
        </w:rPr>
        <w:t>ID, initial diagnosis; AT, after treatment; FC, fold change</w:t>
      </w:r>
    </w:p>
    <w:p>
      <w:pPr>
        <w:spacing w:line="360" w:lineRule="auto"/>
        <w:rPr>
          <w:rFonts w:ascii="Times New Roman" w:hAnsi="Times New Roman" w:cs="Times New Roman"/>
          <w:sz w:val="24"/>
        </w:rPr>
      </w:pPr>
      <w:r>
        <w:rPr>
          <w:rFonts w:ascii="Times New Roman" w:hAnsi="Times New Roman" w:cs="Times New Roman"/>
          <w:sz w:val="24"/>
        </w:rPr>
        <w:drawing>
          <wp:inline distT="0" distB="0" distL="114300" distR="114300">
            <wp:extent cx="3655695" cy="3350895"/>
            <wp:effectExtent l="0" t="0" r="1905" b="1905"/>
            <wp:docPr id="2" name="图片 2" descr="G1_vs_G2.vol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G1_vs_G2.volcano"/>
                    <pic:cNvPicPr>
                      <a:picLocks noChangeAspect="1"/>
                    </pic:cNvPicPr>
                  </pic:nvPicPr>
                  <pic:blipFill>
                    <a:blip r:embed="rId6" cstate="print"/>
                    <a:stretch>
                      <a:fillRect/>
                    </a:stretch>
                  </pic:blipFill>
                  <pic:spPr>
                    <a:xfrm>
                      <a:off x="0" y="0"/>
                      <a:ext cx="3655695" cy="3350895"/>
                    </a:xfrm>
                    <a:prstGeom prst="rect">
                      <a:avLst/>
                    </a:prstGeom>
                  </pic:spPr>
                </pic:pic>
              </a:graphicData>
            </a:graphic>
          </wp:inline>
        </w:drawing>
      </w:r>
    </w:p>
    <w:p>
      <w:pPr>
        <w:spacing w:line="360" w:lineRule="auto"/>
        <w:rPr>
          <w:rFonts w:ascii="Times New Roman" w:hAnsi="Times New Roman" w:cs="Times New Roman"/>
          <w:sz w:val="24"/>
        </w:rPr>
      </w:pPr>
      <w:r>
        <w:rPr>
          <w:rFonts w:ascii="Times New Roman" w:hAnsi="Times New Roman" w:cs="Times New Roman"/>
          <w:sz w:val="24"/>
        </w:rPr>
        <w:t xml:space="preserve">Figure S2. (A) Volcano plot of miR-200c and miR-141 expression in CSF-derived exosomes between patients with de novo PCNSL diagnosis and patients with previously treated PCNSL.   </w:t>
      </w: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r>
        <w:rPr>
          <w:rFonts w:ascii="Times New Roman" w:hAnsi="Times New Roman" w:cs="Times New Roman"/>
          <w:sz w:val="24"/>
        </w:rPr>
        <w:drawing>
          <wp:inline distT="0" distB="0" distL="114300" distR="114300">
            <wp:extent cx="3295650" cy="2500630"/>
            <wp:effectExtent l="0" t="0" r="0" b="13970"/>
            <wp:docPr id="6" name="图片 6" descr="Cytoscape_input.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ytoscape_input.list"/>
                    <pic:cNvPicPr>
                      <a:picLocks noChangeAspect="1"/>
                    </pic:cNvPicPr>
                  </pic:nvPicPr>
                  <pic:blipFill>
                    <a:blip r:embed="rId7" cstate="print"/>
                    <a:stretch>
                      <a:fillRect/>
                    </a:stretch>
                  </pic:blipFill>
                  <pic:spPr>
                    <a:xfrm>
                      <a:off x="0" y="0"/>
                      <a:ext cx="3295650" cy="2500630"/>
                    </a:xfrm>
                    <a:prstGeom prst="rect">
                      <a:avLst/>
                    </a:prstGeom>
                  </pic:spPr>
                </pic:pic>
              </a:graphicData>
            </a:graphic>
          </wp:inline>
        </w:drawing>
      </w:r>
    </w:p>
    <w:p>
      <w:pPr>
        <w:spacing w:line="360" w:lineRule="auto"/>
        <w:rPr>
          <w:rFonts w:ascii="Times New Roman" w:hAnsi="Times New Roman" w:cs="Times New Roman"/>
          <w:sz w:val="24"/>
        </w:rPr>
      </w:pPr>
      <w:r>
        <w:rPr>
          <w:rFonts w:ascii="Times New Roman" w:hAnsi="Times New Roman" w:cs="Times New Roman"/>
          <w:sz w:val="24"/>
        </w:rPr>
        <w:t>Figure S2. (B) The interaction network diagram of miR-200c and miR-141.</w:t>
      </w:r>
    </w:p>
    <w:p>
      <w:pPr>
        <w:spacing w:line="360" w:lineRule="auto"/>
        <w:jc w:val="left"/>
        <w:rPr>
          <w:rFonts w:ascii="Times New Roman" w:hAnsi="Times New Roman" w:cs="Times New Roman"/>
          <w:sz w:val="24"/>
        </w:rPr>
      </w:pPr>
      <w:r>
        <w:rPr>
          <w:rFonts w:ascii="Times New Roman" w:hAnsi="Times New Roman" w:cs="Times New Roman"/>
          <w:sz w:val="24"/>
        </w:rPr>
        <w:t xml:space="preserve"> </w:t>
      </w:r>
    </w:p>
    <w:p>
      <w:pPr>
        <w:spacing w:line="360" w:lineRule="auto"/>
        <w:jc w:val="left"/>
        <w:rPr>
          <w:rFonts w:ascii="Times New Roman" w:hAnsi="Times New Roman" w:cs="Times New Roman"/>
          <w:sz w:val="24"/>
        </w:rPr>
      </w:pPr>
      <w:r>
        <w:rPr>
          <w:rFonts w:ascii="Times New Roman" w:hAnsi="Times New Roman" w:cs="Times New Roman"/>
          <w:sz w:val="24"/>
        </w:rPr>
        <w:drawing>
          <wp:inline distT="0" distB="0" distL="114300" distR="114300">
            <wp:extent cx="998220" cy="998220"/>
            <wp:effectExtent l="0" t="0" r="11430" b="11430"/>
            <wp:docPr id="16" name="图片 16" descr="ATP1B3_survival_ISGg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ATP1B3_survival_ISGgD_1"/>
                    <pic:cNvPicPr>
                      <a:picLocks noChangeAspect="1"/>
                    </pic:cNvPicPr>
                  </pic:nvPicPr>
                  <pic:blipFill>
                    <a:blip r:embed="rId8" cstate="print"/>
                    <a:stretch>
                      <a:fillRect/>
                    </a:stretch>
                  </pic:blipFill>
                  <pic:spPr>
                    <a:xfrm>
                      <a:off x="0" y="0"/>
                      <a:ext cx="998220" cy="998220"/>
                    </a:xfrm>
                    <a:prstGeom prst="rect">
                      <a:avLst/>
                    </a:prstGeom>
                  </pic:spPr>
                </pic:pic>
              </a:graphicData>
            </a:graphic>
          </wp:inline>
        </w:drawing>
      </w:r>
      <w:r>
        <w:rPr>
          <w:rFonts w:ascii="Times New Roman" w:hAnsi="Times New Roman" w:cs="Times New Roman"/>
          <w:sz w:val="24"/>
        </w:rPr>
        <w:drawing>
          <wp:inline distT="0" distB="0" distL="114300" distR="114300">
            <wp:extent cx="998220" cy="998220"/>
            <wp:effectExtent l="0" t="0" r="11430" b="11430"/>
            <wp:docPr id="17" name="图片 17" descr="DOLK_survival_Vct3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DOLK_survival_Vct3D_1"/>
                    <pic:cNvPicPr>
                      <a:picLocks noChangeAspect="1"/>
                    </pic:cNvPicPr>
                  </pic:nvPicPr>
                  <pic:blipFill>
                    <a:blip r:embed="rId9" cstate="print"/>
                    <a:stretch>
                      <a:fillRect/>
                    </a:stretch>
                  </pic:blipFill>
                  <pic:spPr>
                    <a:xfrm>
                      <a:off x="0" y="0"/>
                      <a:ext cx="998220" cy="998220"/>
                    </a:xfrm>
                    <a:prstGeom prst="rect">
                      <a:avLst/>
                    </a:prstGeom>
                  </pic:spPr>
                </pic:pic>
              </a:graphicData>
            </a:graphic>
          </wp:inline>
        </w:drawing>
      </w:r>
      <w:r>
        <w:rPr>
          <w:rFonts w:ascii="Times New Roman" w:hAnsi="Times New Roman" w:cs="Times New Roman"/>
          <w:sz w:val="24"/>
        </w:rPr>
        <w:drawing>
          <wp:inline distT="0" distB="0" distL="114300" distR="114300">
            <wp:extent cx="974090" cy="974090"/>
            <wp:effectExtent l="0" t="0" r="16510" b="16510"/>
            <wp:docPr id="18" name="图片 18" descr="DYNC1H1_survival_lyvoi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DYNC1H1_survival_lyvoi_1"/>
                    <pic:cNvPicPr>
                      <a:picLocks noChangeAspect="1"/>
                    </pic:cNvPicPr>
                  </pic:nvPicPr>
                  <pic:blipFill>
                    <a:blip r:embed="rId10" cstate="print"/>
                    <a:stretch>
                      <a:fillRect/>
                    </a:stretch>
                  </pic:blipFill>
                  <pic:spPr>
                    <a:xfrm>
                      <a:off x="0" y="0"/>
                      <a:ext cx="974090" cy="974090"/>
                    </a:xfrm>
                    <a:prstGeom prst="rect">
                      <a:avLst/>
                    </a:prstGeom>
                  </pic:spPr>
                </pic:pic>
              </a:graphicData>
            </a:graphic>
          </wp:inline>
        </w:drawing>
      </w:r>
      <w:r>
        <w:rPr>
          <w:rFonts w:ascii="Times New Roman" w:hAnsi="Times New Roman" w:cs="Times New Roman"/>
          <w:sz w:val="24"/>
        </w:rPr>
        <w:drawing>
          <wp:inline distT="0" distB="0" distL="114300" distR="114300">
            <wp:extent cx="960120" cy="960120"/>
            <wp:effectExtent l="0" t="0" r="11430" b="11430"/>
            <wp:docPr id="19" name="图片 19" descr="GNPDA1_survival_XC4y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GNPDA1_survival_XC4y5_1"/>
                    <pic:cNvPicPr>
                      <a:picLocks noChangeAspect="1"/>
                    </pic:cNvPicPr>
                  </pic:nvPicPr>
                  <pic:blipFill>
                    <a:blip r:embed="rId11" cstate="print"/>
                    <a:stretch>
                      <a:fillRect/>
                    </a:stretch>
                  </pic:blipFill>
                  <pic:spPr>
                    <a:xfrm>
                      <a:off x="0" y="0"/>
                      <a:ext cx="960120" cy="960120"/>
                    </a:xfrm>
                    <a:prstGeom prst="rect">
                      <a:avLst/>
                    </a:prstGeom>
                  </pic:spPr>
                </pic:pic>
              </a:graphicData>
            </a:graphic>
          </wp:inline>
        </w:drawing>
      </w:r>
      <w:r>
        <w:rPr>
          <w:rFonts w:ascii="Times New Roman" w:hAnsi="Times New Roman" w:cs="Times New Roman"/>
          <w:sz w:val="24"/>
        </w:rPr>
        <w:drawing>
          <wp:inline distT="0" distB="0" distL="114300" distR="114300">
            <wp:extent cx="989965" cy="989965"/>
            <wp:effectExtent l="0" t="0" r="635" b="635"/>
            <wp:docPr id="20" name="图片 20" descr="MATR3_survival_mAmH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MATR3_survival_mAmH3_1"/>
                    <pic:cNvPicPr>
                      <a:picLocks noChangeAspect="1"/>
                    </pic:cNvPicPr>
                  </pic:nvPicPr>
                  <pic:blipFill>
                    <a:blip r:embed="rId12" cstate="print"/>
                    <a:stretch>
                      <a:fillRect/>
                    </a:stretch>
                  </pic:blipFill>
                  <pic:spPr>
                    <a:xfrm>
                      <a:off x="0" y="0"/>
                      <a:ext cx="989965" cy="989965"/>
                    </a:xfrm>
                    <a:prstGeom prst="rect">
                      <a:avLst/>
                    </a:prstGeom>
                  </pic:spPr>
                </pic:pic>
              </a:graphicData>
            </a:graphic>
          </wp:inline>
        </w:drawing>
      </w:r>
    </w:p>
    <w:p>
      <w:pPr>
        <w:spacing w:line="360" w:lineRule="auto"/>
        <w:jc w:val="left"/>
        <w:rPr>
          <w:rFonts w:ascii="Times New Roman" w:hAnsi="Times New Roman" w:cs="Times New Roman"/>
          <w:sz w:val="24"/>
        </w:rPr>
      </w:pPr>
      <w:r>
        <w:rPr>
          <w:rFonts w:ascii="Times New Roman" w:hAnsi="Times New Roman" w:cs="Times New Roman"/>
          <w:sz w:val="24"/>
        </w:rPr>
        <w:drawing>
          <wp:inline distT="0" distB="0" distL="114300" distR="114300">
            <wp:extent cx="974090" cy="974090"/>
            <wp:effectExtent l="0" t="0" r="16510" b="16510"/>
            <wp:docPr id="21" name="图片 21" descr="NUCKS1_survival_xC6m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NUCKS1_survival_xC6m0_1"/>
                    <pic:cNvPicPr>
                      <a:picLocks noChangeAspect="1"/>
                    </pic:cNvPicPr>
                  </pic:nvPicPr>
                  <pic:blipFill>
                    <a:blip r:embed="rId13" cstate="print"/>
                    <a:stretch>
                      <a:fillRect/>
                    </a:stretch>
                  </pic:blipFill>
                  <pic:spPr>
                    <a:xfrm>
                      <a:off x="0" y="0"/>
                      <a:ext cx="974090" cy="974090"/>
                    </a:xfrm>
                    <a:prstGeom prst="rect">
                      <a:avLst/>
                    </a:prstGeom>
                  </pic:spPr>
                </pic:pic>
              </a:graphicData>
            </a:graphic>
          </wp:inline>
        </w:drawing>
      </w:r>
      <w:r>
        <w:rPr>
          <w:rFonts w:ascii="Times New Roman" w:hAnsi="Times New Roman" w:cs="Times New Roman"/>
          <w:sz w:val="24"/>
        </w:rPr>
        <w:drawing>
          <wp:inline distT="0" distB="0" distL="114300" distR="114300">
            <wp:extent cx="988695" cy="988695"/>
            <wp:effectExtent l="0" t="0" r="1905" b="1905"/>
            <wp:docPr id="22" name="图片 22" descr="NUDT4_survival_JVRz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NUDT4_survival_JVRzG_1"/>
                    <pic:cNvPicPr>
                      <a:picLocks noChangeAspect="1"/>
                    </pic:cNvPicPr>
                  </pic:nvPicPr>
                  <pic:blipFill>
                    <a:blip r:embed="rId14" cstate="print"/>
                    <a:stretch>
                      <a:fillRect/>
                    </a:stretch>
                  </pic:blipFill>
                  <pic:spPr>
                    <a:xfrm>
                      <a:off x="0" y="0"/>
                      <a:ext cx="988695" cy="988695"/>
                    </a:xfrm>
                    <a:prstGeom prst="rect">
                      <a:avLst/>
                    </a:prstGeom>
                  </pic:spPr>
                </pic:pic>
              </a:graphicData>
            </a:graphic>
          </wp:inline>
        </w:drawing>
      </w:r>
      <w:r>
        <w:rPr>
          <w:rFonts w:ascii="Times New Roman" w:hAnsi="Times New Roman" w:cs="Times New Roman"/>
          <w:sz w:val="24"/>
        </w:rPr>
        <w:drawing>
          <wp:inline distT="0" distB="0" distL="114300" distR="114300">
            <wp:extent cx="981710" cy="981710"/>
            <wp:effectExtent l="0" t="0" r="8890" b="8890"/>
            <wp:docPr id="23" name="图片 23" descr="RCN2_survival_Kmw8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RCN2_survival_Kmw8R_1"/>
                    <pic:cNvPicPr>
                      <a:picLocks noChangeAspect="1"/>
                    </pic:cNvPicPr>
                  </pic:nvPicPr>
                  <pic:blipFill>
                    <a:blip r:embed="rId15" cstate="print"/>
                    <a:stretch>
                      <a:fillRect/>
                    </a:stretch>
                  </pic:blipFill>
                  <pic:spPr>
                    <a:xfrm>
                      <a:off x="0" y="0"/>
                      <a:ext cx="981710" cy="981710"/>
                    </a:xfrm>
                    <a:prstGeom prst="rect">
                      <a:avLst/>
                    </a:prstGeom>
                  </pic:spPr>
                </pic:pic>
              </a:graphicData>
            </a:graphic>
          </wp:inline>
        </w:drawing>
      </w:r>
      <w:r>
        <w:rPr>
          <w:rFonts w:ascii="Times New Roman" w:hAnsi="Times New Roman" w:cs="Times New Roman"/>
          <w:sz w:val="24"/>
        </w:rPr>
        <w:drawing>
          <wp:inline distT="0" distB="0" distL="114300" distR="114300">
            <wp:extent cx="991235" cy="991235"/>
            <wp:effectExtent l="0" t="0" r="18415" b="18415"/>
            <wp:docPr id="24" name="图片 24" descr="ZBTB38_survival_rTDVm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ZBTB38_survival_rTDVm_1"/>
                    <pic:cNvPicPr>
                      <a:picLocks noChangeAspect="1"/>
                    </pic:cNvPicPr>
                  </pic:nvPicPr>
                  <pic:blipFill>
                    <a:blip r:embed="rId16" cstate="print"/>
                    <a:stretch>
                      <a:fillRect/>
                    </a:stretch>
                  </pic:blipFill>
                  <pic:spPr>
                    <a:xfrm>
                      <a:off x="0" y="0"/>
                      <a:ext cx="991235" cy="991235"/>
                    </a:xfrm>
                    <a:prstGeom prst="rect">
                      <a:avLst/>
                    </a:prstGeom>
                  </pic:spPr>
                </pic:pic>
              </a:graphicData>
            </a:graphic>
          </wp:inline>
        </w:drawing>
      </w:r>
      <w:r>
        <w:rPr>
          <w:rFonts w:ascii="Times New Roman" w:hAnsi="Times New Roman" w:cs="Times New Roman"/>
          <w:sz w:val="24"/>
        </w:rPr>
        <w:drawing>
          <wp:inline distT="0" distB="0" distL="114300" distR="114300">
            <wp:extent cx="1025525" cy="1025525"/>
            <wp:effectExtent l="0" t="0" r="3175" b="3175"/>
            <wp:docPr id="25" name="图片 25" descr="ZNF638_survival_xnQk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ZNF638_survival_xnQk7_1"/>
                    <pic:cNvPicPr>
                      <a:picLocks noChangeAspect="1"/>
                    </pic:cNvPicPr>
                  </pic:nvPicPr>
                  <pic:blipFill>
                    <a:blip r:embed="rId17" cstate="print"/>
                    <a:stretch>
                      <a:fillRect/>
                    </a:stretch>
                  </pic:blipFill>
                  <pic:spPr>
                    <a:xfrm>
                      <a:off x="0" y="0"/>
                      <a:ext cx="1025525" cy="1025525"/>
                    </a:xfrm>
                    <a:prstGeom prst="rect">
                      <a:avLst/>
                    </a:prstGeom>
                  </pic:spPr>
                </pic:pic>
              </a:graphicData>
            </a:graphic>
          </wp:inline>
        </w:drawing>
      </w:r>
    </w:p>
    <w:p>
      <w:pPr>
        <w:rPr>
          <w:rFonts w:ascii="Times New Roman" w:hAnsi="Times New Roman" w:cs="Times New Roman"/>
          <w:sz w:val="24"/>
        </w:rPr>
      </w:pPr>
      <w:r>
        <w:rPr>
          <w:rFonts w:ascii="Times New Roman" w:hAnsi="Times New Roman" w:cs="Times New Roman"/>
          <w:sz w:val="24"/>
        </w:rPr>
        <w:t xml:space="preserve">Figure </w:t>
      </w:r>
      <w:r>
        <w:rPr>
          <w:rFonts w:hint="eastAsia" w:ascii="Times New Roman" w:hAnsi="Times New Roman" w:cs="Times New Roman"/>
          <w:sz w:val="24"/>
          <w:lang w:val="en-US" w:eastAsia="zh-CN"/>
        </w:rPr>
        <w:t>S3</w:t>
      </w:r>
      <w:r>
        <w:rPr>
          <w:rFonts w:ascii="Times New Roman" w:hAnsi="Times New Roman" w:cs="Times New Roman"/>
          <w:sz w:val="24"/>
        </w:rPr>
        <w:t>.</w:t>
      </w:r>
      <w:r>
        <w:rPr>
          <w:rFonts w:hint="eastAsia" w:ascii="Times New Roman" w:hAnsi="Times New Roman" w:cs="Times New Roman"/>
          <w:sz w:val="24"/>
          <w:lang w:val="en-US" w:eastAsia="zh-CN"/>
        </w:rPr>
        <w:t xml:space="preserve"> </w:t>
      </w:r>
      <w:bookmarkStart w:id="0" w:name="_GoBack"/>
      <w:bookmarkEnd w:id="0"/>
      <w:r>
        <w:rPr>
          <w:rFonts w:ascii="Times New Roman" w:hAnsi="Times New Roman" w:cs="Times New Roman"/>
          <w:sz w:val="24"/>
        </w:rPr>
        <w:t>Relationships of ATP1B3, DYNC1H1, MATR3, NUCKS1, ZNF638, NUDT4, RCN2, GNPDA1, ZBTB38, and DOLK with survival in DLBCL.</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iMTlhMGY5NDI5MWE3MGU0YzJkMmE0NjUwMDIwZmQifQ=="/>
  </w:docVars>
  <w:rsids>
    <w:rsidRoot w:val="69EF5FAD"/>
    <w:rsid w:val="22191C92"/>
    <w:rsid w:val="29B460F6"/>
    <w:rsid w:val="43364990"/>
    <w:rsid w:val="5C3F13EC"/>
    <w:rsid w:val="69EF5F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rPr>
      <w:sz w:val="20"/>
      <w:szCs w:val="20"/>
    </w:rPr>
  </w:style>
  <w:style w:type="character" w:styleId="5">
    <w:name w:val="annotation reference"/>
    <w:basedOn w:val="4"/>
    <w:qFormat/>
    <w:uiPriority w:val="0"/>
    <w:rPr>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751</Words>
  <Characters>4508</Characters>
  <Lines>0</Lines>
  <Paragraphs>0</Paragraphs>
  <TotalTime>2</TotalTime>
  <ScaleCrop>false</ScaleCrop>
  <LinksUpToDate>false</LinksUpToDate>
  <CharactersWithSpaces>5137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2022-10-07T14:18:00Z</dcterms:created>
  <dc:creator>huashan</dc:creator>
  <cp:lastModifiedBy>huashan</cp:lastModifiedBy>
  <dcterms:modified xsi:type="dcterms:W3CDTF">2022-10-23T13:51:00Z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99A46E7D8C9240DCA2EA9B91BC79A466</vt:lpwstr>
  </property>
</Properties>
</file>