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3EA" w:rsidRDefault="00AD65A6">
      <w:r>
        <w:rPr>
          <w:noProof/>
        </w:rPr>
        <w:drawing>
          <wp:inline distT="0" distB="0" distL="0" distR="0">
            <wp:extent cx="5274310" cy="3958590"/>
            <wp:effectExtent l="0" t="0" r="2540" b="3810"/>
            <wp:docPr id="790700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A6" w:rsidRPr="00D52FB7" w:rsidRDefault="00AD65A6" w:rsidP="00D52FB7">
      <w:pPr>
        <w:spacing w:afterLines="100" w:after="312"/>
        <w:jc w:val="left"/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lang w:eastAsia="en-US"/>
        </w:rPr>
      </w:pPr>
      <w:r w:rsidRPr="00D52FB7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  <w:lang w:eastAsia="en-US"/>
        </w:rPr>
        <w:t>F</w:t>
      </w:r>
      <w:r w:rsidRPr="00D52FB7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eastAsia="en-US"/>
        </w:rPr>
        <w:t>ig. S</w:t>
      </w:r>
      <w:r w:rsidRPr="00D52FB7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eastAsia="en-US"/>
        </w:rPr>
        <w:t>1</w:t>
      </w:r>
      <w:r w:rsidRPr="00D52FB7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eastAsia="en-US"/>
        </w:rPr>
        <w:t xml:space="preserve"> Standardized mean difference (SMD) of covariates before and after propensity score matching and weighting</w:t>
      </w:r>
      <w:r w:rsidR="00D52FB7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eastAsia="en-US"/>
        </w:rPr>
        <w:t xml:space="preserve">. </w:t>
      </w:r>
    </w:p>
    <w:sectPr w:rsidR="00AD65A6" w:rsidRPr="00D52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A6"/>
    <w:rsid w:val="007863EA"/>
    <w:rsid w:val="00AD65A6"/>
    <w:rsid w:val="00D5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4949A"/>
  <w15:chartTrackingRefBased/>
  <w15:docId w15:val="{48E4D1D6-6D46-40A3-846C-58B3BA3D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Benhui Liang</dc:creator>
  <cp:keywords/>
  <dc:description/>
  <cp:lastModifiedBy>Benhui Liang</cp:lastModifiedBy>
  <cp:revision>2</cp:revision>
  <dcterms:created xsi:type="dcterms:W3CDTF">2023-05-04T15:30:00Z</dcterms:created>
  <dcterms:modified xsi:type="dcterms:W3CDTF">2023-05-04T15:35:00Z</dcterms:modified>
</cp:coreProperties>
</file>