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96AD6" w14:textId="2B27B442" w:rsidR="00A77DCC" w:rsidRDefault="00A77DCC" w:rsidP="00A77DCC">
      <w:r w:rsidRPr="00253614">
        <w:rPr>
          <w:b/>
          <w:bCs/>
        </w:rPr>
        <w:t>Appendix</w:t>
      </w:r>
      <w:r>
        <w:t xml:space="preserve"> </w:t>
      </w:r>
      <w:r w:rsidRPr="00253614">
        <w:rPr>
          <w:b/>
          <w:bCs/>
        </w:rPr>
        <w:t>1.</w:t>
      </w:r>
      <w:r>
        <w:t xml:space="preserve">  Results of stream sample analysis grouped by</w:t>
      </w:r>
      <w:r w:rsidRPr="00E06747">
        <w:t xml:space="preserve"> </w:t>
      </w:r>
      <w:r>
        <w:t>the number of times SUC was detected in four samplings. Numbers in red represent bacteria concentrations greater than the limit detection (&gt;24,196 mpn) that were transformed to a value of 24,196 for statistical purposes. Numbers in blue indicate median values for that group.</w:t>
      </w:r>
    </w:p>
    <w:p w14:paraId="3DCAA455" w14:textId="0C1E2B2C" w:rsidR="002F0F5E" w:rsidRPr="00A77DCC" w:rsidRDefault="00A77DCC" w:rsidP="00A77DCC">
      <w:r w:rsidRPr="003968FE">
        <w:rPr>
          <w:noProof/>
        </w:rPr>
        <w:lastRenderedPageBreak/>
        <w:drawing>
          <wp:inline distT="0" distB="0" distL="0" distR="0" wp14:anchorId="6BFFE13D" wp14:editId="5270DD51">
            <wp:extent cx="2524760" cy="822960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0F5E" w:rsidRPr="00A77D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DCC"/>
    <w:rsid w:val="0021090F"/>
    <w:rsid w:val="003A76DF"/>
    <w:rsid w:val="00A77DC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AAAA8"/>
  <w15:chartTrackingRefBased/>
  <w15:docId w15:val="{B95E3854-E95A-49EA-9E80-72C4AABE7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D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286</Characters>
  <Application>Microsoft Office Word</Application>
  <DocSecurity>0</DocSecurity>
  <Lines>2</Lines>
  <Paragraphs>1</Paragraphs>
  <ScaleCrop>false</ScaleCrop>
  <Company>Springer Nature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2023-07-03T08:58:00Z</dcterms:created>
  <dcterms:modified xsi:type="dcterms:W3CDTF">2023-07-03T08:58:00Z</dcterms:modified>
</cp:coreProperties>
</file>