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A2AB3" w14:textId="18E2DF26" w:rsidR="00507777" w:rsidRDefault="00507777" w:rsidP="00892FE6">
      <w:pPr>
        <w:spacing w:after="0" w:line="480" w:lineRule="auto"/>
        <w:jc w:val="both"/>
        <w:rPr>
          <w:b/>
          <w:sz w:val="24"/>
          <w:szCs w:val="24"/>
          <w:lang w:val="en-GB"/>
        </w:rPr>
      </w:pPr>
      <w:r>
        <w:rPr>
          <w:b/>
          <w:sz w:val="24"/>
          <w:szCs w:val="24"/>
          <w:lang w:val="en-GB"/>
        </w:rPr>
        <w:t>Additional File 1</w:t>
      </w:r>
    </w:p>
    <w:p w14:paraId="36B1B9DF" w14:textId="6DA6E394" w:rsidR="0082126F" w:rsidRPr="00E3292D" w:rsidRDefault="006E31D9" w:rsidP="00892FE6">
      <w:pPr>
        <w:spacing w:after="0" w:line="480" w:lineRule="auto"/>
        <w:jc w:val="both"/>
        <w:rPr>
          <w:b/>
          <w:sz w:val="24"/>
          <w:szCs w:val="24"/>
          <w:lang w:val="en-GB"/>
        </w:rPr>
      </w:pPr>
      <w:r>
        <w:rPr>
          <w:b/>
          <w:sz w:val="24"/>
          <w:szCs w:val="24"/>
          <w:lang w:val="en-GB"/>
        </w:rPr>
        <w:t>Methodology</w:t>
      </w:r>
    </w:p>
    <w:p w14:paraId="7FC34F99" w14:textId="656BCCDC" w:rsidR="00FF22BC" w:rsidRPr="00E3292D" w:rsidRDefault="0082126F" w:rsidP="00892FE6">
      <w:pPr>
        <w:spacing w:after="0" w:line="480" w:lineRule="auto"/>
        <w:jc w:val="both"/>
        <w:rPr>
          <w:sz w:val="24"/>
          <w:szCs w:val="24"/>
          <w:lang w:val="en-GB"/>
        </w:rPr>
      </w:pPr>
      <w:r>
        <w:rPr>
          <w:b/>
          <w:sz w:val="24"/>
          <w:szCs w:val="24"/>
          <w:lang w:val="en-GB"/>
        </w:rPr>
        <w:t>I</w:t>
      </w:r>
      <w:r w:rsidRPr="00E3292D">
        <w:rPr>
          <w:b/>
          <w:sz w:val="24"/>
          <w:szCs w:val="24"/>
          <w:lang w:val="en-GB"/>
        </w:rPr>
        <w:t xml:space="preserve">mmunocytochemical analysis </w:t>
      </w:r>
      <w:r>
        <w:rPr>
          <w:b/>
          <w:sz w:val="24"/>
          <w:szCs w:val="24"/>
          <w:lang w:val="en-GB"/>
        </w:rPr>
        <w:t xml:space="preserve">of </w:t>
      </w:r>
      <w:r w:rsidR="00FF22BC" w:rsidRPr="00E3292D">
        <w:rPr>
          <w:b/>
          <w:sz w:val="24"/>
          <w:szCs w:val="24"/>
          <w:lang w:val="en-GB"/>
        </w:rPr>
        <w:t xml:space="preserve">TRKA and P75 </w:t>
      </w:r>
      <w:r>
        <w:rPr>
          <w:b/>
          <w:sz w:val="24"/>
          <w:szCs w:val="24"/>
          <w:lang w:val="en-GB"/>
        </w:rPr>
        <w:t xml:space="preserve">receptors </w:t>
      </w:r>
    </w:p>
    <w:p w14:paraId="02D1992A" w14:textId="020F31DF" w:rsidR="00FF22BC" w:rsidRDefault="001B627D" w:rsidP="00892FE6">
      <w:pPr>
        <w:spacing w:after="0" w:line="480" w:lineRule="auto"/>
        <w:jc w:val="both"/>
        <w:rPr>
          <w:sz w:val="24"/>
          <w:szCs w:val="24"/>
          <w:lang w:val="en-GB"/>
        </w:rPr>
      </w:pPr>
      <w:r>
        <w:rPr>
          <w:sz w:val="24"/>
          <w:szCs w:val="24"/>
          <w:lang w:val="en-GB"/>
        </w:rPr>
        <w:t>To</w:t>
      </w:r>
      <w:r w:rsidR="00FF22BC" w:rsidRPr="00E3292D">
        <w:rPr>
          <w:sz w:val="24"/>
          <w:szCs w:val="24"/>
          <w:lang w:val="en-GB"/>
        </w:rPr>
        <w:t xml:space="preserve"> determine </w:t>
      </w:r>
      <w:r>
        <w:rPr>
          <w:sz w:val="24"/>
          <w:szCs w:val="24"/>
          <w:lang w:val="en-GB"/>
        </w:rPr>
        <w:t xml:space="preserve">if </w:t>
      </w:r>
      <w:proofErr w:type="spellStart"/>
      <w:r w:rsidR="00FF22BC" w:rsidRPr="00E3292D">
        <w:rPr>
          <w:sz w:val="24"/>
          <w:szCs w:val="24"/>
          <w:lang w:val="en-GB"/>
        </w:rPr>
        <w:t>rrBNGF</w:t>
      </w:r>
      <w:proofErr w:type="spellEnd"/>
      <w:r w:rsidR="00FF22BC" w:rsidRPr="00E3292D">
        <w:rPr>
          <w:sz w:val="24"/>
          <w:szCs w:val="24"/>
          <w:lang w:val="en-GB"/>
        </w:rPr>
        <w:t xml:space="preserve"> activity in PC12 cells was mediated by its classic receptors, immunostaining was performed to detect TRKA and p75 expression in the cells. PC12 cells were grown on Poly-L-Lysine (Sigma Aldrich) coated coverslips in RPMI complete medium. After 7 days, </w:t>
      </w:r>
      <w:r>
        <w:rPr>
          <w:sz w:val="24"/>
          <w:szCs w:val="24"/>
          <w:lang w:val="en-GB"/>
        </w:rPr>
        <w:t xml:space="preserve">the </w:t>
      </w:r>
      <w:r w:rsidR="00FF22BC" w:rsidRPr="00E3292D">
        <w:rPr>
          <w:sz w:val="24"/>
          <w:szCs w:val="24"/>
          <w:lang w:val="en-GB"/>
        </w:rPr>
        <w:t xml:space="preserve">medium was discarded, and cells </w:t>
      </w:r>
      <w:r>
        <w:rPr>
          <w:sz w:val="24"/>
          <w:szCs w:val="24"/>
          <w:lang w:val="en-GB"/>
        </w:rPr>
        <w:t xml:space="preserve">were </w:t>
      </w:r>
      <w:r w:rsidR="00FF22BC" w:rsidRPr="00E3292D">
        <w:rPr>
          <w:sz w:val="24"/>
          <w:szCs w:val="24"/>
          <w:lang w:val="en-GB"/>
        </w:rPr>
        <w:t>fixed using 4% paraformaldehyde (</w:t>
      </w:r>
      <w:proofErr w:type="spellStart"/>
      <w:r w:rsidR="00FF22BC" w:rsidRPr="00E3292D">
        <w:rPr>
          <w:sz w:val="24"/>
          <w:szCs w:val="24"/>
          <w:lang w:val="en-GB"/>
        </w:rPr>
        <w:t>PanReac</w:t>
      </w:r>
      <w:proofErr w:type="spellEnd"/>
      <w:r w:rsidR="00FF22BC" w:rsidRPr="00E3292D">
        <w:rPr>
          <w:sz w:val="24"/>
          <w:szCs w:val="24"/>
          <w:lang w:val="en-GB"/>
        </w:rPr>
        <w:t>, Barcelona, Spain) for 15 min at room temperature (RT). According to Quiroga et al. (2014), cells were then rinsed in 1XPBS and permeated with 1% Triton-X 100 (Sigma Aldrich) in 1XPBS. Without washing, PC12 cells were blocked with PBS containing 10% (v/v) FBS and 0.2% (v/v) Tween-20 (Sigma Aldrich) for 2 h at 20–25</w:t>
      </w:r>
      <w:r w:rsidR="004A434F">
        <w:rPr>
          <w:sz w:val="24"/>
          <w:szCs w:val="24"/>
          <w:lang w:val="en-GB"/>
        </w:rPr>
        <w:t>◦</w:t>
      </w:r>
      <w:r w:rsidR="00FF22BC" w:rsidRPr="00E3292D">
        <w:rPr>
          <w:sz w:val="24"/>
          <w:szCs w:val="24"/>
          <w:lang w:val="en-GB"/>
        </w:rPr>
        <w:t>C, and then incubated with primary antibody anti-TRKA1 (AF175; R&amp;D Systems, Minneapolis, USA) diluted 1/100 in PBS with 5% FBS and 0.1% Tween-20 at 4</w:t>
      </w:r>
      <w:r w:rsidR="004A434F">
        <w:rPr>
          <w:sz w:val="24"/>
          <w:szCs w:val="24"/>
          <w:lang w:val="en-GB"/>
        </w:rPr>
        <w:t>◦</w:t>
      </w:r>
      <w:r w:rsidR="00FF22BC" w:rsidRPr="00E3292D">
        <w:rPr>
          <w:sz w:val="24"/>
          <w:szCs w:val="24"/>
          <w:lang w:val="en-GB"/>
        </w:rPr>
        <w:t xml:space="preserve">C overnight (o/n). The next day, cells were incubated with secondary antibodies (Alexa Fluor-488, </w:t>
      </w:r>
      <w:proofErr w:type="spellStart"/>
      <w:r w:rsidR="00FF22BC" w:rsidRPr="00E3292D">
        <w:rPr>
          <w:sz w:val="24"/>
          <w:szCs w:val="24"/>
          <w:lang w:val="en-GB"/>
        </w:rPr>
        <w:t>Thermo</w:t>
      </w:r>
      <w:proofErr w:type="spellEnd"/>
      <w:r w:rsidR="00FF22BC" w:rsidRPr="00E3292D">
        <w:rPr>
          <w:sz w:val="24"/>
          <w:szCs w:val="24"/>
          <w:lang w:val="en-GB"/>
        </w:rPr>
        <w:t xml:space="preserve"> Fisher) </w:t>
      </w:r>
      <w:r w:rsidR="004A434F">
        <w:rPr>
          <w:sz w:val="24"/>
          <w:szCs w:val="24"/>
          <w:lang w:val="en-GB"/>
        </w:rPr>
        <w:t xml:space="preserve">diluted 1/1000 </w:t>
      </w:r>
      <w:r w:rsidR="00FF22BC" w:rsidRPr="00E3292D">
        <w:rPr>
          <w:sz w:val="24"/>
          <w:szCs w:val="24"/>
          <w:lang w:val="en-GB"/>
        </w:rPr>
        <w:t>for 2 h at 20–25</w:t>
      </w:r>
      <w:r w:rsidR="004A434F">
        <w:rPr>
          <w:sz w:val="24"/>
          <w:szCs w:val="24"/>
          <w:lang w:val="en-GB"/>
        </w:rPr>
        <w:t>◦</w:t>
      </w:r>
      <w:r w:rsidR="00FF22BC" w:rsidRPr="00E3292D">
        <w:rPr>
          <w:sz w:val="24"/>
          <w:szCs w:val="24"/>
          <w:lang w:val="en-GB"/>
        </w:rPr>
        <w:t xml:space="preserve">C. Nuclei were stained with Hoechst 33258 (Sigma Aldrich), and sections were mounted using </w:t>
      </w:r>
      <w:proofErr w:type="spellStart"/>
      <w:r w:rsidR="00FF22BC" w:rsidRPr="00E3292D">
        <w:rPr>
          <w:sz w:val="24"/>
          <w:szCs w:val="24"/>
          <w:lang w:val="en-GB"/>
        </w:rPr>
        <w:t>Vectashield</w:t>
      </w:r>
      <w:proofErr w:type="spellEnd"/>
      <w:r w:rsidR="00FF22BC" w:rsidRPr="00E3292D">
        <w:rPr>
          <w:sz w:val="24"/>
          <w:szCs w:val="24"/>
          <w:lang w:val="en-GB"/>
        </w:rPr>
        <w:t xml:space="preserve"> (Vector Laboratories, Newark, USA) fluorescence medium. For P75 antibody detection, samples were incubated with anti-P75 (ab3125; </w:t>
      </w:r>
      <w:proofErr w:type="spellStart"/>
      <w:r w:rsidR="00FF22BC" w:rsidRPr="00E3292D">
        <w:rPr>
          <w:sz w:val="24"/>
          <w:szCs w:val="24"/>
          <w:lang w:val="en-GB"/>
        </w:rPr>
        <w:t>AbCam</w:t>
      </w:r>
      <w:proofErr w:type="spellEnd"/>
      <w:r w:rsidR="00FF22BC" w:rsidRPr="00E3292D">
        <w:rPr>
          <w:sz w:val="24"/>
          <w:szCs w:val="24"/>
          <w:lang w:val="en-GB"/>
        </w:rPr>
        <w:t>, Cambridge, UK) diluted 1/200 and incubated overnight at 37</w:t>
      </w:r>
      <w:r w:rsidR="004A434F">
        <w:rPr>
          <w:sz w:val="24"/>
          <w:szCs w:val="24"/>
          <w:lang w:val="en-GB"/>
        </w:rPr>
        <w:t>◦</w:t>
      </w:r>
      <w:r w:rsidR="00FF22BC" w:rsidRPr="00E3292D">
        <w:rPr>
          <w:sz w:val="24"/>
          <w:szCs w:val="24"/>
          <w:lang w:val="en-GB"/>
        </w:rPr>
        <w:t>C. Then, donkey anti-mouse antibody conjugated to biotin (</w:t>
      </w:r>
      <w:r w:rsidR="00F25EE2" w:rsidRPr="00F25EE2">
        <w:rPr>
          <w:sz w:val="24"/>
          <w:szCs w:val="24"/>
          <w:lang w:val="en-GB"/>
        </w:rPr>
        <w:t>M32315</w:t>
      </w:r>
      <w:r w:rsidR="00F25EE2">
        <w:rPr>
          <w:sz w:val="24"/>
          <w:szCs w:val="24"/>
          <w:lang w:val="en-GB"/>
        </w:rPr>
        <w:t xml:space="preserve">; </w:t>
      </w:r>
      <w:proofErr w:type="spellStart"/>
      <w:r w:rsidR="00F25EE2">
        <w:rPr>
          <w:sz w:val="24"/>
          <w:szCs w:val="24"/>
          <w:lang w:val="en-GB"/>
        </w:rPr>
        <w:t>Ther</w:t>
      </w:r>
      <w:r w:rsidR="004D6BD9">
        <w:rPr>
          <w:sz w:val="24"/>
          <w:szCs w:val="24"/>
          <w:lang w:val="en-GB"/>
        </w:rPr>
        <w:t>mo</w:t>
      </w:r>
      <w:proofErr w:type="spellEnd"/>
      <w:r w:rsidR="004D6BD9">
        <w:rPr>
          <w:sz w:val="24"/>
          <w:szCs w:val="24"/>
          <w:lang w:val="en-GB"/>
        </w:rPr>
        <w:t xml:space="preserve"> Fisher</w:t>
      </w:r>
      <w:r w:rsidR="00477475">
        <w:rPr>
          <w:sz w:val="24"/>
          <w:szCs w:val="24"/>
          <w:lang w:val="en-GB"/>
        </w:rPr>
        <w:t xml:space="preserve"> Scientific</w:t>
      </w:r>
      <w:r w:rsidR="004D6BD9" w:rsidRPr="00F027AB">
        <w:rPr>
          <w:sz w:val="24"/>
          <w:szCs w:val="24"/>
          <w:lang w:val="en-GB"/>
        </w:rPr>
        <w:t xml:space="preserve">) diluted </w:t>
      </w:r>
      <w:r w:rsidR="00FF22BC" w:rsidRPr="00E3292D">
        <w:rPr>
          <w:sz w:val="24"/>
          <w:szCs w:val="24"/>
          <w:lang w:val="en-GB"/>
        </w:rPr>
        <w:t xml:space="preserve">1:200 was added for 1 h at RT. For signal amplification, the </w:t>
      </w:r>
      <w:proofErr w:type="spellStart"/>
      <w:r w:rsidR="00FF22BC" w:rsidRPr="00E3292D">
        <w:rPr>
          <w:sz w:val="24"/>
          <w:szCs w:val="24"/>
          <w:lang w:val="en-GB"/>
        </w:rPr>
        <w:t>Vectastain</w:t>
      </w:r>
      <w:proofErr w:type="spellEnd"/>
      <w:r w:rsidR="00FF22BC" w:rsidRPr="00E3292D">
        <w:rPr>
          <w:sz w:val="24"/>
          <w:szCs w:val="24"/>
          <w:lang w:val="en-GB"/>
        </w:rPr>
        <w:t xml:space="preserve"> ABC kit (Vector Laboratories) with </w:t>
      </w:r>
      <w:proofErr w:type="spellStart"/>
      <w:r w:rsidR="00FF22BC" w:rsidRPr="00E3292D">
        <w:rPr>
          <w:sz w:val="24"/>
          <w:szCs w:val="24"/>
          <w:lang w:val="en-GB"/>
        </w:rPr>
        <w:t>NovaRED</w:t>
      </w:r>
      <w:proofErr w:type="spellEnd"/>
      <w:r w:rsidR="00FF22BC" w:rsidRPr="00E3292D">
        <w:rPr>
          <w:sz w:val="24"/>
          <w:szCs w:val="24"/>
          <w:lang w:val="en-GB"/>
        </w:rPr>
        <w:t xml:space="preserve"> (Vector Laboratories) </w:t>
      </w:r>
      <w:r w:rsidR="00494B5F">
        <w:rPr>
          <w:sz w:val="24"/>
          <w:szCs w:val="24"/>
          <w:lang w:val="en-GB"/>
        </w:rPr>
        <w:t>was</w:t>
      </w:r>
      <w:r w:rsidR="00494B5F" w:rsidRPr="00E3292D">
        <w:rPr>
          <w:sz w:val="24"/>
          <w:szCs w:val="24"/>
          <w:lang w:val="en-GB"/>
        </w:rPr>
        <w:t xml:space="preserve"> </w:t>
      </w:r>
      <w:r w:rsidR="00FF22BC" w:rsidRPr="00E3292D">
        <w:rPr>
          <w:sz w:val="24"/>
          <w:szCs w:val="24"/>
          <w:lang w:val="en-GB"/>
        </w:rPr>
        <w:t>used.</w:t>
      </w:r>
    </w:p>
    <w:p w14:paraId="3328DB56" w14:textId="77777777" w:rsidR="001B627D" w:rsidRDefault="001B627D" w:rsidP="00892FE6">
      <w:pPr>
        <w:spacing w:after="0" w:line="480" w:lineRule="auto"/>
        <w:jc w:val="both"/>
        <w:rPr>
          <w:sz w:val="24"/>
          <w:szCs w:val="24"/>
          <w:lang w:val="en-GB"/>
        </w:rPr>
      </w:pPr>
    </w:p>
    <w:p w14:paraId="2AE0AE24" w14:textId="77777777" w:rsidR="00892FE6" w:rsidRDefault="00892FE6" w:rsidP="00892FE6">
      <w:pPr>
        <w:spacing w:after="0" w:line="480" w:lineRule="auto"/>
        <w:jc w:val="both"/>
        <w:rPr>
          <w:sz w:val="24"/>
          <w:szCs w:val="24"/>
          <w:lang w:val="en-GB"/>
        </w:rPr>
      </w:pPr>
    </w:p>
    <w:p w14:paraId="4B692CAF" w14:textId="77777777" w:rsidR="00892FE6" w:rsidRPr="00F027AB" w:rsidRDefault="00892FE6" w:rsidP="00892FE6">
      <w:pPr>
        <w:spacing w:after="0" w:line="480" w:lineRule="auto"/>
        <w:jc w:val="both"/>
        <w:rPr>
          <w:sz w:val="24"/>
          <w:szCs w:val="24"/>
          <w:lang w:val="en-GB"/>
        </w:rPr>
      </w:pPr>
    </w:p>
    <w:p w14:paraId="295F8896" w14:textId="01F5D2E7" w:rsidR="00E3292D" w:rsidRPr="00ED600B" w:rsidRDefault="00E3292D" w:rsidP="00892FE6">
      <w:pPr>
        <w:spacing w:after="0" w:line="480" w:lineRule="auto"/>
        <w:jc w:val="both"/>
        <w:rPr>
          <w:b/>
          <w:sz w:val="24"/>
          <w:szCs w:val="24"/>
          <w:shd w:val="clear" w:color="auto" w:fill="FFFF00"/>
          <w:lang w:val="en-GB"/>
        </w:rPr>
      </w:pPr>
      <w:r w:rsidRPr="00ED600B">
        <w:rPr>
          <w:b/>
          <w:sz w:val="24"/>
          <w:szCs w:val="24"/>
          <w:lang w:val="en-GB"/>
        </w:rPr>
        <w:lastRenderedPageBreak/>
        <w:t xml:space="preserve">Assessment of </w:t>
      </w:r>
      <w:r w:rsidR="00BA1C9E" w:rsidRPr="00ED600B">
        <w:rPr>
          <w:b/>
          <w:sz w:val="24"/>
          <w:szCs w:val="24"/>
          <w:lang w:val="en-GB"/>
        </w:rPr>
        <w:t xml:space="preserve">potency of </w:t>
      </w:r>
      <w:r w:rsidRPr="00ED600B">
        <w:rPr>
          <w:b/>
          <w:sz w:val="24"/>
          <w:szCs w:val="24"/>
          <w:lang w:val="en-GB"/>
        </w:rPr>
        <w:t>in vitro rabbit βNGF</w:t>
      </w:r>
      <w:r w:rsidRPr="00AF5CFA">
        <w:rPr>
          <w:b/>
          <w:sz w:val="24"/>
          <w:szCs w:val="24"/>
          <w:shd w:val="clear" w:color="auto" w:fill="FFFF00"/>
          <w:lang w:val="en-GB"/>
        </w:rPr>
        <w:t xml:space="preserve"> </w:t>
      </w:r>
    </w:p>
    <w:p w14:paraId="5107BD3B" w14:textId="1816DCAE" w:rsidR="00E3292D" w:rsidRDefault="00BA1C9E" w:rsidP="00892FE6">
      <w:pPr>
        <w:spacing w:after="0" w:line="480" w:lineRule="auto"/>
        <w:jc w:val="both"/>
        <w:rPr>
          <w:sz w:val="24"/>
          <w:szCs w:val="24"/>
          <w:lang w:val="en-GB"/>
        </w:rPr>
      </w:pPr>
      <w:r w:rsidRPr="00ED600B">
        <w:rPr>
          <w:sz w:val="24"/>
          <w:szCs w:val="24"/>
          <w:lang w:val="en-GB"/>
        </w:rPr>
        <w:t xml:space="preserve">Comparison of potency of </w:t>
      </w:r>
      <w:proofErr w:type="spellStart"/>
      <w:r w:rsidRPr="00ED600B">
        <w:rPr>
          <w:sz w:val="24"/>
          <w:szCs w:val="24"/>
          <w:lang w:val="en-GB"/>
        </w:rPr>
        <w:t>rrbNGF</w:t>
      </w:r>
      <w:proofErr w:type="spellEnd"/>
      <w:r w:rsidRPr="00ED600B">
        <w:rPr>
          <w:sz w:val="24"/>
          <w:szCs w:val="24"/>
          <w:lang w:val="en-GB"/>
        </w:rPr>
        <w:t xml:space="preserve"> </w:t>
      </w:r>
      <w:r w:rsidR="001B627D">
        <w:rPr>
          <w:sz w:val="24"/>
          <w:szCs w:val="24"/>
          <w:lang w:val="en-GB"/>
        </w:rPr>
        <w:t>synthesized</w:t>
      </w:r>
      <w:r w:rsidRPr="00ED600B">
        <w:rPr>
          <w:sz w:val="24"/>
          <w:szCs w:val="24"/>
          <w:lang w:val="en-GB"/>
        </w:rPr>
        <w:t xml:space="preserve"> by </w:t>
      </w:r>
      <w:proofErr w:type="spellStart"/>
      <w:r w:rsidRPr="00ED600B">
        <w:rPr>
          <w:sz w:val="24"/>
          <w:szCs w:val="24"/>
          <w:lang w:val="en-GB"/>
        </w:rPr>
        <w:t>Genescript</w:t>
      </w:r>
      <w:proofErr w:type="spellEnd"/>
      <w:r w:rsidRPr="00ED600B">
        <w:rPr>
          <w:sz w:val="24"/>
          <w:szCs w:val="24"/>
          <w:lang w:val="en-GB"/>
        </w:rPr>
        <w:t xml:space="preserve"> (GenBank KX528686; Sánchez-Rodriguez et al., 2018; </w:t>
      </w:r>
      <w:proofErr w:type="spellStart"/>
      <w:r w:rsidRPr="00ED600B">
        <w:rPr>
          <w:sz w:val="24"/>
          <w:szCs w:val="24"/>
          <w:lang w:val="en-GB"/>
        </w:rPr>
        <w:t>Genscript</w:t>
      </w:r>
      <w:proofErr w:type="spellEnd"/>
      <w:r w:rsidRPr="00ED600B">
        <w:rPr>
          <w:sz w:val="24"/>
          <w:szCs w:val="24"/>
          <w:lang w:val="en-GB"/>
        </w:rPr>
        <w:t xml:space="preserve"> Biotech, New Jersey, USA) to commercial murine NGF (R&amp;D Systems, Minneapolis, USA) was first </w:t>
      </w:r>
      <w:r w:rsidR="001B627D">
        <w:rPr>
          <w:sz w:val="24"/>
          <w:szCs w:val="24"/>
          <w:lang w:val="en-GB"/>
        </w:rPr>
        <w:t>established</w:t>
      </w:r>
      <w:r w:rsidRPr="00ED600B">
        <w:rPr>
          <w:sz w:val="24"/>
          <w:szCs w:val="24"/>
          <w:lang w:val="en-GB"/>
        </w:rPr>
        <w:t xml:space="preserve">.  </w:t>
      </w:r>
      <w:r w:rsidR="00E3292D" w:rsidRPr="00ED600B">
        <w:rPr>
          <w:sz w:val="24"/>
          <w:szCs w:val="24"/>
          <w:lang w:val="en-GB"/>
        </w:rPr>
        <w:t xml:space="preserve">The following experimental groups were: </w:t>
      </w:r>
      <w:proofErr w:type="spellStart"/>
      <w:r w:rsidR="00E3292D" w:rsidRPr="00ED600B">
        <w:rPr>
          <w:sz w:val="24"/>
          <w:szCs w:val="24"/>
          <w:lang w:val="en-GB"/>
        </w:rPr>
        <w:t>i</w:t>
      </w:r>
      <w:proofErr w:type="spellEnd"/>
      <w:r w:rsidR="00E3292D" w:rsidRPr="00ED600B">
        <w:rPr>
          <w:sz w:val="24"/>
          <w:szCs w:val="24"/>
          <w:lang w:val="en-GB"/>
        </w:rPr>
        <w:t xml:space="preserve">) Control, complete RPMI medium; ii) rNGF25, RPMI medium + 25 ng/ml </w:t>
      </w:r>
      <w:proofErr w:type="spellStart"/>
      <w:r w:rsidR="00E3292D" w:rsidRPr="00ED600B">
        <w:rPr>
          <w:sz w:val="24"/>
          <w:szCs w:val="24"/>
          <w:lang w:val="en-GB"/>
        </w:rPr>
        <w:t>rrBNGF</w:t>
      </w:r>
      <w:proofErr w:type="spellEnd"/>
      <w:r w:rsidR="001B627D">
        <w:rPr>
          <w:sz w:val="24"/>
          <w:szCs w:val="24"/>
          <w:lang w:val="en-GB"/>
        </w:rPr>
        <w:t>;</w:t>
      </w:r>
      <w:r w:rsidR="00E3292D" w:rsidRPr="00ED600B">
        <w:rPr>
          <w:sz w:val="24"/>
          <w:szCs w:val="24"/>
          <w:lang w:val="en-GB"/>
        </w:rPr>
        <w:t xml:space="preserve"> iii) rNGF50, medium + 50 ng/ml </w:t>
      </w:r>
      <w:proofErr w:type="spellStart"/>
      <w:r w:rsidR="00E3292D" w:rsidRPr="00ED600B">
        <w:rPr>
          <w:sz w:val="24"/>
          <w:szCs w:val="24"/>
          <w:lang w:val="en-GB"/>
        </w:rPr>
        <w:t>rrBNGF</w:t>
      </w:r>
      <w:proofErr w:type="spellEnd"/>
      <w:r w:rsidR="00E3292D" w:rsidRPr="00ED600B">
        <w:rPr>
          <w:sz w:val="24"/>
          <w:szCs w:val="24"/>
          <w:lang w:val="en-GB"/>
        </w:rPr>
        <w:t xml:space="preserve">; iv) mNGF50, medium + 50 ng/ml </w:t>
      </w:r>
      <w:proofErr w:type="spellStart"/>
      <w:r w:rsidR="00E3292D" w:rsidRPr="00ED600B">
        <w:rPr>
          <w:sz w:val="24"/>
          <w:szCs w:val="24"/>
          <w:lang w:val="en-GB"/>
        </w:rPr>
        <w:t>mrBNGF</w:t>
      </w:r>
      <w:proofErr w:type="spellEnd"/>
      <w:r w:rsidR="001B627D">
        <w:rPr>
          <w:sz w:val="24"/>
          <w:szCs w:val="24"/>
          <w:lang w:val="en-GB"/>
        </w:rPr>
        <w:t>;</w:t>
      </w:r>
      <w:r w:rsidR="00E3292D" w:rsidRPr="00ED600B">
        <w:rPr>
          <w:sz w:val="24"/>
          <w:szCs w:val="24"/>
          <w:lang w:val="en-GB"/>
        </w:rPr>
        <w:t xml:space="preserve"> and v) mNGF100, medium + 100 ng/ml </w:t>
      </w:r>
      <w:proofErr w:type="spellStart"/>
      <w:r w:rsidR="00E3292D" w:rsidRPr="00ED600B">
        <w:rPr>
          <w:sz w:val="24"/>
          <w:szCs w:val="24"/>
          <w:lang w:val="en-GB"/>
        </w:rPr>
        <w:t>mrBNGF</w:t>
      </w:r>
      <w:proofErr w:type="spellEnd"/>
      <w:r w:rsidR="00E3292D" w:rsidRPr="00ED600B">
        <w:rPr>
          <w:sz w:val="24"/>
          <w:szCs w:val="24"/>
          <w:lang w:val="en-GB"/>
        </w:rPr>
        <w:t xml:space="preserve">. Differentiation medium was refreshed every 48 h. Morphological cell features (rounded, fusiform or star-like cells; cells with </w:t>
      </w:r>
      <w:r w:rsidR="0080541B">
        <w:rPr>
          <w:sz w:val="24"/>
          <w:szCs w:val="24"/>
          <w:lang w:val="en-GB"/>
        </w:rPr>
        <w:t>1, 2-3 or more than 3</w:t>
      </w:r>
      <w:r w:rsidR="00E3292D" w:rsidRPr="0080541B">
        <w:rPr>
          <w:sz w:val="24"/>
          <w:szCs w:val="24"/>
          <w:lang w:val="en-GB"/>
        </w:rPr>
        <w:t xml:space="preserve"> neurites</w:t>
      </w:r>
      <w:r w:rsidR="0080541B">
        <w:rPr>
          <w:sz w:val="24"/>
          <w:szCs w:val="24"/>
          <w:lang w:val="en-GB"/>
        </w:rPr>
        <w:t>;</w:t>
      </w:r>
      <w:r w:rsidR="00E3292D" w:rsidRPr="0080541B">
        <w:rPr>
          <w:sz w:val="24"/>
          <w:szCs w:val="24"/>
          <w:lang w:val="en-GB"/>
        </w:rPr>
        <w:t xml:space="preserve"> cells with </w:t>
      </w:r>
      <w:r w:rsidR="0080541B">
        <w:rPr>
          <w:sz w:val="24"/>
          <w:szCs w:val="24"/>
          <w:lang w:val="en-GB"/>
        </w:rPr>
        <w:t xml:space="preserve">ramified </w:t>
      </w:r>
      <w:r w:rsidR="00E3292D" w:rsidRPr="0080541B">
        <w:rPr>
          <w:sz w:val="24"/>
          <w:szCs w:val="24"/>
          <w:lang w:val="en-GB"/>
        </w:rPr>
        <w:t>neurites</w:t>
      </w:r>
      <w:r w:rsidR="0080541B">
        <w:rPr>
          <w:sz w:val="24"/>
          <w:szCs w:val="24"/>
          <w:lang w:val="en-GB"/>
        </w:rPr>
        <w:t>; and cells with neurites</w:t>
      </w:r>
      <w:r w:rsidR="00E3292D" w:rsidRPr="0080541B">
        <w:rPr>
          <w:sz w:val="24"/>
          <w:szCs w:val="24"/>
          <w:lang w:val="en-GB"/>
        </w:rPr>
        <w:t xml:space="preserve"> shorter or longer than one cell diameter and neurite density) were evaluated based on microscopic images taken on days 3, 5 and 7 after BNGF addition. All these parameters were determined in 5 fields with cells in 3 different wells</w:t>
      </w:r>
      <w:r w:rsidR="001B627D">
        <w:rPr>
          <w:sz w:val="24"/>
          <w:szCs w:val="24"/>
          <w:lang w:val="en-GB"/>
        </w:rPr>
        <w:t>,</w:t>
      </w:r>
      <w:r w:rsidR="00E3292D" w:rsidRPr="0080541B">
        <w:rPr>
          <w:sz w:val="24"/>
          <w:szCs w:val="24"/>
          <w:lang w:val="en-GB"/>
        </w:rPr>
        <w:t xml:space="preserve"> and 3 independent replicates were done. </w:t>
      </w:r>
      <w:r w:rsidR="001B627D" w:rsidRPr="001B627D">
        <w:rPr>
          <w:sz w:val="24"/>
          <w:szCs w:val="24"/>
          <w:lang w:val="en-GB"/>
        </w:rPr>
        <w:t>According to Sanchez Rodriguez et al., 2018 [1], ImageJ software was used for image analysis</w:t>
      </w:r>
      <w:r w:rsidR="00E3292D" w:rsidRPr="0080541B">
        <w:rPr>
          <w:sz w:val="24"/>
          <w:szCs w:val="24"/>
          <w:lang w:val="en-GB"/>
        </w:rPr>
        <w:t>.</w:t>
      </w:r>
      <w:r w:rsidR="00E3292D" w:rsidRPr="00E3292D">
        <w:rPr>
          <w:sz w:val="24"/>
          <w:szCs w:val="24"/>
          <w:lang w:val="en-GB"/>
        </w:rPr>
        <w:t xml:space="preserve"> </w:t>
      </w:r>
    </w:p>
    <w:p w14:paraId="43E8C8B7" w14:textId="7609B67C" w:rsidR="00AF5CFA" w:rsidRPr="0080541B" w:rsidRDefault="00AF5CFA" w:rsidP="00892FE6">
      <w:pPr>
        <w:spacing w:after="0" w:line="480" w:lineRule="auto"/>
        <w:jc w:val="both"/>
        <w:rPr>
          <w:sz w:val="24"/>
          <w:szCs w:val="24"/>
          <w:lang w:val="en-GB"/>
        </w:rPr>
      </w:pPr>
      <w:r>
        <w:rPr>
          <w:sz w:val="24"/>
          <w:szCs w:val="24"/>
          <w:lang w:val="en-GB"/>
        </w:rPr>
        <w:t>Cell viability analysis was performed with MTT assay according to manufacturer instructions</w:t>
      </w:r>
      <w:r w:rsidR="0080541B">
        <w:rPr>
          <w:sz w:val="24"/>
          <w:szCs w:val="24"/>
          <w:lang w:val="en-GB"/>
        </w:rPr>
        <w:t>.</w:t>
      </w:r>
    </w:p>
    <w:p w14:paraId="564764F3" w14:textId="77777777" w:rsidR="006A1ED7" w:rsidRDefault="006A1ED7" w:rsidP="00892FE6">
      <w:pPr>
        <w:spacing w:after="0" w:line="480" w:lineRule="auto"/>
        <w:jc w:val="both"/>
        <w:rPr>
          <w:sz w:val="24"/>
          <w:szCs w:val="24"/>
          <w:lang w:val="en-GB"/>
        </w:rPr>
      </w:pPr>
    </w:p>
    <w:p w14:paraId="0BF8A0F6" w14:textId="4DA2665E" w:rsidR="006A1ED7" w:rsidRPr="002411C8" w:rsidRDefault="006A1ED7" w:rsidP="00892FE6">
      <w:pPr>
        <w:spacing w:after="0" w:line="480" w:lineRule="auto"/>
        <w:jc w:val="both"/>
        <w:rPr>
          <w:b/>
          <w:sz w:val="24"/>
          <w:szCs w:val="24"/>
          <w:lang w:val="en-GB"/>
        </w:rPr>
      </w:pPr>
      <w:r w:rsidRPr="002411C8">
        <w:rPr>
          <w:b/>
          <w:sz w:val="24"/>
          <w:szCs w:val="24"/>
          <w:lang w:val="en-GB"/>
        </w:rPr>
        <w:t>Statistical analysis</w:t>
      </w:r>
    </w:p>
    <w:p w14:paraId="27801B91" w14:textId="6298854A" w:rsidR="00AF5CFA" w:rsidRDefault="00755701" w:rsidP="00892FE6">
      <w:pPr>
        <w:spacing w:after="0" w:line="480" w:lineRule="auto"/>
        <w:jc w:val="both"/>
        <w:rPr>
          <w:sz w:val="24"/>
          <w:szCs w:val="24"/>
          <w:lang w:val="en-GB"/>
        </w:rPr>
      </w:pPr>
      <w:r>
        <w:rPr>
          <w:sz w:val="24"/>
          <w:szCs w:val="24"/>
          <w:lang w:val="en-GB"/>
        </w:rPr>
        <w:t xml:space="preserve">For morphometric studies, a two-way ANOVA with repeated measures test was performed. </w:t>
      </w:r>
      <w:proofErr w:type="spellStart"/>
      <w:r>
        <w:rPr>
          <w:sz w:val="24"/>
          <w:szCs w:val="24"/>
          <w:lang w:val="en-GB"/>
        </w:rPr>
        <w:t>rrBNGF</w:t>
      </w:r>
      <w:proofErr w:type="spellEnd"/>
      <w:r>
        <w:rPr>
          <w:sz w:val="24"/>
          <w:szCs w:val="24"/>
          <w:lang w:val="en-GB"/>
        </w:rPr>
        <w:t xml:space="preserve"> supplemented medium (control, </w:t>
      </w:r>
      <w:r w:rsidRPr="00ED600B">
        <w:rPr>
          <w:sz w:val="24"/>
          <w:szCs w:val="24"/>
          <w:lang w:val="en-GB"/>
        </w:rPr>
        <w:t>mNGF50, mNGF100, rNGF25, rNGF50</w:t>
      </w:r>
      <w:r>
        <w:rPr>
          <w:sz w:val="24"/>
          <w:szCs w:val="24"/>
          <w:lang w:val="en-GB"/>
        </w:rPr>
        <w:t xml:space="preserve">) and analysis examination days (3, 5 and 7) were used as fixed effects. Interaction between fixed effects was also analysed in the statistical test. For </w:t>
      </w:r>
      <w:r w:rsidR="001B627D">
        <w:rPr>
          <w:sz w:val="24"/>
          <w:szCs w:val="24"/>
          <w:lang w:val="en-GB"/>
        </w:rPr>
        <w:t>cell viability study</w:t>
      </w:r>
      <w:r>
        <w:rPr>
          <w:sz w:val="24"/>
          <w:szCs w:val="24"/>
          <w:lang w:val="en-GB"/>
        </w:rPr>
        <w:t>, a one-way ANOVA test was conducted with supplemented medium (</w:t>
      </w:r>
      <w:r w:rsidRPr="00ED600B">
        <w:rPr>
          <w:sz w:val="24"/>
          <w:szCs w:val="24"/>
          <w:lang w:val="en-GB"/>
        </w:rPr>
        <w:t>control, mNGF50, mNGF100, rNGF25</w:t>
      </w:r>
      <w:r>
        <w:rPr>
          <w:sz w:val="24"/>
          <w:szCs w:val="24"/>
          <w:lang w:val="en-GB"/>
        </w:rPr>
        <w:t xml:space="preserve">) as the fixed effect. Results are shown as </w:t>
      </w:r>
      <w:proofErr w:type="spellStart"/>
      <w:r>
        <w:rPr>
          <w:sz w:val="24"/>
          <w:szCs w:val="24"/>
          <w:lang w:val="en-GB"/>
        </w:rPr>
        <w:t>mean±S.D</w:t>
      </w:r>
      <w:proofErr w:type="spellEnd"/>
      <w:r>
        <w:rPr>
          <w:sz w:val="24"/>
          <w:szCs w:val="24"/>
          <w:lang w:val="en-GB"/>
        </w:rPr>
        <w:t>.</w:t>
      </w:r>
    </w:p>
    <w:p w14:paraId="31BB168C" w14:textId="77777777" w:rsidR="0082126F" w:rsidRDefault="0082126F" w:rsidP="00892FE6">
      <w:pPr>
        <w:spacing w:after="0" w:line="480" w:lineRule="auto"/>
        <w:jc w:val="both"/>
        <w:rPr>
          <w:sz w:val="24"/>
          <w:szCs w:val="24"/>
          <w:lang w:val="en-GB"/>
        </w:rPr>
      </w:pPr>
    </w:p>
    <w:p w14:paraId="0EBBC958" w14:textId="44A3D709" w:rsidR="0082126F" w:rsidRPr="00E3292D" w:rsidRDefault="006E31D9" w:rsidP="00892FE6">
      <w:pPr>
        <w:spacing w:after="0" w:line="480" w:lineRule="auto"/>
        <w:jc w:val="both"/>
        <w:rPr>
          <w:b/>
          <w:sz w:val="24"/>
          <w:szCs w:val="24"/>
          <w:lang w:val="en-GB"/>
        </w:rPr>
      </w:pPr>
      <w:r>
        <w:rPr>
          <w:b/>
          <w:sz w:val="24"/>
          <w:szCs w:val="24"/>
          <w:lang w:val="en-GB"/>
        </w:rPr>
        <w:lastRenderedPageBreak/>
        <w:t>Results</w:t>
      </w:r>
    </w:p>
    <w:p w14:paraId="4BF16631" w14:textId="1A904F05" w:rsidR="00FF22BC" w:rsidRPr="00E3292D" w:rsidRDefault="00FF22BC" w:rsidP="00892FE6">
      <w:pPr>
        <w:spacing w:after="0" w:line="480" w:lineRule="auto"/>
        <w:jc w:val="both"/>
        <w:rPr>
          <w:sz w:val="24"/>
          <w:szCs w:val="24"/>
          <w:lang w:val="en-GB"/>
        </w:rPr>
      </w:pPr>
      <w:proofErr w:type="spellStart"/>
      <w:r w:rsidRPr="00E3292D">
        <w:rPr>
          <w:b/>
          <w:sz w:val="24"/>
          <w:szCs w:val="24"/>
          <w:lang w:val="en-GB"/>
        </w:rPr>
        <w:t>rrBNGF</w:t>
      </w:r>
      <w:proofErr w:type="spellEnd"/>
      <w:r w:rsidRPr="00E3292D">
        <w:rPr>
          <w:b/>
          <w:sz w:val="24"/>
          <w:szCs w:val="24"/>
          <w:lang w:val="en-GB"/>
        </w:rPr>
        <w:t xml:space="preserve"> receptors on PC12 cells</w:t>
      </w:r>
    </w:p>
    <w:p w14:paraId="06EA335B" w14:textId="5E325781" w:rsidR="00FF22BC" w:rsidRDefault="00FF22BC" w:rsidP="00892FE6">
      <w:pPr>
        <w:spacing w:after="0" w:line="480" w:lineRule="auto"/>
        <w:jc w:val="both"/>
        <w:rPr>
          <w:sz w:val="24"/>
          <w:szCs w:val="24"/>
          <w:lang w:val="en-GB"/>
        </w:rPr>
      </w:pPr>
      <w:r w:rsidRPr="00E3292D">
        <w:rPr>
          <w:sz w:val="24"/>
          <w:szCs w:val="24"/>
          <w:lang w:val="en-GB"/>
        </w:rPr>
        <w:t xml:space="preserve">After </w:t>
      </w:r>
      <w:r w:rsidR="001B627D">
        <w:rPr>
          <w:sz w:val="24"/>
          <w:szCs w:val="24"/>
          <w:lang w:val="en-GB"/>
        </w:rPr>
        <w:t>seven</w:t>
      </w:r>
      <w:r w:rsidRPr="00E3292D">
        <w:rPr>
          <w:sz w:val="24"/>
          <w:szCs w:val="24"/>
          <w:lang w:val="en-GB"/>
        </w:rPr>
        <w:t xml:space="preserve"> days in culture, PC12 cells showed positive </w:t>
      </w:r>
      <w:r w:rsidR="001B627D">
        <w:rPr>
          <w:sz w:val="24"/>
          <w:szCs w:val="24"/>
          <w:lang w:val="en-GB"/>
        </w:rPr>
        <w:t>signals</w:t>
      </w:r>
      <w:r w:rsidRPr="00E3292D">
        <w:rPr>
          <w:sz w:val="24"/>
          <w:szCs w:val="24"/>
          <w:lang w:val="en-GB"/>
        </w:rPr>
        <w:t xml:space="preserve"> for TrkA (Fig. </w:t>
      </w:r>
      <w:r w:rsidR="00790995">
        <w:rPr>
          <w:sz w:val="24"/>
          <w:szCs w:val="24"/>
          <w:lang w:val="en-GB"/>
        </w:rPr>
        <w:t>1</w:t>
      </w:r>
      <w:r w:rsidRPr="00E3292D">
        <w:rPr>
          <w:sz w:val="24"/>
          <w:szCs w:val="24"/>
          <w:lang w:val="en-GB"/>
        </w:rPr>
        <w:t>A) and p75</w:t>
      </w:r>
      <w:r w:rsidR="00790995">
        <w:rPr>
          <w:sz w:val="24"/>
          <w:szCs w:val="24"/>
          <w:lang w:val="en-GB"/>
        </w:rPr>
        <w:t xml:space="preserve"> (Fig. 1B) </w:t>
      </w:r>
      <w:r w:rsidRPr="00E3292D">
        <w:rPr>
          <w:sz w:val="24"/>
          <w:szCs w:val="24"/>
          <w:lang w:val="en-GB"/>
        </w:rPr>
        <w:t xml:space="preserve">staining </w:t>
      </w:r>
      <w:r w:rsidR="00ED600B">
        <w:rPr>
          <w:sz w:val="24"/>
          <w:szCs w:val="24"/>
          <w:lang w:val="en-GB"/>
        </w:rPr>
        <w:t xml:space="preserve">in the cell membrane </w:t>
      </w:r>
      <w:r w:rsidRPr="00E3292D">
        <w:rPr>
          <w:sz w:val="24"/>
          <w:szCs w:val="24"/>
          <w:lang w:val="en-GB"/>
        </w:rPr>
        <w:t>(</w:t>
      </w:r>
      <w:r w:rsidR="0018650F">
        <w:rPr>
          <w:sz w:val="24"/>
          <w:szCs w:val="24"/>
          <w:lang w:val="en-GB"/>
        </w:rPr>
        <w:t>Supplementary Figure 1)</w:t>
      </w:r>
      <w:r w:rsidRPr="00E3292D">
        <w:rPr>
          <w:sz w:val="24"/>
          <w:szCs w:val="24"/>
          <w:lang w:val="en-GB"/>
        </w:rPr>
        <w:t>.</w:t>
      </w:r>
    </w:p>
    <w:p w14:paraId="4363C93B" w14:textId="5B03BC17" w:rsidR="00F027AB" w:rsidRDefault="00F027AB" w:rsidP="00892FE6">
      <w:pPr>
        <w:spacing w:after="0" w:line="480" w:lineRule="auto"/>
        <w:jc w:val="center"/>
        <w:rPr>
          <w:sz w:val="24"/>
          <w:szCs w:val="24"/>
          <w:lang w:val="en-GB"/>
        </w:rPr>
      </w:pPr>
      <w:r>
        <w:rPr>
          <w:noProof/>
          <w:sz w:val="24"/>
          <w:szCs w:val="24"/>
          <w:lang w:val="en-GB"/>
        </w:rPr>
        <w:drawing>
          <wp:anchor distT="0" distB="0" distL="114300" distR="114300" simplePos="0" relativeHeight="251658240" behindDoc="0" locked="0" layoutInCell="1" allowOverlap="1" wp14:anchorId="31C6E682" wp14:editId="44EEA3EB">
            <wp:simplePos x="0" y="0"/>
            <wp:positionH relativeFrom="margin">
              <wp:align>center</wp:align>
            </wp:positionH>
            <wp:positionV relativeFrom="paragraph">
              <wp:posOffset>231775</wp:posOffset>
            </wp:positionV>
            <wp:extent cx="3706495" cy="1743710"/>
            <wp:effectExtent l="0" t="0" r="8255" b="8890"/>
            <wp:wrapTopAndBottom/>
            <wp:docPr id="16394731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6495" cy="1743710"/>
                    </a:xfrm>
                    <a:prstGeom prst="rect">
                      <a:avLst/>
                    </a:prstGeom>
                    <a:noFill/>
                  </pic:spPr>
                </pic:pic>
              </a:graphicData>
            </a:graphic>
          </wp:anchor>
        </w:drawing>
      </w:r>
    </w:p>
    <w:p w14:paraId="0C0F0A7B" w14:textId="77777777" w:rsidR="00F027AB" w:rsidRPr="00F027AB" w:rsidRDefault="00F027AB" w:rsidP="00892FE6">
      <w:pPr>
        <w:spacing w:after="0" w:line="480" w:lineRule="auto"/>
        <w:jc w:val="both"/>
        <w:rPr>
          <w:sz w:val="24"/>
          <w:szCs w:val="24"/>
          <w:lang w:val="en-GB"/>
        </w:rPr>
      </w:pPr>
      <w:r w:rsidRPr="00F027AB">
        <w:rPr>
          <w:b/>
          <w:bCs/>
          <w:sz w:val="24"/>
          <w:szCs w:val="24"/>
          <w:lang w:val="en-GB"/>
        </w:rPr>
        <w:t xml:space="preserve">Supplementary Figure 1. </w:t>
      </w:r>
      <w:r w:rsidRPr="00F027AB">
        <w:rPr>
          <w:sz w:val="24"/>
          <w:szCs w:val="24"/>
          <w:lang w:val="en-GB"/>
        </w:rPr>
        <w:t xml:space="preserve">Analysis of NGF receptor expression on PC12 cells. Subcellular localization of BNGF receptors by immunocytochemistry analysed with (A) fluorescence for TRKA and (B) </w:t>
      </w:r>
      <w:proofErr w:type="spellStart"/>
      <w:r w:rsidRPr="00F027AB">
        <w:rPr>
          <w:sz w:val="24"/>
          <w:szCs w:val="24"/>
          <w:lang w:val="en-GB"/>
        </w:rPr>
        <w:t>NovaRed</w:t>
      </w:r>
      <w:proofErr w:type="spellEnd"/>
      <w:r w:rsidRPr="00F027AB">
        <w:rPr>
          <w:sz w:val="24"/>
          <w:szCs w:val="24"/>
          <w:lang w:val="en-GB"/>
        </w:rPr>
        <w:t xml:space="preserve"> for p75.</w:t>
      </w:r>
    </w:p>
    <w:p w14:paraId="2AB897C1" w14:textId="0D24E221" w:rsidR="00F027AB" w:rsidRDefault="00F027AB" w:rsidP="00892FE6">
      <w:pPr>
        <w:spacing w:after="0" w:line="480" w:lineRule="auto"/>
        <w:jc w:val="center"/>
        <w:rPr>
          <w:sz w:val="24"/>
          <w:szCs w:val="24"/>
          <w:lang w:val="en-GB"/>
        </w:rPr>
      </w:pPr>
    </w:p>
    <w:p w14:paraId="275CAF44" w14:textId="3BE10848" w:rsidR="00DC11C7" w:rsidRPr="00ED600B" w:rsidRDefault="00DC11C7" w:rsidP="00892FE6">
      <w:pPr>
        <w:spacing w:after="0" w:line="480" w:lineRule="auto"/>
        <w:jc w:val="both"/>
        <w:rPr>
          <w:b/>
          <w:sz w:val="24"/>
          <w:szCs w:val="24"/>
          <w:lang w:val="en-GB"/>
        </w:rPr>
      </w:pPr>
      <w:proofErr w:type="spellStart"/>
      <w:r w:rsidRPr="00ED600B">
        <w:rPr>
          <w:b/>
          <w:sz w:val="24"/>
          <w:szCs w:val="24"/>
          <w:lang w:val="en-GB"/>
        </w:rPr>
        <w:t>rrBNGF</w:t>
      </w:r>
      <w:proofErr w:type="spellEnd"/>
      <w:r w:rsidRPr="00ED600B">
        <w:rPr>
          <w:b/>
          <w:sz w:val="24"/>
          <w:szCs w:val="24"/>
          <w:lang w:val="en-GB"/>
        </w:rPr>
        <w:t xml:space="preserve"> potency </w:t>
      </w:r>
    </w:p>
    <w:p w14:paraId="29BC9993" w14:textId="3034D29E" w:rsidR="00DC11C7" w:rsidRPr="00ED600B" w:rsidRDefault="00DC11C7" w:rsidP="00892FE6">
      <w:pPr>
        <w:spacing w:after="0" w:line="480" w:lineRule="auto"/>
        <w:jc w:val="both"/>
        <w:rPr>
          <w:sz w:val="24"/>
          <w:szCs w:val="24"/>
          <w:lang w:val="en-GB"/>
        </w:rPr>
      </w:pPr>
      <w:r w:rsidRPr="00ED600B">
        <w:rPr>
          <w:sz w:val="24"/>
          <w:szCs w:val="24"/>
          <w:lang w:val="en-GB"/>
        </w:rPr>
        <w:t>While 95% of control PC12 cells remained undifferentiated (rounded) at all stages, this percentage was low and decreased over time in all groups treated with BNGF (</w:t>
      </w:r>
      <w:r w:rsidR="008A3841">
        <w:rPr>
          <w:sz w:val="24"/>
          <w:szCs w:val="24"/>
          <w:lang w:val="en-GB"/>
        </w:rPr>
        <w:t>Supplementary Figure 2A</w:t>
      </w:r>
      <w:r w:rsidRPr="00ED600B">
        <w:rPr>
          <w:sz w:val="24"/>
          <w:szCs w:val="24"/>
          <w:lang w:val="en-GB"/>
        </w:rPr>
        <w:t>). In line with these results, the percentage of differentiated cells showing fusiform (</w:t>
      </w:r>
      <w:r w:rsidR="008A3841">
        <w:rPr>
          <w:sz w:val="24"/>
          <w:szCs w:val="24"/>
          <w:lang w:val="en-GB"/>
        </w:rPr>
        <w:t>Supplementary Figure 2B</w:t>
      </w:r>
      <w:proofErr w:type="gramStart"/>
      <w:r w:rsidRPr="00ED600B">
        <w:rPr>
          <w:sz w:val="24"/>
          <w:szCs w:val="24"/>
          <w:lang w:val="en-GB"/>
        </w:rPr>
        <w:t>)</w:t>
      </w:r>
      <w:proofErr w:type="gramEnd"/>
      <w:r w:rsidRPr="00ED600B">
        <w:rPr>
          <w:sz w:val="24"/>
          <w:szCs w:val="24"/>
          <w:lang w:val="en-GB"/>
        </w:rPr>
        <w:t xml:space="preserve"> and star-like morphologies (</w:t>
      </w:r>
      <w:r w:rsidR="008A3841">
        <w:rPr>
          <w:sz w:val="24"/>
          <w:szCs w:val="24"/>
          <w:lang w:val="en-GB"/>
        </w:rPr>
        <w:t>Supplementary Figure 2C</w:t>
      </w:r>
      <w:r w:rsidRPr="00ED600B">
        <w:rPr>
          <w:sz w:val="24"/>
          <w:szCs w:val="24"/>
          <w:lang w:val="en-GB"/>
        </w:rPr>
        <w:t>) was higher in cells grown with NGF-supplemented medium than in control medium cells and increased over time. In the case of star-like shaped cells, groups mNGF50 and rNGF50 showed the highest increase (</w:t>
      </w:r>
      <w:r w:rsidR="008A3841">
        <w:rPr>
          <w:sz w:val="24"/>
          <w:szCs w:val="24"/>
          <w:lang w:val="en-GB"/>
        </w:rPr>
        <w:t>Supplementary Figure 2C</w:t>
      </w:r>
      <w:r w:rsidRPr="00ED600B">
        <w:rPr>
          <w:sz w:val="24"/>
          <w:szCs w:val="24"/>
          <w:lang w:val="en-GB"/>
        </w:rPr>
        <w:t>), indicating that these two concentrations elicit similar effects on PC12 differentiation. When cells with 1, 2-3, and more than 3 neurites were analysed (</w:t>
      </w:r>
      <w:r w:rsidR="008A3841">
        <w:rPr>
          <w:sz w:val="24"/>
          <w:szCs w:val="24"/>
          <w:lang w:val="en-GB"/>
        </w:rPr>
        <w:t>Supplementary Figure 2D</w:t>
      </w:r>
      <w:r w:rsidRPr="00ED600B">
        <w:rPr>
          <w:sz w:val="24"/>
          <w:szCs w:val="24"/>
          <w:lang w:val="en-GB"/>
        </w:rPr>
        <w:t xml:space="preserve">), a similar effect was detected, with mNGF50, mNGF100 and rBNGF50 showing the </w:t>
      </w:r>
      <w:r w:rsidR="008A7306">
        <w:rPr>
          <w:sz w:val="24"/>
          <w:szCs w:val="24"/>
          <w:lang w:val="en-GB"/>
        </w:rPr>
        <w:t>most potent</w:t>
      </w:r>
      <w:r w:rsidRPr="00ED600B">
        <w:rPr>
          <w:sz w:val="24"/>
          <w:szCs w:val="24"/>
          <w:lang w:val="en-GB"/>
        </w:rPr>
        <w:t xml:space="preserve"> </w:t>
      </w:r>
      <w:r w:rsidR="008A7306">
        <w:rPr>
          <w:sz w:val="24"/>
          <w:szCs w:val="24"/>
          <w:lang w:val="en-GB"/>
        </w:rPr>
        <w:t>results</w:t>
      </w:r>
      <w:r w:rsidR="0018650F">
        <w:rPr>
          <w:sz w:val="24"/>
          <w:szCs w:val="24"/>
          <w:lang w:val="en-GB"/>
        </w:rPr>
        <w:t>.</w:t>
      </w:r>
    </w:p>
    <w:p w14:paraId="435C5606" w14:textId="594D09C3" w:rsidR="00DC11C7" w:rsidRDefault="0018650F" w:rsidP="00892FE6">
      <w:pPr>
        <w:spacing w:after="0" w:line="480" w:lineRule="auto"/>
        <w:jc w:val="both"/>
        <w:rPr>
          <w:sz w:val="24"/>
          <w:szCs w:val="24"/>
          <w:lang w:val="en-GB"/>
        </w:rPr>
      </w:pPr>
      <w:r>
        <w:rPr>
          <w:sz w:val="24"/>
          <w:szCs w:val="24"/>
          <w:lang w:val="en-GB"/>
        </w:rPr>
        <w:lastRenderedPageBreak/>
        <w:t>Analysis</w:t>
      </w:r>
      <w:r w:rsidR="00DC11C7" w:rsidRPr="00ED600B">
        <w:rPr>
          <w:sz w:val="24"/>
          <w:szCs w:val="24"/>
          <w:lang w:val="en-GB"/>
        </w:rPr>
        <w:t xml:space="preserve"> </w:t>
      </w:r>
      <w:r w:rsidR="008A7306">
        <w:rPr>
          <w:sz w:val="24"/>
          <w:szCs w:val="24"/>
          <w:lang w:val="en-GB"/>
        </w:rPr>
        <w:t>of</w:t>
      </w:r>
      <w:r w:rsidR="00DC11C7" w:rsidRPr="00ED600B">
        <w:rPr>
          <w:sz w:val="24"/>
          <w:szCs w:val="24"/>
          <w:lang w:val="en-GB"/>
        </w:rPr>
        <w:t xml:space="preserve"> cell complexity</w:t>
      </w:r>
      <w:r>
        <w:rPr>
          <w:sz w:val="24"/>
          <w:szCs w:val="24"/>
          <w:lang w:val="en-GB"/>
        </w:rPr>
        <w:t xml:space="preserve"> showed that </w:t>
      </w:r>
      <w:r w:rsidR="00DC11C7" w:rsidRPr="00ED600B">
        <w:rPr>
          <w:sz w:val="24"/>
          <w:szCs w:val="24"/>
          <w:lang w:val="en-GB"/>
        </w:rPr>
        <w:t>the percentage of neurites shorter than average cell diameter was lower in NGF-treated groups (</w:t>
      </w:r>
      <w:r w:rsidR="00D33EEC">
        <w:rPr>
          <w:sz w:val="24"/>
          <w:szCs w:val="24"/>
          <w:lang w:val="en-GB"/>
        </w:rPr>
        <w:t>Supplementary Figure 2E</w:t>
      </w:r>
      <w:r w:rsidR="00DC11C7" w:rsidRPr="00ED600B">
        <w:rPr>
          <w:sz w:val="24"/>
          <w:szCs w:val="24"/>
          <w:lang w:val="en-GB"/>
        </w:rPr>
        <w:t xml:space="preserve">) than in control medium cells and decreased over time. In accordance </w:t>
      </w:r>
      <w:r w:rsidR="006F2ACB">
        <w:rPr>
          <w:sz w:val="24"/>
          <w:szCs w:val="24"/>
          <w:lang w:val="en-GB"/>
        </w:rPr>
        <w:t>with</w:t>
      </w:r>
      <w:r w:rsidR="006F2ACB" w:rsidRPr="00ED600B">
        <w:rPr>
          <w:sz w:val="24"/>
          <w:szCs w:val="24"/>
          <w:lang w:val="en-GB"/>
        </w:rPr>
        <w:t xml:space="preserve"> </w:t>
      </w:r>
      <w:r w:rsidR="00DC11C7" w:rsidRPr="00ED600B">
        <w:rPr>
          <w:sz w:val="24"/>
          <w:szCs w:val="24"/>
          <w:lang w:val="en-GB"/>
        </w:rPr>
        <w:t>this, the percentage of neurites longer than average cell diameter increased over time, reaching its highest levels at day 7 for cells growing in mNGF50, mNGF100</w:t>
      </w:r>
      <w:r w:rsidR="006F2ACB">
        <w:rPr>
          <w:sz w:val="24"/>
          <w:szCs w:val="24"/>
          <w:lang w:val="en-GB"/>
        </w:rPr>
        <w:t>,</w:t>
      </w:r>
      <w:r w:rsidR="00DC11C7" w:rsidRPr="00ED600B">
        <w:rPr>
          <w:sz w:val="24"/>
          <w:szCs w:val="24"/>
          <w:lang w:val="en-GB"/>
        </w:rPr>
        <w:t xml:space="preserve"> and rNGF50 supplemented media. Furthermore, the percentage of branched neurites, </w:t>
      </w:r>
      <w:r w:rsidR="006F2ACB">
        <w:rPr>
          <w:sz w:val="24"/>
          <w:szCs w:val="24"/>
          <w:lang w:val="en-GB"/>
        </w:rPr>
        <w:t>which</w:t>
      </w:r>
      <w:r w:rsidR="006F2ACB" w:rsidRPr="00ED600B">
        <w:rPr>
          <w:sz w:val="24"/>
          <w:szCs w:val="24"/>
          <w:lang w:val="en-GB"/>
        </w:rPr>
        <w:t xml:space="preserve"> </w:t>
      </w:r>
      <w:r w:rsidR="00DC11C7" w:rsidRPr="00ED600B">
        <w:rPr>
          <w:sz w:val="24"/>
          <w:szCs w:val="24"/>
          <w:lang w:val="en-GB"/>
        </w:rPr>
        <w:t>indicate highly complex and differentiated cells, also increased over time in all NGF-treated cells (</w:t>
      </w:r>
      <w:r w:rsidR="00DB7883">
        <w:rPr>
          <w:sz w:val="24"/>
          <w:szCs w:val="24"/>
          <w:lang w:val="en-GB"/>
        </w:rPr>
        <w:t>Supplementary Figure 2F</w:t>
      </w:r>
      <w:r w:rsidR="00DC11C7" w:rsidRPr="00ED600B">
        <w:rPr>
          <w:sz w:val="24"/>
          <w:szCs w:val="24"/>
          <w:lang w:val="en-GB"/>
        </w:rPr>
        <w:t>)</w:t>
      </w:r>
      <w:r w:rsidR="008A7306">
        <w:rPr>
          <w:sz w:val="24"/>
          <w:szCs w:val="24"/>
          <w:lang w:val="en-GB"/>
        </w:rPr>
        <w:t>,</w:t>
      </w:r>
      <w:r w:rsidR="00DC11C7" w:rsidRPr="00ED600B">
        <w:rPr>
          <w:sz w:val="24"/>
          <w:szCs w:val="24"/>
          <w:lang w:val="en-GB"/>
        </w:rPr>
        <w:t xml:space="preserve"> with the mNGF50, mNGF100 and rNGF50 groups showing the highest increase. Overall, this analysis showed that the NGF-supplemented media in terms of differentiation were </w:t>
      </w:r>
      <w:r w:rsidR="005D25FD">
        <w:rPr>
          <w:sz w:val="24"/>
          <w:szCs w:val="24"/>
          <w:lang w:val="en-GB"/>
        </w:rPr>
        <w:t>m</w:t>
      </w:r>
      <w:r w:rsidR="00DC11C7" w:rsidRPr="00ED600B">
        <w:rPr>
          <w:sz w:val="24"/>
          <w:szCs w:val="24"/>
          <w:lang w:val="en-GB"/>
        </w:rPr>
        <w:t xml:space="preserve">NGF100 and rNGF50 and that our novel </w:t>
      </w:r>
      <w:proofErr w:type="spellStart"/>
      <w:r w:rsidR="00DC11C7" w:rsidRPr="00ED600B">
        <w:rPr>
          <w:sz w:val="24"/>
          <w:szCs w:val="24"/>
          <w:lang w:val="en-GB"/>
        </w:rPr>
        <w:t>rrBNGF</w:t>
      </w:r>
      <w:proofErr w:type="spellEnd"/>
      <w:r w:rsidR="00DC11C7" w:rsidRPr="00ED600B">
        <w:rPr>
          <w:sz w:val="24"/>
          <w:szCs w:val="24"/>
          <w:lang w:val="en-GB"/>
        </w:rPr>
        <w:t xml:space="preserve"> has a similar differentiation potential as the commercial </w:t>
      </w:r>
      <w:proofErr w:type="spellStart"/>
      <w:r w:rsidR="00DC11C7" w:rsidRPr="00ED600B">
        <w:rPr>
          <w:sz w:val="24"/>
          <w:szCs w:val="24"/>
          <w:lang w:val="en-GB"/>
        </w:rPr>
        <w:t>mrBNGF</w:t>
      </w:r>
      <w:proofErr w:type="spellEnd"/>
      <w:r w:rsidR="00DC11C7" w:rsidRPr="00ED600B">
        <w:rPr>
          <w:sz w:val="24"/>
          <w:szCs w:val="24"/>
          <w:lang w:val="en-GB"/>
        </w:rPr>
        <w:t>. Furthermore, cell viability was not affected by BNGF supplementation and was similar for all experimental groups (</w:t>
      </w:r>
      <w:r w:rsidR="00DB7883">
        <w:rPr>
          <w:sz w:val="24"/>
          <w:szCs w:val="24"/>
          <w:lang w:val="en-GB"/>
        </w:rPr>
        <w:t>Supplementary Figure 2K</w:t>
      </w:r>
      <w:r w:rsidR="00DC11C7" w:rsidRPr="00ED600B">
        <w:rPr>
          <w:sz w:val="24"/>
          <w:szCs w:val="24"/>
          <w:lang w:val="en-GB"/>
        </w:rPr>
        <w:t>).</w:t>
      </w:r>
    </w:p>
    <w:p w14:paraId="2B658ED7" w14:textId="6814D6D5" w:rsidR="00F027AB" w:rsidRPr="00ED600B" w:rsidRDefault="00F027AB" w:rsidP="00892FE6">
      <w:pPr>
        <w:spacing w:after="0" w:line="480" w:lineRule="auto"/>
        <w:jc w:val="both"/>
        <w:rPr>
          <w:sz w:val="24"/>
          <w:szCs w:val="24"/>
          <w:lang w:val="en-GB"/>
        </w:rPr>
      </w:pPr>
      <w:r w:rsidRPr="00F027AB">
        <w:rPr>
          <w:rFonts w:ascii="Calibri" w:eastAsia="Calibri" w:hAnsi="Calibri"/>
          <w:b/>
          <w:noProof/>
          <w:sz w:val="24"/>
          <w:szCs w:val="24"/>
          <w:lang w:val="es-ES" w:eastAsia="es-ES"/>
        </w:rPr>
        <w:lastRenderedPageBreak/>
        <w:drawing>
          <wp:inline distT="0" distB="0" distL="0" distR="0" wp14:anchorId="02828E03" wp14:editId="658EBA64">
            <wp:extent cx="5052695" cy="8892540"/>
            <wp:effectExtent l="0" t="0" r="0" b="3810"/>
            <wp:docPr id="2" name="Imagen 2"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en blanco y negro&#10;&#10;Descripción generada automáticamente con confianza baja"/>
                    <pic:cNvPicPr/>
                  </pic:nvPicPr>
                  <pic:blipFill>
                    <a:blip r:embed="rId8">
                      <a:extLst>
                        <a:ext uri="{28A0092B-C50C-407E-A947-70E740481C1C}">
                          <a14:useLocalDpi xmlns:a14="http://schemas.microsoft.com/office/drawing/2010/main" val="0"/>
                        </a:ext>
                      </a:extLst>
                    </a:blip>
                    <a:stretch>
                      <a:fillRect/>
                    </a:stretch>
                  </pic:blipFill>
                  <pic:spPr>
                    <a:xfrm>
                      <a:off x="0" y="0"/>
                      <a:ext cx="5052695" cy="8892540"/>
                    </a:xfrm>
                    <a:prstGeom prst="rect">
                      <a:avLst/>
                    </a:prstGeom>
                  </pic:spPr>
                </pic:pic>
              </a:graphicData>
            </a:graphic>
          </wp:inline>
        </w:drawing>
      </w:r>
    </w:p>
    <w:p w14:paraId="66665F28" w14:textId="77777777" w:rsidR="00F027AB" w:rsidRPr="00F027AB" w:rsidRDefault="00F027AB" w:rsidP="00892FE6">
      <w:pPr>
        <w:spacing w:after="0" w:line="480" w:lineRule="auto"/>
        <w:jc w:val="both"/>
        <w:rPr>
          <w:sz w:val="24"/>
          <w:szCs w:val="24"/>
        </w:rPr>
      </w:pPr>
      <w:r w:rsidRPr="00F027AB">
        <w:rPr>
          <w:b/>
          <w:sz w:val="24"/>
          <w:szCs w:val="24"/>
          <w:lang w:val="en-GB"/>
        </w:rPr>
        <w:lastRenderedPageBreak/>
        <w:t>Supplementary Figure 2. Study of the potency of the recombinant rabbit NGF (</w:t>
      </w:r>
      <w:proofErr w:type="spellStart"/>
      <w:r w:rsidRPr="00F027AB">
        <w:rPr>
          <w:b/>
          <w:sz w:val="24"/>
          <w:szCs w:val="24"/>
          <w:lang w:val="en-GB"/>
        </w:rPr>
        <w:t>rrbNGF</w:t>
      </w:r>
      <w:proofErr w:type="spellEnd"/>
      <w:r w:rsidRPr="00F027AB">
        <w:rPr>
          <w:b/>
          <w:sz w:val="24"/>
          <w:szCs w:val="24"/>
          <w:lang w:val="en-GB"/>
        </w:rPr>
        <w:t>) compared to murine NGF (</w:t>
      </w:r>
      <w:proofErr w:type="spellStart"/>
      <w:r w:rsidRPr="00F027AB">
        <w:rPr>
          <w:b/>
          <w:sz w:val="24"/>
          <w:szCs w:val="24"/>
          <w:lang w:val="en-GB"/>
        </w:rPr>
        <w:t>mNGF</w:t>
      </w:r>
      <w:proofErr w:type="spellEnd"/>
      <w:r w:rsidRPr="00F027AB">
        <w:rPr>
          <w:b/>
          <w:sz w:val="24"/>
          <w:szCs w:val="24"/>
          <w:lang w:val="en-GB"/>
        </w:rPr>
        <w:t xml:space="preserve">) using PC12 cultures. Morphological and differentiation analysis 3, 5 and 7 days after free NGF media </w:t>
      </w:r>
      <w:r w:rsidRPr="00F027AB">
        <w:rPr>
          <w:sz w:val="24"/>
          <w:szCs w:val="24"/>
          <w:lang w:val="en-GB"/>
        </w:rPr>
        <w:t>supplementation</w:t>
      </w:r>
      <w:r w:rsidRPr="00F027AB">
        <w:rPr>
          <w:b/>
          <w:sz w:val="24"/>
          <w:szCs w:val="24"/>
          <w:lang w:val="en-GB"/>
        </w:rPr>
        <w:t xml:space="preserve"> is shown.</w:t>
      </w:r>
      <w:r w:rsidRPr="00F027AB">
        <w:rPr>
          <w:sz w:val="24"/>
          <w:szCs w:val="24"/>
          <w:lang w:val="en-GB"/>
        </w:rPr>
        <w:t xml:space="preserve"> Experimental groups: Control, rNGF25 (25 µg/ml </w:t>
      </w:r>
      <w:proofErr w:type="spellStart"/>
      <w:r w:rsidRPr="00F027AB">
        <w:rPr>
          <w:sz w:val="24"/>
          <w:szCs w:val="24"/>
          <w:lang w:val="en-GB"/>
        </w:rPr>
        <w:t>rrbNGF</w:t>
      </w:r>
      <w:proofErr w:type="spellEnd"/>
      <w:r w:rsidRPr="00F027AB">
        <w:rPr>
          <w:sz w:val="24"/>
          <w:szCs w:val="24"/>
          <w:lang w:val="en-GB"/>
        </w:rPr>
        <w:t xml:space="preserve">), rNGF50 (50 µg/ml </w:t>
      </w:r>
      <w:proofErr w:type="spellStart"/>
      <w:r w:rsidRPr="00F027AB">
        <w:rPr>
          <w:sz w:val="24"/>
          <w:szCs w:val="24"/>
          <w:lang w:val="en-GB"/>
        </w:rPr>
        <w:t>rrbNGF</w:t>
      </w:r>
      <w:proofErr w:type="spellEnd"/>
      <w:r w:rsidRPr="00F027AB">
        <w:rPr>
          <w:sz w:val="24"/>
          <w:szCs w:val="24"/>
          <w:lang w:val="en-GB"/>
        </w:rPr>
        <w:t xml:space="preserve">), mNGF50 (50 µg/ml </w:t>
      </w:r>
      <w:proofErr w:type="spellStart"/>
      <w:r w:rsidRPr="00F027AB">
        <w:rPr>
          <w:sz w:val="24"/>
          <w:szCs w:val="24"/>
          <w:lang w:val="en-GB"/>
        </w:rPr>
        <w:t>rmbNGF</w:t>
      </w:r>
      <w:proofErr w:type="spellEnd"/>
      <w:r w:rsidRPr="00F027AB">
        <w:rPr>
          <w:sz w:val="24"/>
          <w:szCs w:val="24"/>
          <w:lang w:val="en-GB"/>
        </w:rPr>
        <w:t xml:space="preserve">) and mNGF100 (100 µg/ml </w:t>
      </w:r>
      <w:proofErr w:type="spellStart"/>
      <w:r w:rsidRPr="00F027AB">
        <w:rPr>
          <w:sz w:val="24"/>
          <w:szCs w:val="24"/>
          <w:lang w:val="en-GB"/>
        </w:rPr>
        <w:t>rbNGF</w:t>
      </w:r>
      <w:proofErr w:type="spellEnd"/>
      <w:r w:rsidRPr="00F027AB">
        <w:rPr>
          <w:sz w:val="24"/>
          <w:szCs w:val="24"/>
          <w:lang w:val="en-GB"/>
        </w:rPr>
        <w:t xml:space="preserve">). Percentage of rounded (A), fusiform (B) and star-like cells (C) in relation to total cell number. Percentage of cells with 1 (D), 2-3 (E) and more than 3 neurites (F) in relation with total cell number. Percentage of cells displaying ramified (G), shorter than 1 cell diameter (H) and longer than 1 cell diameter (I) neurites in relation to total cell number. (J) Percentage of cells with neurites in relation to total cell number. (K) Percentage of cell viability analysed by MTT. Data is represented as mean ±SD. </w:t>
      </w:r>
      <w:r w:rsidRPr="00F027AB">
        <w:rPr>
          <w:sz w:val="24"/>
          <w:szCs w:val="24"/>
        </w:rPr>
        <w:t>*p&lt;0.05, **p&lt;0.005, ***p&gt;0.001.</w:t>
      </w:r>
    </w:p>
    <w:p w14:paraId="005D7AD8" w14:textId="77777777" w:rsidR="00F027AB" w:rsidRDefault="00F027AB" w:rsidP="00892FE6">
      <w:pPr>
        <w:spacing w:after="0" w:line="480" w:lineRule="auto"/>
      </w:pPr>
    </w:p>
    <w:p w14:paraId="178938A2" w14:textId="77777777" w:rsidR="00212D7A" w:rsidRPr="00F027AB" w:rsidRDefault="00212D7A" w:rsidP="00892FE6">
      <w:pPr>
        <w:spacing w:after="0" w:line="480" w:lineRule="auto"/>
        <w:jc w:val="both"/>
        <w:outlineLvl w:val="0"/>
        <w:rPr>
          <w:b/>
          <w:bCs/>
          <w:sz w:val="24"/>
          <w:szCs w:val="24"/>
          <w:lang w:val="es-ES"/>
        </w:rPr>
      </w:pPr>
      <w:proofErr w:type="spellStart"/>
      <w:r w:rsidRPr="00F027AB">
        <w:rPr>
          <w:b/>
          <w:bCs/>
          <w:sz w:val="24"/>
          <w:szCs w:val="24"/>
          <w:lang w:val="es-ES"/>
        </w:rPr>
        <w:t>References</w:t>
      </w:r>
      <w:proofErr w:type="spellEnd"/>
    </w:p>
    <w:p w14:paraId="285509D3" w14:textId="24ED6A5C" w:rsidR="0082126F" w:rsidRPr="00F027AB" w:rsidRDefault="00212D7A" w:rsidP="00892FE6">
      <w:pPr>
        <w:spacing w:after="0" w:line="480" w:lineRule="auto"/>
        <w:jc w:val="both"/>
        <w:outlineLvl w:val="0"/>
        <w:rPr>
          <w:b/>
          <w:bCs/>
          <w:sz w:val="24"/>
          <w:szCs w:val="24"/>
          <w:lang w:val="en-GB"/>
        </w:rPr>
      </w:pPr>
      <w:r w:rsidRPr="00F027AB">
        <w:rPr>
          <w:b/>
          <w:bCs/>
          <w:sz w:val="24"/>
          <w:szCs w:val="24"/>
          <w:lang w:val="es-ES"/>
        </w:rPr>
        <w:t xml:space="preserve">[1] </w:t>
      </w:r>
      <w:proofErr w:type="spellStart"/>
      <w:r w:rsidRPr="00F027AB">
        <w:rPr>
          <w:sz w:val="24"/>
          <w:szCs w:val="24"/>
        </w:rPr>
        <w:t>Sanchez-Rodriguez</w:t>
      </w:r>
      <w:proofErr w:type="spellEnd"/>
      <w:r w:rsidRPr="00F027AB">
        <w:rPr>
          <w:sz w:val="24"/>
          <w:szCs w:val="24"/>
        </w:rPr>
        <w:t xml:space="preserve"> A, Abad P, Arias-</w:t>
      </w:r>
      <w:proofErr w:type="spellStart"/>
      <w:r w:rsidRPr="00F027AB">
        <w:rPr>
          <w:sz w:val="24"/>
          <w:szCs w:val="24"/>
        </w:rPr>
        <w:t>Alvarez</w:t>
      </w:r>
      <w:proofErr w:type="spellEnd"/>
      <w:r w:rsidRPr="00F027AB">
        <w:rPr>
          <w:sz w:val="24"/>
          <w:szCs w:val="24"/>
        </w:rPr>
        <w:t xml:space="preserve"> M, et al. </w:t>
      </w:r>
      <w:r w:rsidRPr="00F027AB">
        <w:rPr>
          <w:sz w:val="24"/>
          <w:szCs w:val="24"/>
          <w:lang w:val="en-GB"/>
        </w:rPr>
        <w:t xml:space="preserve">Recombinant rabbit beta nerve growth factor production and its biological effects on sperm and ovulation in rabbits. </w:t>
      </w:r>
      <w:proofErr w:type="spellStart"/>
      <w:r w:rsidRPr="00F027AB">
        <w:rPr>
          <w:sz w:val="24"/>
          <w:szCs w:val="24"/>
        </w:rPr>
        <w:t>PLoS</w:t>
      </w:r>
      <w:proofErr w:type="spellEnd"/>
      <w:r w:rsidRPr="00F027AB">
        <w:rPr>
          <w:sz w:val="24"/>
          <w:szCs w:val="24"/>
        </w:rPr>
        <w:t xml:space="preserve"> </w:t>
      </w:r>
      <w:proofErr w:type="spellStart"/>
      <w:r w:rsidRPr="00F027AB">
        <w:rPr>
          <w:sz w:val="24"/>
          <w:szCs w:val="24"/>
        </w:rPr>
        <w:t>One</w:t>
      </w:r>
      <w:proofErr w:type="spellEnd"/>
      <w:r w:rsidRPr="00F027AB">
        <w:rPr>
          <w:sz w:val="24"/>
          <w:szCs w:val="24"/>
        </w:rPr>
        <w:t>.</w:t>
      </w:r>
      <w:r w:rsidRPr="00F027AB">
        <w:rPr>
          <w:i/>
          <w:sz w:val="24"/>
          <w:szCs w:val="24"/>
        </w:rPr>
        <w:t xml:space="preserve"> </w:t>
      </w:r>
      <w:r w:rsidRPr="00F027AB">
        <w:rPr>
          <w:sz w:val="24"/>
          <w:szCs w:val="24"/>
        </w:rPr>
        <w:t>2019;14(7</w:t>
      </w:r>
      <w:proofErr w:type="gramStart"/>
      <w:r w:rsidRPr="00F027AB">
        <w:rPr>
          <w:sz w:val="24"/>
          <w:szCs w:val="24"/>
        </w:rPr>
        <w:t>):e</w:t>
      </w:r>
      <w:proofErr w:type="gramEnd"/>
      <w:r w:rsidRPr="00F027AB">
        <w:rPr>
          <w:sz w:val="24"/>
          <w:szCs w:val="24"/>
        </w:rPr>
        <w:t>0219780.</w:t>
      </w:r>
    </w:p>
    <w:p w14:paraId="39644BC7" w14:textId="77777777" w:rsidR="0082126F" w:rsidRDefault="0082126F" w:rsidP="00892FE6">
      <w:pPr>
        <w:spacing w:after="0" w:line="480" w:lineRule="auto"/>
        <w:jc w:val="both"/>
        <w:rPr>
          <w:b/>
          <w:bCs/>
          <w:sz w:val="24"/>
          <w:szCs w:val="24"/>
          <w:lang w:val="en-GB"/>
        </w:rPr>
      </w:pPr>
    </w:p>
    <w:p w14:paraId="60F8B4D9" w14:textId="77777777" w:rsidR="0082126F" w:rsidRDefault="0082126F" w:rsidP="00892FE6">
      <w:pPr>
        <w:spacing w:after="0" w:line="480" w:lineRule="auto"/>
        <w:jc w:val="both"/>
        <w:rPr>
          <w:b/>
          <w:bCs/>
          <w:sz w:val="24"/>
          <w:szCs w:val="24"/>
          <w:lang w:val="en-GB"/>
        </w:rPr>
      </w:pPr>
    </w:p>
    <w:p w14:paraId="4A775533" w14:textId="77777777" w:rsidR="0082126F" w:rsidRDefault="0082126F" w:rsidP="00892FE6">
      <w:pPr>
        <w:spacing w:after="0" w:line="480" w:lineRule="auto"/>
        <w:jc w:val="both"/>
        <w:rPr>
          <w:b/>
          <w:bCs/>
          <w:sz w:val="24"/>
          <w:szCs w:val="24"/>
          <w:lang w:val="en-GB"/>
        </w:rPr>
      </w:pPr>
    </w:p>
    <w:sectPr w:rsidR="0082126F" w:rsidSect="003770F9">
      <w:footerReference w:type="default" r:id="rId9"/>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BA8D7" w14:textId="77777777" w:rsidR="008E5552" w:rsidRDefault="008E5552" w:rsidP="00892FE6">
      <w:pPr>
        <w:spacing w:after="0" w:line="240" w:lineRule="auto"/>
      </w:pPr>
      <w:r>
        <w:separator/>
      </w:r>
    </w:p>
  </w:endnote>
  <w:endnote w:type="continuationSeparator" w:id="0">
    <w:p w14:paraId="21315636" w14:textId="77777777" w:rsidR="008E5552" w:rsidRDefault="008E5552" w:rsidP="00892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288436"/>
      <w:docPartObj>
        <w:docPartGallery w:val="Page Numbers (Bottom of Page)"/>
        <w:docPartUnique/>
      </w:docPartObj>
    </w:sdtPr>
    <w:sdtContent>
      <w:p w14:paraId="1A34F272" w14:textId="1D703283" w:rsidR="00892FE6" w:rsidRDefault="00892FE6">
        <w:pPr>
          <w:pStyle w:val="Piedepgina"/>
          <w:jc w:val="right"/>
        </w:pPr>
        <w:r>
          <w:fldChar w:fldCharType="begin"/>
        </w:r>
        <w:r>
          <w:instrText>PAGE   \* MERGEFORMAT</w:instrText>
        </w:r>
        <w:r>
          <w:fldChar w:fldCharType="separate"/>
        </w:r>
        <w:r>
          <w:rPr>
            <w:lang w:val="es-ES"/>
          </w:rPr>
          <w:t>2</w:t>
        </w:r>
        <w:r>
          <w:fldChar w:fldCharType="end"/>
        </w:r>
      </w:p>
    </w:sdtContent>
  </w:sdt>
  <w:p w14:paraId="5A85D7B9" w14:textId="77777777" w:rsidR="00892FE6" w:rsidRDefault="00892F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33902" w14:textId="77777777" w:rsidR="008E5552" w:rsidRDefault="008E5552" w:rsidP="00892FE6">
      <w:pPr>
        <w:spacing w:after="0" w:line="240" w:lineRule="auto"/>
      </w:pPr>
      <w:r>
        <w:separator/>
      </w:r>
    </w:p>
  </w:footnote>
  <w:footnote w:type="continuationSeparator" w:id="0">
    <w:p w14:paraId="006545B7" w14:textId="77777777" w:rsidR="008E5552" w:rsidRDefault="008E5552" w:rsidP="00892F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SwtLA0NbUwNzI3NjNX0lEKTi0uzszPAykwqgUA+IXBtywAAAA="/>
  </w:docVars>
  <w:rsids>
    <w:rsidRoot w:val="00FF22BC"/>
    <w:rsid w:val="000E1C8F"/>
    <w:rsid w:val="0018650F"/>
    <w:rsid w:val="001B627D"/>
    <w:rsid w:val="001F0221"/>
    <w:rsid w:val="00212D7A"/>
    <w:rsid w:val="002411C8"/>
    <w:rsid w:val="00262939"/>
    <w:rsid w:val="003770F9"/>
    <w:rsid w:val="00477475"/>
    <w:rsid w:val="00494B5F"/>
    <w:rsid w:val="004A434F"/>
    <w:rsid w:val="004D6BD9"/>
    <w:rsid w:val="00507777"/>
    <w:rsid w:val="005D25FD"/>
    <w:rsid w:val="005E4AFC"/>
    <w:rsid w:val="006A1ED7"/>
    <w:rsid w:val="006E31D9"/>
    <w:rsid w:val="006F2ACB"/>
    <w:rsid w:val="00755701"/>
    <w:rsid w:val="007865CD"/>
    <w:rsid w:val="00790995"/>
    <w:rsid w:val="0080541B"/>
    <w:rsid w:val="0082126F"/>
    <w:rsid w:val="00892FE6"/>
    <w:rsid w:val="008A3841"/>
    <w:rsid w:val="008A7306"/>
    <w:rsid w:val="008E5552"/>
    <w:rsid w:val="008F7CD6"/>
    <w:rsid w:val="0090718A"/>
    <w:rsid w:val="009A2282"/>
    <w:rsid w:val="00AF5CFA"/>
    <w:rsid w:val="00B1246E"/>
    <w:rsid w:val="00B152DB"/>
    <w:rsid w:val="00B7594A"/>
    <w:rsid w:val="00BA1C9E"/>
    <w:rsid w:val="00BC3D82"/>
    <w:rsid w:val="00C75CAA"/>
    <w:rsid w:val="00CF0BFC"/>
    <w:rsid w:val="00D33EEC"/>
    <w:rsid w:val="00DB7883"/>
    <w:rsid w:val="00DC11C7"/>
    <w:rsid w:val="00E16D2E"/>
    <w:rsid w:val="00E3292D"/>
    <w:rsid w:val="00ED600B"/>
    <w:rsid w:val="00F027AB"/>
    <w:rsid w:val="00F13329"/>
    <w:rsid w:val="00F25EE2"/>
    <w:rsid w:val="00F414A1"/>
    <w:rsid w:val="00F614BA"/>
    <w:rsid w:val="00FE37D1"/>
    <w:rsid w:val="00FF22BC"/>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5371E"/>
  <w15:chartTrackingRefBased/>
  <w15:docId w15:val="{717EE09D-C394-4E7A-96BC-FEB480BD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2BC"/>
    <w:pPr>
      <w:suppressAutoHyphens/>
      <w:spacing w:line="256" w:lineRule="auto"/>
    </w:pPr>
    <w:rPr>
      <w:rFonts w:ascii="Times New Roman" w:eastAsia="Times New Roman" w:hAnsi="Times New Roman" w:cs="Times New Roman"/>
      <w:sz w:val="20"/>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B152DB"/>
    <w:rPr>
      <w:sz w:val="16"/>
      <w:szCs w:val="16"/>
    </w:rPr>
  </w:style>
  <w:style w:type="paragraph" w:styleId="Textocomentario">
    <w:name w:val="annotation text"/>
    <w:basedOn w:val="Normal"/>
    <w:link w:val="TextocomentarioCar"/>
    <w:uiPriority w:val="99"/>
    <w:unhideWhenUsed/>
    <w:rsid w:val="00B152DB"/>
    <w:pPr>
      <w:spacing w:line="240" w:lineRule="auto"/>
    </w:pPr>
  </w:style>
  <w:style w:type="character" w:customStyle="1" w:styleId="TextocomentarioCar">
    <w:name w:val="Texto comentario Car"/>
    <w:basedOn w:val="Fuentedeprrafopredeter"/>
    <w:link w:val="Textocomentario"/>
    <w:uiPriority w:val="99"/>
    <w:rsid w:val="00B152DB"/>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B152DB"/>
    <w:rPr>
      <w:b/>
      <w:bCs/>
    </w:rPr>
  </w:style>
  <w:style w:type="character" w:customStyle="1" w:styleId="AsuntodelcomentarioCar">
    <w:name w:val="Asunto del comentario Car"/>
    <w:basedOn w:val="TextocomentarioCar"/>
    <w:link w:val="Asuntodelcomentario"/>
    <w:uiPriority w:val="99"/>
    <w:semiHidden/>
    <w:rsid w:val="00B152DB"/>
    <w:rPr>
      <w:rFonts w:ascii="Times New Roman" w:eastAsia="Times New Roman" w:hAnsi="Times New Roman" w:cs="Times New Roman"/>
      <w:b/>
      <w:bCs/>
      <w:sz w:val="20"/>
      <w:szCs w:val="20"/>
      <w:lang w:val="es-ES_tradnl" w:eastAsia="es-ES_tradnl"/>
    </w:rPr>
  </w:style>
  <w:style w:type="paragraph" w:styleId="Revisin">
    <w:name w:val="Revision"/>
    <w:hidden/>
    <w:uiPriority w:val="99"/>
    <w:semiHidden/>
    <w:rsid w:val="00DC11C7"/>
    <w:pPr>
      <w:spacing w:after="0" w:line="240" w:lineRule="auto"/>
    </w:pPr>
    <w:rPr>
      <w:rFonts w:ascii="Times New Roman" w:eastAsia="Times New Roman" w:hAnsi="Times New Roman" w:cs="Times New Roman"/>
      <w:sz w:val="20"/>
      <w:szCs w:val="20"/>
      <w:lang w:val="es-ES_tradnl" w:eastAsia="es-ES_tradnl"/>
    </w:rPr>
  </w:style>
  <w:style w:type="paragraph" w:styleId="Textodeglobo">
    <w:name w:val="Balloon Text"/>
    <w:basedOn w:val="Normal"/>
    <w:link w:val="TextodegloboCar"/>
    <w:uiPriority w:val="99"/>
    <w:semiHidden/>
    <w:unhideWhenUsed/>
    <w:rsid w:val="006A1ED7"/>
    <w:pPr>
      <w:spacing w:after="0" w:line="240" w:lineRule="auto"/>
    </w:pPr>
    <w:rPr>
      <w:sz w:val="18"/>
      <w:szCs w:val="18"/>
    </w:rPr>
  </w:style>
  <w:style w:type="character" w:customStyle="1" w:styleId="TextodegloboCar">
    <w:name w:val="Texto de globo Car"/>
    <w:basedOn w:val="Fuentedeprrafopredeter"/>
    <w:link w:val="Textodeglobo"/>
    <w:uiPriority w:val="99"/>
    <w:semiHidden/>
    <w:rsid w:val="006A1ED7"/>
    <w:rPr>
      <w:rFonts w:ascii="Times New Roman" w:eastAsia="Times New Roman" w:hAnsi="Times New Roman" w:cs="Times New Roman"/>
      <w:sz w:val="18"/>
      <w:szCs w:val="18"/>
      <w:lang w:val="es-ES_tradnl" w:eastAsia="es-ES_tradnl"/>
    </w:rPr>
  </w:style>
  <w:style w:type="character" w:customStyle="1" w:styleId="TextocomentarioCar1">
    <w:name w:val="Texto comentario Car1"/>
    <w:uiPriority w:val="99"/>
    <w:semiHidden/>
    <w:rsid w:val="00755701"/>
    <w:rPr>
      <w:sz w:val="24"/>
      <w:szCs w:val="24"/>
    </w:rPr>
  </w:style>
  <w:style w:type="character" w:styleId="Hipervnculo">
    <w:name w:val="Hyperlink"/>
    <w:basedOn w:val="Fuentedeprrafopredeter"/>
    <w:uiPriority w:val="99"/>
    <w:unhideWhenUsed/>
    <w:rsid w:val="004D6BD9"/>
    <w:rPr>
      <w:color w:val="0563C1" w:themeColor="hyperlink"/>
      <w:u w:val="single"/>
    </w:rPr>
  </w:style>
  <w:style w:type="character" w:styleId="Nmerodelnea">
    <w:name w:val="line number"/>
    <w:basedOn w:val="Fuentedeprrafopredeter"/>
    <w:uiPriority w:val="99"/>
    <w:semiHidden/>
    <w:unhideWhenUsed/>
    <w:rsid w:val="003770F9"/>
  </w:style>
  <w:style w:type="paragraph" w:styleId="Encabezado">
    <w:name w:val="header"/>
    <w:basedOn w:val="Normal"/>
    <w:link w:val="EncabezadoCar"/>
    <w:uiPriority w:val="99"/>
    <w:unhideWhenUsed/>
    <w:rsid w:val="00892F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2FE6"/>
    <w:rPr>
      <w:rFonts w:ascii="Times New Roman" w:eastAsia="Times New Roman" w:hAnsi="Times New Roman" w:cs="Times New Roman"/>
      <w:sz w:val="20"/>
      <w:szCs w:val="20"/>
      <w:lang w:val="es-ES_tradnl" w:eastAsia="es-ES_tradnl"/>
    </w:rPr>
  </w:style>
  <w:style w:type="paragraph" w:styleId="Piedepgina">
    <w:name w:val="footer"/>
    <w:basedOn w:val="Normal"/>
    <w:link w:val="PiedepginaCar"/>
    <w:uiPriority w:val="99"/>
    <w:unhideWhenUsed/>
    <w:rsid w:val="00892F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2FE6"/>
    <w:rPr>
      <w:rFonts w:ascii="Times New Roman" w:eastAsia="Times New Roman" w:hAnsi="Times New Roman" w:cs="Times New Roman"/>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573138">
      <w:bodyDiv w:val="1"/>
      <w:marLeft w:val="0"/>
      <w:marRight w:val="0"/>
      <w:marTop w:val="0"/>
      <w:marBottom w:val="0"/>
      <w:divBdr>
        <w:top w:val="none" w:sz="0" w:space="0" w:color="auto"/>
        <w:left w:val="none" w:sz="0" w:space="0" w:color="auto"/>
        <w:bottom w:val="none" w:sz="0" w:space="0" w:color="auto"/>
        <w:right w:val="none" w:sz="0" w:space="0" w:color="auto"/>
      </w:divBdr>
    </w:div>
    <w:div w:id="203372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674D8F0-9A6F-764C-8D02-9181C9706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1036</Words>
  <Characters>5704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MARIA GARCIA GARCIA</dc:creator>
  <cp:keywords/>
  <dc:description/>
  <cp:lastModifiedBy>rev</cp:lastModifiedBy>
  <cp:revision>4</cp:revision>
  <dcterms:created xsi:type="dcterms:W3CDTF">2023-06-29T08:32:00Z</dcterms:created>
  <dcterms:modified xsi:type="dcterms:W3CDTF">2023-07-05T08:02:00Z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138574c7e7c561425cde217330ec49221b15f313fb4ccb22d4806628ac844b30</vt:lpwstr>
  </property>
</Properties>
</file>