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FF" w:rsidRPr="007561FF" w:rsidRDefault="007561FF" w:rsidP="007561FF">
      <w:pPr>
        <w:rPr>
          <w:lang w:val="en-GB"/>
        </w:rPr>
      </w:pPr>
      <w:r w:rsidRPr="007561FF">
        <w:rPr>
          <w:lang w:val="en-GB"/>
        </w:rPr>
        <w:t>Table 1 Demographics and descriptive data of the APOE ε4 homozygotes, heterozygotes, and non-carriers included in the study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365"/>
        <w:gridCol w:w="2235"/>
        <w:gridCol w:w="2415"/>
        <w:gridCol w:w="2205"/>
        <w:gridCol w:w="975"/>
      </w:tblGrid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GB"/>
              </w:rPr>
              <w:t>APOE ε4ε4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GB"/>
              </w:rPr>
              <w:t xml:space="preserve">APOE ε4ε3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GB"/>
              </w:rPr>
              <w:t xml:space="preserve">APOE ε3ε3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p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n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6245B6" w:rsidP="00993772">
            <w:pPr>
              <w:jc w:val="center"/>
              <w:rPr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21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1E1919"/>
                <w:lang w:val="en-GB"/>
              </w:rPr>
              <w:t>Age (y), mean (SD)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67.3 (4.74)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67.3 (4.90)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68.3 (4.55)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0.75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Sex (M/F)</w:t>
            </w:r>
            <w:proofErr w:type="gramStart"/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,n</w:t>
            </w:r>
            <w:proofErr w:type="gramEnd"/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(%)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7/12 (37/63) 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7/14 (33/67)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8/12 (40/60)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0.91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1E1919"/>
                <w:lang w:val="en-GB"/>
              </w:rPr>
              <w:t>Education, n (%)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0.37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Primary school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7 (37)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4 (19)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7 (35)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rFonts w:ascii="Calibri" w:eastAsia="Calibri" w:hAnsi="Calibri" w:cs="Calibri"/>
                <w:color w:val="1E1919"/>
                <w:lang w:val="en-GB"/>
              </w:rPr>
            </w:pPr>
            <w:r w:rsidRPr="007561FF">
              <w:rPr>
                <w:rFonts w:ascii="Calibri" w:eastAsia="Calibri" w:hAnsi="Calibri" w:cs="Calibri"/>
                <w:color w:val="1E1919"/>
                <w:lang w:val="en-GB"/>
              </w:rPr>
              <w:t>Middle or comprehensive school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4 (21)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4 (19)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3 (15)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rFonts w:ascii="Calibri" w:eastAsia="Calibri" w:hAnsi="Calibri" w:cs="Calibri"/>
                <w:color w:val="1E1919"/>
                <w:lang w:val="en-GB"/>
              </w:rPr>
            </w:pPr>
            <w:r w:rsidRPr="007561FF">
              <w:rPr>
                <w:rFonts w:ascii="Calibri" w:eastAsia="Calibri" w:hAnsi="Calibri" w:cs="Calibri"/>
                <w:color w:val="1E1919"/>
                <w:lang w:val="en-GB"/>
              </w:rPr>
              <w:t>High school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7 (37) 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6 (29)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7 (35)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rFonts w:ascii="Calibri" w:eastAsia="Calibri" w:hAnsi="Calibri" w:cs="Calibri"/>
                <w:color w:val="1E1919"/>
                <w:lang w:val="en-GB"/>
              </w:rPr>
            </w:pPr>
            <w:r w:rsidRPr="007561FF">
              <w:rPr>
                <w:rFonts w:ascii="Calibri" w:eastAsia="Calibri" w:hAnsi="Calibri" w:cs="Calibri"/>
                <w:color w:val="1E1919"/>
                <w:lang w:val="en-GB"/>
              </w:rPr>
              <w:t>College or university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1 (5)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7 (33)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3 (15)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444444"/>
                <w:lang w:val="en-GB"/>
              </w:rPr>
              <w:t>MMSE, median (IQR)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444444"/>
                <w:lang w:val="en-GB"/>
              </w:rPr>
              <w:t>28 (27–29)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444444"/>
                <w:lang w:val="en-GB"/>
              </w:rPr>
              <w:t>29 (28–30) *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444444"/>
                <w:lang w:val="en-GB"/>
              </w:rPr>
              <w:t>29 (27–30)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b/>
                <w:bCs/>
                <w:color w:val="444444"/>
                <w:lang w:val="en-GB"/>
              </w:rPr>
              <w:t>0.039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1E1919"/>
                <w:lang w:val="en-GB"/>
              </w:rPr>
              <w:t>BMI (kg/m2), mean (SD)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1E1919"/>
                <w:lang w:val="en-GB"/>
              </w:rPr>
              <w:t xml:space="preserve">26.6 (4.48) 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26.7 (3.46)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27.3 (4.96)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0.86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8D2B56" w:rsidP="00993772">
            <w:pPr>
              <w:rPr>
                <w:rFonts w:ascii="Calibri" w:eastAsia="Calibri" w:hAnsi="Calibri" w:cs="Calibri"/>
                <w:color w:val="1E1919"/>
                <w:lang w:val="en-GB"/>
              </w:rPr>
            </w:pPr>
            <w:r>
              <w:rPr>
                <w:rFonts w:ascii="Calibri" w:hAnsi="Calibri" w:cs="Calibri"/>
                <w:color w:val="1E1919"/>
                <w:lang w:val="en-GB"/>
              </w:rPr>
              <w:t xml:space="preserve">Serum </w:t>
            </w:r>
            <w:r w:rsidR="007561FF" w:rsidRPr="007561FF">
              <w:rPr>
                <w:rFonts w:ascii="Calibri" w:hAnsi="Calibri" w:cs="Calibri"/>
                <w:color w:val="1E1919"/>
                <w:lang w:val="en-GB"/>
              </w:rPr>
              <w:t xml:space="preserve">NfL </w:t>
            </w:r>
            <w:proofErr w:type="spellStart"/>
            <w:r w:rsidR="007561FF" w:rsidRPr="007561FF">
              <w:rPr>
                <w:rFonts w:ascii="Calibri" w:hAnsi="Calibri" w:cs="Calibri"/>
                <w:color w:val="1E1919"/>
                <w:lang w:val="en-GB"/>
              </w:rPr>
              <w:t>pg</w:t>
            </w:r>
            <w:proofErr w:type="spellEnd"/>
            <w:r w:rsidR="007561FF" w:rsidRPr="007561FF">
              <w:rPr>
                <w:rFonts w:ascii="Calibri" w:hAnsi="Calibri" w:cs="Calibri"/>
                <w:color w:val="1E1919"/>
                <w:lang w:val="en-GB"/>
              </w:rPr>
              <w:t>/ml, mean (SD)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21.1 (9.34)*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17.8 (7.19)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15.5 (3.83)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b/>
                <w:bCs/>
                <w:color w:val="000000"/>
                <w:lang w:val="en-GB"/>
              </w:rPr>
              <w:t>0.011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8D2B56" w:rsidP="00993772">
            <w:pPr>
              <w:rPr>
                <w:lang w:val="en-GB"/>
              </w:rPr>
            </w:pPr>
            <w:r>
              <w:rPr>
                <w:rFonts w:ascii="Calibri" w:hAnsi="Calibri" w:cs="Calibri"/>
                <w:color w:val="1E1919"/>
                <w:lang w:val="en-GB"/>
              </w:rPr>
              <w:t xml:space="preserve">Plasma </w:t>
            </w:r>
            <w:r w:rsidR="007561FF" w:rsidRPr="007561FF">
              <w:rPr>
                <w:rFonts w:ascii="Calibri" w:hAnsi="Calibri" w:cs="Calibri"/>
                <w:color w:val="1E1919"/>
                <w:lang w:val="en-GB"/>
              </w:rPr>
              <w:t>NTA, median (IQR)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0.1 (0.03–0.24)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0.1 (0.049–0.18)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0.14 (0.05–0.25)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0.65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Plasma t-tau, mean (SD)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1.48 (0.75)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1.52 (0.53)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1.46 (0.55)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0.52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8D2B56" w:rsidP="00993772">
            <w:pPr>
              <w:rPr>
                <w:lang w:val="en-GB"/>
              </w:rPr>
            </w:pPr>
            <w:r>
              <w:rPr>
                <w:rFonts w:ascii="Calibri" w:hAnsi="Calibri" w:cs="Calibri"/>
                <w:color w:val="1E1919"/>
                <w:lang w:val="en-GB"/>
              </w:rPr>
              <w:t xml:space="preserve">Plasma </w:t>
            </w:r>
            <w:r w:rsidR="007561FF" w:rsidRPr="007561FF">
              <w:rPr>
                <w:rFonts w:ascii="Calibri" w:hAnsi="Calibri" w:cs="Calibri"/>
                <w:color w:val="1E1919"/>
                <w:lang w:val="en-GB"/>
              </w:rPr>
              <w:t>GFAP, median (IQR)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186 (124–269)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150 (104–170)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128 (105–147)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0.077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843F1B" w:rsidP="00843F1B">
            <w:pPr>
              <w:rPr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[</w:t>
            </w:r>
            <w:r w:rsidR="007561FF" w:rsidRPr="009B239B">
              <w:rPr>
                <w:rFonts w:ascii="Calibri" w:hAnsi="Calibri" w:cs="Calibri"/>
                <w:color w:val="000000"/>
                <w:vertAlign w:val="superscript"/>
                <w:lang w:val="en-GB"/>
              </w:rPr>
              <w:t>11</w:t>
            </w:r>
            <w:r w:rsidR="007561FF" w:rsidRPr="007561FF">
              <w:rPr>
                <w:rFonts w:ascii="Calibri" w:hAnsi="Calibri" w:cs="Calibri"/>
                <w:color w:val="000000"/>
                <w:lang w:val="en-GB"/>
              </w:rPr>
              <w:t>C</w:t>
            </w:r>
            <w:r>
              <w:rPr>
                <w:rFonts w:ascii="Calibri" w:hAnsi="Calibri" w:cs="Calibri"/>
                <w:color w:val="000000"/>
                <w:lang w:val="en-GB"/>
              </w:rPr>
              <w:t>]</w:t>
            </w:r>
            <w:r w:rsidR="007561FF" w:rsidRPr="007561FF">
              <w:rPr>
                <w:rFonts w:ascii="Calibri" w:hAnsi="Calibri" w:cs="Calibri"/>
                <w:color w:val="000000"/>
                <w:lang w:val="en-GB"/>
              </w:rPr>
              <w:t>PIB composite SUVR, median (IQR)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2.13(1.61–2.83)*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1.55 (1.43–2.02)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1.47 (1.38–1.66)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b/>
                <w:bCs/>
                <w:color w:val="000000"/>
                <w:lang w:val="en-GB"/>
              </w:rPr>
              <w:t>0.0024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WMH (ml), median (IQR)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4.37 (2.58–10.45)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4.70 (3.06–5.97)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3.92 (1.89–8.71)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0.36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Medial temporal atrophy score, median (IQR)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0.08 (0–0.76)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0.09 (0–0.35)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0.01 (0–0.36)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0.53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Global cortical atrophy score, median (IQR)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0.12 (1.67</w:t>
            </w:r>
            <w:r w:rsidR="00C45814">
              <w:rPr>
                <w:rFonts w:ascii="Calibri" w:hAnsi="Calibri" w:cs="Calibri"/>
                <w:color w:val="1E1919"/>
                <w:vertAlign w:val="superscript"/>
                <w:lang w:val="en-GB"/>
              </w:rPr>
              <w:t>e-</w:t>
            </w:r>
            <w:r w:rsidRPr="00C45814">
              <w:rPr>
                <w:rFonts w:ascii="Calibri" w:hAnsi="Calibri" w:cs="Calibri"/>
                <w:color w:val="1E1919"/>
                <w:vertAlign w:val="superscript"/>
                <w:lang w:val="en-GB"/>
              </w:rPr>
              <w:t>7</w:t>
            </w:r>
            <w:r w:rsidRPr="007561FF">
              <w:rPr>
                <w:rFonts w:ascii="Calibri" w:hAnsi="Calibri" w:cs="Calibri"/>
                <w:color w:val="1E1919"/>
                <w:lang w:val="en-GB"/>
              </w:rPr>
              <w:t>–1.12)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C45814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0.05 (1.67</w:t>
            </w:r>
            <w:r w:rsidRPr="00C45814">
              <w:rPr>
                <w:rFonts w:ascii="Calibri" w:hAnsi="Calibri" w:cs="Calibri"/>
                <w:color w:val="1E1919"/>
                <w:vertAlign w:val="superscript"/>
                <w:lang w:val="en-GB"/>
              </w:rPr>
              <w:t>e</w:t>
            </w:r>
            <w:r w:rsidR="00C45814" w:rsidRPr="00C45814">
              <w:rPr>
                <w:rFonts w:ascii="Calibri" w:hAnsi="Calibri" w:cs="Calibri"/>
                <w:color w:val="1E1919"/>
                <w:vertAlign w:val="superscript"/>
                <w:lang w:val="en-GB"/>
              </w:rPr>
              <w:t>-</w:t>
            </w:r>
            <w:r w:rsidRPr="00C45814">
              <w:rPr>
                <w:rFonts w:ascii="Calibri" w:hAnsi="Calibri" w:cs="Calibri"/>
                <w:color w:val="1E1919"/>
                <w:vertAlign w:val="superscript"/>
                <w:lang w:val="en-GB"/>
              </w:rPr>
              <w:t>7</w:t>
            </w:r>
            <w:r w:rsidRPr="007561FF">
              <w:rPr>
                <w:rFonts w:ascii="Calibri" w:hAnsi="Calibri" w:cs="Calibri"/>
                <w:color w:val="1E1919"/>
                <w:lang w:val="en-GB"/>
              </w:rPr>
              <w:t>–0.28)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0</w:t>
            </w:r>
            <w:r w:rsidR="00C45814">
              <w:rPr>
                <w:rFonts w:ascii="Calibri" w:hAnsi="Calibri" w:cs="Calibri"/>
                <w:color w:val="1E1919"/>
                <w:lang w:val="en-GB"/>
              </w:rPr>
              <w:t>.04 (1.67</w:t>
            </w:r>
            <w:bookmarkStart w:id="0" w:name="_GoBack"/>
            <w:r w:rsidR="00C45814" w:rsidRPr="00C45814">
              <w:rPr>
                <w:rFonts w:ascii="Calibri" w:hAnsi="Calibri" w:cs="Calibri"/>
                <w:color w:val="1E1919"/>
                <w:vertAlign w:val="superscript"/>
                <w:lang w:val="en-GB"/>
              </w:rPr>
              <w:t>e</w:t>
            </w:r>
            <w:bookmarkEnd w:id="0"/>
            <w:r w:rsidR="00C45814" w:rsidRPr="00C45814">
              <w:rPr>
                <w:rFonts w:ascii="Calibri" w:hAnsi="Calibri" w:cs="Calibri"/>
                <w:color w:val="1E1919"/>
                <w:vertAlign w:val="superscript"/>
                <w:lang w:val="en-GB"/>
              </w:rPr>
              <w:t>-</w:t>
            </w:r>
            <w:r w:rsidRPr="00C45814">
              <w:rPr>
                <w:rFonts w:ascii="Calibri" w:hAnsi="Calibri" w:cs="Calibri"/>
                <w:color w:val="1E1919"/>
                <w:vertAlign w:val="superscript"/>
                <w:lang w:val="en-GB"/>
              </w:rPr>
              <w:t>7</w:t>
            </w:r>
            <w:r w:rsidRPr="007561FF">
              <w:rPr>
                <w:rFonts w:ascii="Calibri" w:hAnsi="Calibri" w:cs="Calibri"/>
                <w:color w:val="1E1919"/>
                <w:lang w:val="en-GB"/>
              </w:rPr>
              <w:t>–0.34)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0.52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Hippocampus volume (ml), mean (SD)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6.62 (0.92)*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7.02 (0.79)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7.27 (0.70)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b/>
                <w:bCs/>
                <w:color w:val="000000"/>
                <w:lang w:val="en-GB"/>
              </w:rPr>
              <w:t>0.041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Entorhinal volume (ml), mean (SD)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4.23 (0.65)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4.47 (0.38)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4.52 (0.36)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0.13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1E1919"/>
                <w:lang w:val="en-GB"/>
              </w:rPr>
              <w:t>Parahippocampal volume (ml), mean (SD)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5.50 (0.71)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5.8 (0.52)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5.89 (0.60)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jc w:val="center"/>
              <w:rPr>
                <w:lang w:val="en-GB"/>
              </w:rPr>
            </w:pPr>
            <w:r w:rsidRPr="007561FF">
              <w:rPr>
                <w:rFonts w:ascii="Calibri" w:hAnsi="Calibri" w:cs="Calibri"/>
                <w:color w:val="000000"/>
                <w:lang w:val="en-GB"/>
              </w:rPr>
              <w:t>0.12</w:t>
            </w:r>
          </w:p>
        </w:tc>
      </w:tr>
      <w:tr w:rsidR="007561FF" w:rsidRPr="007561FF" w:rsidTr="00993772">
        <w:trPr>
          <w:trHeight w:val="300"/>
        </w:trPr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</w:p>
        </w:tc>
      </w:tr>
      <w:tr w:rsidR="007561FF" w:rsidRPr="00843F1B" w:rsidTr="00993772">
        <w:trPr>
          <w:trHeight w:val="1800"/>
        </w:trPr>
        <w:tc>
          <w:tcPr>
            <w:tcW w:w="12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561FF" w:rsidRPr="007561FF" w:rsidRDefault="007561FF" w:rsidP="00993772">
            <w:pPr>
              <w:rPr>
                <w:lang w:val="en-GB"/>
              </w:rPr>
            </w:pP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Data are presented as mean (standard deviation) or median (interquartile range) depending on the distribution. Differences between groups were tested with one-way ANOVA with Tukey's honest significance test, or </w:t>
            </w:r>
            <w:proofErr w:type="spellStart"/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Kruskal</w:t>
            </w:r>
            <w:proofErr w:type="spellEnd"/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-Wallis test with Steel-</w:t>
            </w:r>
            <w:proofErr w:type="spellStart"/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Dwass</w:t>
            </w:r>
            <w:proofErr w:type="spellEnd"/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method for multiple comparisons for continuous variables. </w:t>
            </w:r>
            <w:proofErr w:type="gramStart"/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χ2</w:t>
            </w:r>
            <w:proofErr w:type="gramEnd"/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test was used for testing categorical variables. P-value presents overall difference between groups. Significant differences in pairwise comparisons to APOE ε4ε4 homozygotes (*) are also presented. Abbreviations: BMI, body mass index; MMSE, mini-mental state examination; SUVR, standardized uptake</w:t>
            </w:r>
            <w:r w:rsidR="008D2B5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value ratio; </w:t>
            </w:r>
            <w:r w:rsidR="008D2B5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Serum </w:t>
            </w: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NfL, Neurofilament light; </w:t>
            </w:r>
            <w:r w:rsidR="008D2B5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Plasma </w:t>
            </w: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NTA, N-terminal tau; </w:t>
            </w:r>
            <w:r w:rsidR="008D2B56" w:rsidRPr="008D2B56">
              <w:rPr>
                <w:rFonts w:ascii="Calibri" w:eastAsia="Calibri" w:hAnsi="Calibri" w:cs="Calibri"/>
                <w:color w:val="000000" w:themeColor="text1"/>
                <w:lang w:val="en-GB"/>
              </w:rPr>
              <w:t>Plasma t-tau</w:t>
            </w: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, Quanterix total tau; </w:t>
            </w:r>
            <w:r w:rsidR="008D2B5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Plasma </w:t>
            </w:r>
            <w:r w:rsidRPr="007561FF">
              <w:rPr>
                <w:rFonts w:ascii="Calibri" w:eastAsia="Calibri" w:hAnsi="Calibri" w:cs="Calibri"/>
                <w:color w:val="000000" w:themeColor="text1"/>
                <w:lang w:val="en-GB"/>
              </w:rPr>
              <w:t>GFAP, Glial fibrillary acidic protein; WMH, volumes of white matter hyperintensities.</w:t>
            </w:r>
          </w:p>
        </w:tc>
      </w:tr>
    </w:tbl>
    <w:tbl>
      <w:tblPr>
        <w:tblW w:w="14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988"/>
        <w:gridCol w:w="760"/>
        <w:gridCol w:w="589"/>
        <w:gridCol w:w="1769"/>
        <w:gridCol w:w="728"/>
        <w:gridCol w:w="589"/>
        <w:gridCol w:w="1907"/>
        <w:gridCol w:w="745"/>
        <w:gridCol w:w="583"/>
        <w:gridCol w:w="1969"/>
        <w:gridCol w:w="724"/>
        <w:gridCol w:w="589"/>
      </w:tblGrid>
      <w:tr w:rsidR="00F67CA7" w:rsidRPr="00843F1B" w:rsidTr="0033692F">
        <w:trPr>
          <w:trHeight w:val="302"/>
        </w:trPr>
        <w:tc>
          <w:tcPr>
            <w:tcW w:w="8121" w:type="dxa"/>
            <w:gridSpan w:val="7"/>
            <w:shd w:val="clear" w:color="000000" w:fill="FFFFFF"/>
            <w:noWrap/>
            <w:vAlign w:val="bottom"/>
            <w:hideMark/>
          </w:tcPr>
          <w:p w:rsidR="00F67CA7" w:rsidRPr="007561FF" w:rsidRDefault="00F67CA7" w:rsidP="00650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lastRenderedPageBreak/>
              <w:t>Table 2. Model 1 Linear regression results between a blood biomarker and an imaging biomarker</w:t>
            </w:r>
          </w:p>
        </w:tc>
        <w:tc>
          <w:tcPr>
            <w:tcW w:w="1907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3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6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</w:tr>
      <w:tr w:rsidR="00F67CA7" w:rsidRPr="007561FF" w:rsidTr="00C341D3">
        <w:trPr>
          <w:trHeight w:val="302"/>
        </w:trPr>
        <w:tc>
          <w:tcPr>
            <w:tcW w:w="169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3337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157906" w:rsidP="00F6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Serum 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NfL</w:t>
            </w:r>
          </w:p>
        </w:tc>
        <w:tc>
          <w:tcPr>
            <w:tcW w:w="3086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8D2B56" w:rsidP="00F6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NTA</w:t>
            </w:r>
          </w:p>
        </w:tc>
        <w:tc>
          <w:tcPr>
            <w:tcW w:w="3235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CD373A" w:rsidP="00F6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 t-tau</w:t>
            </w:r>
          </w:p>
        </w:tc>
        <w:tc>
          <w:tcPr>
            <w:tcW w:w="3282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8D2B56" w:rsidP="00F6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GFAP</w:t>
            </w:r>
          </w:p>
        </w:tc>
      </w:tr>
      <w:tr w:rsidR="00F67CA7" w:rsidRPr="007561FF" w:rsidTr="0033692F">
        <w:trPr>
          <w:trHeight w:val="348"/>
        </w:trPr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Predictors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WMH, slope (95% CI)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482068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0.0</w:t>
            </w:r>
            <w:r w:rsidR="00C722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1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1 (0.004</w:t>
            </w:r>
            <w:r w:rsidR="00C722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4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0.019</w:t>
            </w:r>
            <w:r w:rsidR="00A87A5C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0.18</w:t>
            </w:r>
          </w:p>
        </w:tc>
        <w:tc>
          <w:tcPr>
            <w:tcW w:w="589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482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0.00</w:t>
            </w:r>
            <w:r w:rsidR="00482068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2</w:t>
            </w:r>
            <w:r w:rsidR="00B347E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1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E80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0.004</w:t>
            </w:r>
            <w:r w:rsidR="00E800C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7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(-0.01</w:t>
            </w:r>
            <w:r w:rsidR="00E800C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0.0</w:t>
            </w:r>
            <w:r w:rsidR="00E800C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22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101C86" w:rsidP="00101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0.07</w:t>
            </w:r>
            <w:r w:rsidR="003C0BE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A87A5C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101C86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.58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-0.004 (-0.01</w:t>
            </w:r>
            <w:r w:rsidR="00E800C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 to 0.0036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101C86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0.07</w:t>
            </w:r>
            <w:r w:rsidR="003C0BE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5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101C86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0.29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0.006</w:t>
            </w:r>
            <w:r w:rsidR="00E800C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(-0.002</w:t>
            </w:r>
            <w:r w:rsidR="00E800C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0.015)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B347E1" w:rsidP="003C0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</w:t>
            </w:r>
            <w:r w:rsidR="003C0BE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66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B347E1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0.14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MTA, slope (95% CI)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1C13B2" w:rsidP="003319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0.16 (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0.0</w:t>
            </w:r>
            <w:r w:rsidR="003319D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38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 xml:space="preserve"> to 0.2</w:t>
            </w:r>
            <w:r w:rsidR="003319D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8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1C13B2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0.14</w:t>
            </w:r>
          </w:p>
        </w:tc>
        <w:tc>
          <w:tcPr>
            <w:tcW w:w="589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1C13B2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0.01</w:t>
            </w:r>
            <w:r w:rsidR="00B347E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1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482068" w:rsidP="003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0.42</w:t>
            </w:r>
            <w:r w:rsidR="00A87A5C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(0.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1</w:t>
            </w:r>
            <w:r w:rsidR="003319D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3</w:t>
            </w:r>
            <w:r w:rsidR="00A87A5C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7</w:t>
            </w:r>
            <w:r w:rsidR="00A87A5C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1)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0.19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482068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0.00</w:t>
            </w:r>
            <w:r w:rsidR="00B347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5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6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1C13B2" w:rsidP="00331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</w:t>
            </w:r>
            <w:r w:rsidR="009B5796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</w:t>
            </w:r>
            <w:r w:rsidR="003319D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0.063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</w:t>
            </w:r>
            <w:r w:rsidR="003319D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45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0.21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1C13B2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0.08</w:t>
            </w:r>
            <w:r w:rsidR="00B347E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1C13B2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0.21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482068" w:rsidP="004B4D6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0.2</w:t>
            </w:r>
            <w:r w:rsidR="004B4D6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 xml:space="preserve"> (0.0</w:t>
            </w:r>
            <w:r w:rsidR="004B4D6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67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34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2C7E63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0.11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482068" w:rsidP="00482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0.004</w:t>
            </w:r>
            <w:r w:rsidR="00B347E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PiB, slope (95% CI)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4B4D69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0.15 (-0.029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0.32)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0.03</w:t>
            </w:r>
            <w:r w:rsidR="00B347E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</w:p>
        </w:tc>
        <w:tc>
          <w:tcPr>
            <w:tcW w:w="5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0.10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4B4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0.16 (-0.2</w:t>
            </w:r>
            <w:r w:rsidR="004B4D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6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0.58)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B347E1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-0.0080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0.46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9B5796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 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0.07</w:t>
            </w:r>
            <w:r w:rsidR="004B4D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(-0.12 to 0.27)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C341D3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-</w:t>
            </w:r>
            <w:r w:rsidR="00B347E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0.0075</w:t>
            </w:r>
          </w:p>
        </w:tc>
        <w:tc>
          <w:tcPr>
            <w:tcW w:w="583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48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0.4</w:t>
            </w:r>
            <w:r w:rsidR="00482068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A87A5C" w:rsidP="004B4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0.26 (0.0</w:t>
            </w:r>
            <w:r w:rsidR="004B4D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69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0.46)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0.1</w:t>
            </w:r>
            <w:r w:rsidR="00B347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B3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0.00</w:t>
            </w:r>
            <w:r w:rsidR="00B347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88</w:t>
            </w:r>
          </w:p>
        </w:tc>
      </w:tr>
      <w:tr w:rsidR="00F67CA7" w:rsidRPr="007561FF" w:rsidTr="00C341D3">
        <w:trPr>
          <w:trHeight w:val="469"/>
        </w:trPr>
        <w:tc>
          <w:tcPr>
            <w:tcW w:w="14638" w:type="dxa"/>
            <w:gridSpan w:val="13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F67CA7" w:rsidRPr="007561FF" w:rsidRDefault="008D2B56" w:rsidP="00843F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Serum </w:t>
            </w:r>
            <w:r w:rsidR="00D369D1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NfL = neurofila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ment light,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NTA = N-terminal tau marker, </w:t>
            </w:r>
            <w:r w:rsidR="00D47DCD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 t-tau</w:t>
            </w:r>
            <w:r w:rsidR="00D47DCD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= </w:t>
            </w:r>
            <w:r w:rsidR="00D369D1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Quanterix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total tau marker,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GFAP = glial fibrillary acidic protein, WMH = volumes of white matter hyperintensities, MTA = medial temporal lobe atrophy score, PiB = </w:t>
            </w:r>
            <w:r w:rsidR="00843F1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[</w:t>
            </w:r>
            <w:r w:rsidR="00F67CA7" w:rsidRPr="009B239B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n-GB" w:eastAsia="fi-FI"/>
              </w:rPr>
              <w:t>11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C</w:t>
            </w:r>
            <w:proofErr w:type="gramStart"/>
            <w:r w:rsidR="00843F1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]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PiB</w:t>
            </w:r>
            <w:proofErr w:type="gramEnd"/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composite score. Blood biomarker values are log transformed. WMH and </w:t>
            </w:r>
            <w:r w:rsidR="00A87A5C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MTA adjusted for MRI scanner.</w:t>
            </w:r>
            <w:r w:rsidR="009B5796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P &lt; 0.05 are bolded.</w:t>
            </w:r>
            <w:r w:rsidR="009B239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Blood biomarker</w:t>
            </w:r>
            <w:r w:rsidR="00D26D3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values were log transformed.</w:t>
            </w:r>
          </w:p>
        </w:tc>
      </w:tr>
      <w:tr w:rsidR="00F67CA7" w:rsidRPr="007561FF" w:rsidTr="0033692F">
        <w:trPr>
          <w:trHeight w:val="620"/>
        </w:trPr>
        <w:tc>
          <w:tcPr>
            <w:tcW w:w="169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8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07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3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6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</w:tr>
      <w:tr w:rsidR="00F67CA7" w:rsidRPr="00843F1B" w:rsidTr="0033692F">
        <w:trPr>
          <w:trHeight w:val="302"/>
        </w:trPr>
        <w:tc>
          <w:tcPr>
            <w:tcW w:w="8121" w:type="dxa"/>
            <w:gridSpan w:val="7"/>
            <w:shd w:val="clear" w:color="000000" w:fill="FFFFFF"/>
            <w:noWrap/>
            <w:vAlign w:val="bottom"/>
            <w:hideMark/>
          </w:tcPr>
          <w:p w:rsidR="00F67CA7" w:rsidRPr="007561FF" w:rsidRDefault="00F67CA7" w:rsidP="00183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Table 3. Model 2 </w:t>
            </w:r>
            <w:r w:rsidR="00C41CC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a</w:t>
            </w:r>
            <w:r w:rsidR="00183B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djusted l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inear regression results between a blood biomarker and an imaging biomarker</w:t>
            </w:r>
            <w:r w:rsidR="00183B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</w:t>
            </w:r>
          </w:p>
        </w:tc>
        <w:tc>
          <w:tcPr>
            <w:tcW w:w="1907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3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6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</w:tr>
      <w:tr w:rsidR="00CD373A" w:rsidRPr="007561FF" w:rsidTr="00C341D3">
        <w:trPr>
          <w:trHeight w:val="302"/>
        </w:trPr>
        <w:tc>
          <w:tcPr>
            <w:tcW w:w="169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CD373A" w:rsidP="00CD3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3337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15790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Serum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NfL</w:t>
            </w:r>
          </w:p>
        </w:tc>
        <w:tc>
          <w:tcPr>
            <w:tcW w:w="3086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8D2B5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NTA</w:t>
            </w:r>
          </w:p>
        </w:tc>
        <w:tc>
          <w:tcPr>
            <w:tcW w:w="3235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CD373A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 t-tau</w:t>
            </w:r>
          </w:p>
        </w:tc>
        <w:tc>
          <w:tcPr>
            <w:tcW w:w="3282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8D2B5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GFAP</w:t>
            </w:r>
          </w:p>
        </w:tc>
      </w:tr>
      <w:tr w:rsidR="00F67CA7" w:rsidRPr="007561FF" w:rsidTr="0033692F">
        <w:trPr>
          <w:trHeight w:val="348"/>
        </w:trPr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Predictors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WMH, slope (95% CI)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83E88" w:rsidP="00F83E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0.0088</w:t>
            </w:r>
            <w:r w:rsidR="00491D9F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(0.00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19</w:t>
            </w:r>
            <w:r w:rsidR="00491D9F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0.016</w:t>
            </w:r>
            <w:r w:rsidR="00A87A5C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0.33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0.01</w:t>
            </w:r>
            <w:r w:rsidR="007450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3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7D068B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0.007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(-0.01</w:t>
            </w:r>
            <w:r w:rsidR="00491D9F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 to 0.025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9B5796" w:rsidP="0074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</w:t>
            </w:r>
            <w:r w:rsidR="007450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27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49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0.4</w:t>
            </w:r>
            <w:r w:rsidR="00491D9F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9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491D9F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-0.004 (-0.012</w:t>
            </w:r>
            <w:r w:rsidR="00F83E8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0.0037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491D9F" w:rsidP="0049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0.11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0.28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83E88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0.0037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(-0.005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0.013)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74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</w:t>
            </w:r>
            <w:r w:rsidR="007450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15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491D9F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0.41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MTA, slope (95% CI)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C675BB" w:rsidP="00F245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0.13 (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0.0</w:t>
            </w:r>
            <w:r w:rsidR="00F245F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19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24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C675BB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</w:t>
            </w:r>
            <w:r w:rsidR="00F9688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.32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C675BB" w:rsidP="00F245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0.02</w:t>
            </w:r>
            <w:r w:rsidR="00F245F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3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A87A5C" w:rsidP="00D113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</w:t>
            </w:r>
            <w:r w:rsidR="00D1133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44 (0.13 to 0.76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9B5796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</w:t>
            </w:r>
            <w:r w:rsidR="00F67CA7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0.15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3C255D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0.0063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C91FCE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-0.12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 to 0.25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211ACB" w:rsidP="00211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0.14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211ACB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0.07</w:t>
            </w:r>
            <w:r w:rsidR="003C25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045339" w:rsidP="00045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0.22</w:t>
            </w:r>
            <w:r w:rsidR="00A87A5C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(0.0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75</w:t>
            </w:r>
            <w:r w:rsidR="00A87A5C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36</w:t>
            </w:r>
            <w:r w:rsidR="00A87A5C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0.1</w:t>
            </w:r>
            <w:r w:rsidR="003C25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5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3C255D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0.0034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PiB, slope (95% CI)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663398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0.14 (-0.026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845522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0.20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845522" w:rsidP="00845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0.099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0.12 (-0.3</w:t>
            </w:r>
            <w:r w:rsidR="0012219E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="0012219E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5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6)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-0.05</w:t>
            </w:r>
            <w:r w:rsidR="008455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845522" w:rsidP="00845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0.60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9B5796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 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0.05 (-0.15 to 0.25)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12219E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0.04</w:t>
            </w:r>
            <w:r w:rsidR="008455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5</w:t>
            </w:r>
          </w:p>
        </w:tc>
        <w:tc>
          <w:tcPr>
            <w:tcW w:w="583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12219E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0.61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A87A5C" w:rsidP="00663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0.27 (0.07</w:t>
            </w:r>
            <w:r w:rsidR="0066339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3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0.4</w:t>
            </w:r>
            <w:r w:rsidR="0066339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7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0.13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0.008</w:t>
            </w:r>
            <w:r w:rsidR="008455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</w:tr>
      <w:tr w:rsidR="00F67CA7" w:rsidRPr="00843F1B" w:rsidTr="00C341D3">
        <w:trPr>
          <w:trHeight w:val="427"/>
        </w:trPr>
        <w:tc>
          <w:tcPr>
            <w:tcW w:w="14638" w:type="dxa"/>
            <w:gridSpan w:val="13"/>
            <w:shd w:val="clear" w:color="000000" w:fill="FFFFFF"/>
            <w:vAlign w:val="bottom"/>
            <w:hideMark/>
          </w:tcPr>
          <w:p w:rsidR="00F67CA7" w:rsidRPr="007561FF" w:rsidRDefault="008D2B56" w:rsidP="00D26D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Serum </w:t>
            </w:r>
            <w:r w:rsidR="00D369D1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NfL = neurofila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ment light,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NTA = N-terminal tau marker, </w:t>
            </w:r>
            <w:r w:rsidR="00D47DCD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 t-tau</w:t>
            </w:r>
            <w:r w:rsidR="00D47DCD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= </w:t>
            </w:r>
            <w:r w:rsidR="00D369D1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Quanterix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total tau marker,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GFAP = glial fibrillary acidic protein, WMH = volumes of white matter hyperintensities, MTA = medial temporal lobe atrophy score, PiB = </w:t>
            </w:r>
            <w:r w:rsidR="00843F1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[</w:t>
            </w:r>
            <w:r w:rsidR="00843F1B" w:rsidRPr="00DD44E7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n-GB" w:eastAsia="fi-FI"/>
              </w:rPr>
              <w:t>11</w:t>
            </w:r>
            <w:r w:rsidR="00843F1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C</w:t>
            </w:r>
            <w:proofErr w:type="gramStart"/>
            <w:r w:rsidR="00843F1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]</w:t>
            </w:r>
            <w:r w:rsidR="00843F1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PiB</w:t>
            </w:r>
            <w:proofErr w:type="gramEnd"/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composite score. Blood biomarker values are log transformed. Results adjusted for Age, Sex and BMI. WMH and MTA </w:t>
            </w:r>
            <w:r w:rsidR="00A87A5C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also adjusted for MRI scanner.</w:t>
            </w:r>
            <w:r w:rsidR="009B5796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="00473F38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Significant values</w:t>
            </w:r>
            <w:r w:rsidR="009B5796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are bolded.</w:t>
            </w:r>
            <w:r w:rsidR="00D26D3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Blood biomarker values were log transformed.</w:t>
            </w:r>
          </w:p>
        </w:tc>
      </w:tr>
      <w:tr w:rsidR="00F67CA7" w:rsidRPr="00843F1B" w:rsidTr="0033692F">
        <w:trPr>
          <w:trHeight w:val="302"/>
        </w:trPr>
        <w:tc>
          <w:tcPr>
            <w:tcW w:w="1698" w:type="dxa"/>
            <w:shd w:val="clear" w:color="000000" w:fill="FFFFFF"/>
            <w:noWrap/>
            <w:vAlign w:val="bottom"/>
            <w:hideMark/>
          </w:tcPr>
          <w:p w:rsidR="00F67CA7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</w:p>
          <w:p w:rsidR="00EA005B" w:rsidRDefault="00EA005B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</w:p>
          <w:p w:rsidR="00EA005B" w:rsidRDefault="00EA005B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</w:p>
          <w:p w:rsidR="004C7F16" w:rsidRDefault="004C7F16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</w:p>
          <w:p w:rsidR="00EA005B" w:rsidRPr="007561FF" w:rsidRDefault="00EA005B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</w:p>
          <w:p w:rsidR="004C7F16" w:rsidRPr="007561FF" w:rsidRDefault="004C7F16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98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07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3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6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</w:tr>
      <w:tr w:rsidR="00F67CA7" w:rsidRPr="00843F1B" w:rsidTr="00C341D3">
        <w:trPr>
          <w:trHeight w:val="302"/>
        </w:trPr>
        <w:tc>
          <w:tcPr>
            <w:tcW w:w="14638" w:type="dxa"/>
            <w:gridSpan w:val="13"/>
            <w:shd w:val="clear" w:color="000000" w:fill="FFFFFF"/>
            <w:noWrap/>
            <w:vAlign w:val="bottom"/>
            <w:hideMark/>
          </w:tcPr>
          <w:p w:rsidR="00F67CA7" w:rsidRPr="007561FF" w:rsidRDefault="00C41CC2" w:rsidP="00C4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Table 4. Model 3 r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esults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for</w:t>
            </w:r>
            <w:r w:rsidR="00183B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the 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blood biomarker</w:t>
            </w:r>
            <w:r w:rsidR="00183B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and the imaging biomarkers</w:t>
            </w:r>
          </w:p>
        </w:tc>
      </w:tr>
      <w:tr w:rsidR="00CD373A" w:rsidRPr="007561FF" w:rsidTr="00C341D3">
        <w:trPr>
          <w:trHeight w:val="302"/>
        </w:trPr>
        <w:tc>
          <w:tcPr>
            <w:tcW w:w="169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CD373A" w:rsidP="00CD3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3337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15790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Serum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NfL</w:t>
            </w:r>
          </w:p>
        </w:tc>
        <w:tc>
          <w:tcPr>
            <w:tcW w:w="3086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8D2B5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NTA</w:t>
            </w:r>
          </w:p>
        </w:tc>
        <w:tc>
          <w:tcPr>
            <w:tcW w:w="3235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CD373A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 t-tau</w:t>
            </w:r>
          </w:p>
        </w:tc>
        <w:tc>
          <w:tcPr>
            <w:tcW w:w="3282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8D2B5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GFAP</w:t>
            </w:r>
          </w:p>
        </w:tc>
      </w:tr>
      <w:tr w:rsidR="000F6D90" w:rsidRPr="007561FF" w:rsidTr="00C341D3">
        <w:trPr>
          <w:trHeight w:val="348"/>
        </w:trPr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D90" w:rsidRPr="007561FF" w:rsidRDefault="000F6D90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D90" w:rsidRPr="007561FF" w:rsidRDefault="000F6D90" w:rsidP="00D67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= 0.22 p = 0.00</w:t>
            </w:r>
            <w:r w:rsidR="00D677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16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D90" w:rsidRPr="007561FF" w:rsidRDefault="000F6D90" w:rsidP="00D67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  <w:r w:rsidR="00D677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= 0.18 p = 0.0066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D90" w:rsidRPr="007561FF" w:rsidRDefault="000F6D90" w:rsidP="000F6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= 0.08</w:t>
            </w:r>
            <w:r w:rsidR="00D677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p = 0.08</w:t>
            </w:r>
            <w:r w:rsidR="00D677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D90" w:rsidRPr="007561FF" w:rsidRDefault="000F6D90" w:rsidP="00D67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= 0.18</w:t>
            </w:r>
            <w:r w:rsidR="00AB1309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p = 0.00</w:t>
            </w:r>
            <w:r w:rsidR="00D677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58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Predictors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 ratio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proofErr w:type="spellStart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Std</w:t>
            </w:r>
            <w:proofErr w:type="spellEnd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β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 ratio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proofErr w:type="spellStart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Std</w:t>
            </w:r>
            <w:proofErr w:type="spellEnd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β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 ratio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proofErr w:type="spellStart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Std</w:t>
            </w:r>
            <w:proofErr w:type="spellEnd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β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 ratio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proofErr w:type="spellStart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Std</w:t>
            </w:r>
            <w:proofErr w:type="spellEnd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β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WMH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slope (95% CI)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D70F6" w:rsidP="00FD7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0.0098</w:t>
            </w:r>
            <w:r w:rsidR="00DC2915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(0.00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29</w:t>
            </w:r>
            <w:r w:rsidR="00F67CA7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0.0</w:t>
            </w:r>
            <w:r w:rsidR="00DC2915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17</w:t>
            </w:r>
            <w:r w:rsidR="00F67CA7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)**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DC2915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8</w:t>
            </w:r>
            <w:r w:rsidR="00F67CA7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12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DC29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0.3</w:t>
            </w:r>
            <w:r w:rsidR="00DC2915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4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650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15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(-0.01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5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0.0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2)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.03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65037B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0.02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77A4D" w:rsidP="00FD7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-0.00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47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(-0.01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0.00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77A4D" w:rsidP="00F77A4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1.5</w:t>
            </w:r>
            <w:r w:rsidR="00FD70F6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1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77A4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-0.</w:t>
            </w:r>
            <w:r w:rsidR="00F77A4D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16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AB5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</w:t>
            </w:r>
            <w:r w:rsidR="00AB5C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39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</w:t>
            </w:r>
            <w:r w:rsidR="00593D7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004</w:t>
            </w:r>
            <w:r w:rsidR="00AB5C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="00593D7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="00AB5C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593D7A" w:rsidP="00593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95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593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593D7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12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MTA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slope (95% CI)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DC2915" w:rsidP="00DC29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0.12 (0.004</w:t>
            </w:r>
            <w:r w:rsidR="00FD70F6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4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 xml:space="preserve"> to 0.23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)</w:t>
            </w:r>
            <w:r w:rsidR="00593D7A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*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DC2915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4.34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DC2915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0.25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65037B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0.45 (0.13 to 0.76</w:t>
            </w:r>
            <w:r w:rsidR="00F67CA7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)**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D70F6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8.10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.37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77A4D" w:rsidP="00F7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9 (-0.04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 to 0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.22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D70F6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1.85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77A4D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0.18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593D7A" w:rsidP="00AB5C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0.1</w:t>
            </w:r>
            <w:r w:rsidR="00AB5C4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6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 xml:space="preserve"> ( 0.02</w:t>
            </w:r>
            <w:r w:rsidR="00AB5C4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 xml:space="preserve"> to 0.29</w:t>
            </w:r>
            <w:r w:rsidR="00F67CA7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)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*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593D7A" w:rsidP="00593D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5</w:t>
            </w:r>
            <w:r w:rsidR="0065037B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29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593D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.</w:t>
            </w:r>
            <w:r w:rsidR="00593D7A"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29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PiB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slope (95% CI)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D7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58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(-0.1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 to 0.23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0.85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0.11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65037B" w:rsidP="00650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-0.11 (-0.51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76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650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.28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650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-0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68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7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</w:t>
            </w:r>
            <w:r w:rsidR="00F77A4D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17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(-0.1</w:t>
            </w:r>
            <w:r w:rsidR="00F77A4D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7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0.2</w:t>
            </w:r>
            <w:r w:rsidR="00F77A4D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77A4D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0.03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583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77A4D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0.02</w:t>
            </w:r>
            <w:r w:rsidR="00FD70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5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593D7A" w:rsidP="00AB5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0.2</w:t>
            </w:r>
            <w:r w:rsidR="00AB5C4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(0.0</w:t>
            </w:r>
            <w:r w:rsidR="00AB5C4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28</w:t>
            </w:r>
            <w:r w:rsidR="00F67CA7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0.4</w:t>
            </w:r>
            <w:r w:rsidR="00AB5C4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2</w:t>
            </w:r>
            <w:r w:rsidR="00F67CA7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)*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AB5C4C" w:rsidP="00AB5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5.27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593D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="00593D7A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29</w:t>
            </w:r>
          </w:p>
        </w:tc>
      </w:tr>
      <w:tr w:rsidR="00F67CA7" w:rsidRPr="00843F1B" w:rsidTr="00C341D3">
        <w:trPr>
          <w:trHeight w:val="416"/>
        </w:trPr>
        <w:tc>
          <w:tcPr>
            <w:tcW w:w="14638" w:type="dxa"/>
            <w:gridSpan w:val="13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D26D3B" w:rsidRDefault="008D2B56" w:rsidP="00843F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Serum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NfL = neurofilament light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NTA = N-terminal tau marker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D47DCD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Plasma t-tau</w:t>
            </w:r>
            <w:r w:rsidR="00D47DCD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= Q</w:t>
            </w:r>
            <w:r w:rsidR="006464BC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u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anterix total tau marker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GFAP = glial fibrillary acidic protein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WMH = volumes of white matter hyperintensities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MTA = medial temporal lobe atrophy score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PiB = </w:t>
            </w:r>
            <w:r w:rsidR="00843F1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[</w:t>
            </w:r>
            <w:r w:rsidR="00843F1B" w:rsidRPr="00DD44E7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n-GB" w:eastAsia="fi-FI"/>
              </w:rPr>
              <w:t>11</w:t>
            </w:r>
            <w:r w:rsidR="00843F1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C</w:t>
            </w:r>
            <w:proofErr w:type="gramStart"/>
            <w:r w:rsidR="00843F1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]</w:t>
            </w:r>
            <w:r w:rsidR="00843F1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PiB</w:t>
            </w:r>
            <w:proofErr w:type="gramEnd"/>
            <w:r w:rsidR="00843F1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composite score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Blood biomarker values are log transformed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="00621BFA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Results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adjusted for MRI scanner</w:t>
            </w:r>
            <w:r w:rsidR="00AB1309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. Significant values are bolded.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</w:p>
          <w:p w:rsidR="00F67CA7" w:rsidRPr="007561FF" w:rsidRDefault="00D26D3B" w:rsidP="00843F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Blood biomarker values were log transformed.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*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p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&lt;0.05</w:t>
            </w:r>
            <w:r w:rsidR="0065037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.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**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p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&lt;0.01</w:t>
            </w:r>
            <w:r w:rsidR="0065037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.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***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p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&lt;0.001</w:t>
            </w:r>
          </w:p>
        </w:tc>
      </w:tr>
      <w:tr w:rsidR="00F67CA7" w:rsidRPr="00843F1B" w:rsidTr="0033692F">
        <w:trPr>
          <w:trHeight w:val="302"/>
        </w:trPr>
        <w:tc>
          <w:tcPr>
            <w:tcW w:w="169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lastRenderedPageBreak/>
              <w:t> </w:t>
            </w:r>
          </w:p>
        </w:tc>
        <w:tc>
          <w:tcPr>
            <w:tcW w:w="198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07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3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196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</w:tr>
      <w:tr w:rsidR="00F67CA7" w:rsidRPr="00843F1B" w:rsidTr="00C341D3">
        <w:trPr>
          <w:trHeight w:val="302"/>
        </w:trPr>
        <w:tc>
          <w:tcPr>
            <w:tcW w:w="14638" w:type="dxa"/>
            <w:gridSpan w:val="13"/>
            <w:shd w:val="clear" w:color="000000" w:fill="FFFFFF"/>
            <w:noWrap/>
            <w:vAlign w:val="bottom"/>
            <w:hideMark/>
          </w:tcPr>
          <w:p w:rsidR="00F67CA7" w:rsidRPr="007561FF" w:rsidRDefault="00F67CA7" w:rsidP="00C4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Table 5. Model</w:t>
            </w:r>
            <w:r w:rsidR="00C41CC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4 adjusted results for the 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blood biomarker</w:t>
            </w:r>
            <w:r w:rsidR="00C41CC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and the imaging biomarkers</w:t>
            </w:r>
            <w:r w:rsidR="00C41CC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</w:t>
            </w:r>
          </w:p>
        </w:tc>
      </w:tr>
      <w:tr w:rsidR="00CD373A" w:rsidRPr="007561FF" w:rsidTr="00C341D3">
        <w:trPr>
          <w:trHeight w:val="302"/>
        </w:trPr>
        <w:tc>
          <w:tcPr>
            <w:tcW w:w="169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CD373A" w:rsidP="00CD3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3337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8D2B5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Serum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NfL</w:t>
            </w:r>
          </w:p>
        </w:tc>
        <w:tc>
          <w:tcPr>
            <w:tcW w:w="3086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8D2B5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NTA</w:t>
            </w:r>
          </w:p>
        </w:tc>
        <w:tc>
          <w:tcPr>
            <w:tcW w:w="3235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CD373A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 t-tau</w:t>
            </w:r>
          </w:p>
        </w:tc>
        <w:tc>
          <w:tcPr>
            <w:tcW w:w="3282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73A" w:rsidRPr="007561FF" w:rsidRDefault="008D2B56" w:rsidP="00CD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CD373A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GFAP</w:t>
            </w:r>
          </w:p>
        </w:tc>
      </w:tr>
      <w:tr w:rsidR="00AB1309" w:rsidRPr="007561FF" w:rsidTr="00C341D3">
        <w:trPr>
          <w:trHeight w:val="348"/>
        </w:trPr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09" w:rsidRPr="007561FF" w:rsidRDefault="00AB1309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09" w:rsidRPr="007561FF" w:rsidRDefault="00AB1309" w:rsidP="00AB1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= 0.32 p = 0.0002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09" w:rsidRPr="007561FF" w:rsidRDefault="00AB1309" w:rsidP="00AB1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= 0.14 p = 0.044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 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09" w:rsidRPr="007561FF" w:rsidRDefault="00AB1309" w:rsidP="00AB1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GB" w:eastAsia="fi-FI"/>
              </w:rPr>
              <w:t xml:space="preserve"> = 0.14 p = 0.041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09" w:rsidRPr="007561FF" w:rsidRDefault="00AB1309" w:rsidP="00CC5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R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 xml:space="preserve"> = 0.21 p = 0.00</w:t>
            </w:r>
            <w:r w:rsidR="00CC59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69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Predictors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 ratio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proofErr w:type="spellStart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Std</w:t>
            </w:r>
            <w:proofErr w:type="spellEnd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β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 ratio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proofErr w:type="spellStart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Std</w:t>
            </w:r>
            <w:proofErr w:type="spellEnd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β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 ratio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proofErr w:type="spellStart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Std</w:t>
            </w:r>
            <w:proofErr w:type="spellEnd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β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Estimate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F ratio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proofErr w:type="spellStart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Std</w:t>
            </w:r>
            <w:proofErr w:type="spellEnd"/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β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WMH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slope (95% CI)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0A7AA5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0.007</w:t>
            </w:r>
            <w:r w:rsidR="006905E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3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(0.0003</w:t>
            </w:r>
            <w:r w:rsidR="006905E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8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0.014</w:t>
            </w:r>
            <w:r w:rsidR="00F67CA7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)*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4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="000A7AA5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48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="000A7AA5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25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CC7B54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0.002</w:t>
            </w:r>
            <w:r w:rsidR="00A22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(-0.01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6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0.02</w:t>
            </w:r>
            <w:r w:rsidR="00A22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CC7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CC7B54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07</w:t>
            </w:r>
            <w:r w:rsidR="00A22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A22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A22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37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6905E2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-0.0057</w:t>
            </w:r>
            <w:r w:rsidR="002666DC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</w:t>
            </w:r>
            <w:r w:rsidR="002666DC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0.002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2666DC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2.02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-0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2666DC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19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A7050B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0.0004</w:t>
            </w:r>
            <w:r w:rsidR="0033692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(-0.008</w:t>
            </w:r>
            <w:r w:rsidR="0033692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 to 0.089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A70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A7050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01</w:t>
            </w:r>
            <w:r w:rsidR="0033692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A7050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="0033692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MTA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slope (95% CI)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0A7AA5" w:rsidP="000A7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0.10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(-0.0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1)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F67CA7" w:rsidRPr="007561FF" w:rsidRDefault="000A7AA5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3.27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69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21</w:t>
            </w:r>
          </w:p>
        </w:tc>
        <w:tc>
          <w:tcPr>
            <w:tcW w:w="17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CC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</w:t>
            </w:r>
            <w:r w:rsidR="00CC7B54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45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(0.</w:t>
            </w:r>
            <w:r w:rsidR="00CC7B54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12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</w:t>
            </w:r>
            <w:r w:rsidR="00CC7B54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79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)*</w:t>
            </w:r>
            <w:r w:rsidR="00AB2ABE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*</w:t>
            </w:r>
          </w:p>
        </w:tc>
        <w:tc>
          <w:tcPr>
            <w:tcW w:w="728" w:type="dxa"/>
            <w:shd w:val="clear" w:color="000000" w:fill="FFFFFF"/>
            <w:noWrap/>
            <w:vAlign w:val="bottom"/>
            <w:hideMark/>
          </w:tcPr>
          <w:p w:rsidR="00F67CA7" w:rsidRPr="007561FF" w:rsidRDefault="00CC7B54" w:rsidP="00CC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7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60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CC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3</w:t>
            </w:r>
            <w:r w:rsidR="00CC7B54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8</w:t>
            </w:r>
          </w:p>
        </w:tc>
        <w:tc>
          <w:tcPr>
            <w:tcW w:w="190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2666DC" w:rsidP="0069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0.13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002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4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7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F67CA7" w:rsidRPr="007561FF" w:rsidRDefault="002666DC" w:rsidP="00266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3.90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266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2666DC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27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A705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0.1</w:t>
            </w:r>
            <w:r w:rsidR="00A7050B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8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(0.0</w:t>
            </w:r>
            <w:r w:rsidR="00A7050B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4</w:t>
            </w:r>
            <w:r w:rsidR="0033692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1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</w:t>
            </w:r>
            <w:r w:rsidR="00A7050B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3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2)*</w:t>
            </w:r>
          </w:p>
        </w:tc>
        <w:tc>
          <w:tcPr>
            <w:tcW w:w="724" w:type="dxa"/>
            <w:shd w:val="clear" w:color="000000" w:fill="FFFFFF"/>
            <w:noWrap/>
            <w:vAlign w:val="bottom"/>
            <w:hideMark/>
          </w:tcPr>
          <w:p w:rsidR="00F67CA7" w:rsidRPr="007561FF" w:rsidRDefault="00A7050B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6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70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F67CA7" w:rsidRPr="007561FF" w:rsidRDefault="00F67CA7" w:rsidP="00A705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="00A7050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33</w:t>
            </w:r>
          </w:p>
        </w:tc>
      </w:tr>
      <w:tr w:rsidR="00F67CA7" w:rsidRPr="007561FF" w:rsidTr="0033692F">
        <w:trPr>
          <w:trHeight w:val="302"/>
        </w:trPr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PiB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slope (95% CI)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3E2565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0.07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 (-0.087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0.23)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3E2565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0.38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3E2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3E2565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10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CC7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-0.0</w:t>
            </w:r>
            <w:r w:rsidR="00CC7B54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9</w:t>
            </w:r>
            <w:r w:rsidR="00A22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(-0.5</w:t>
            </w:r>
            <w:r w:rsidR="00CC7B54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="00CC7B54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33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CC7B54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19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CC7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-0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A22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59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2666DC" w:rsidP="0069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0.014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(-0.1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8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 to 0.</w:t>
            </w: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1</w:t>
            </w:r>
            <w:r w:rsidR="00F67CA7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266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2666DC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02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583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266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.</w:t>
            </w:r>
            <w:r w:rsidR="002666DC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02</w:t>
            </w:r>
            <w:r w:rsidR="006905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0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A705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0</w:t>
            </w:r>
            <w:r w:rsidR="00A7050B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.23 (0.04</w:t>
            </w:r>
            <w:r w:rsidR="0033692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3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 xml:space="preserve"> to 0.4</w:t>
            </w:r>
            <w:r w:rsidR="00A7050B"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3</w:t>
            </w:r>
            <w:r w:rsidRPr="007561F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fi-FI"/>
              </w:rPr>
              <w:t>)*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A705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6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="00A7050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04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CA7" w:rsidRPr="007561FF" w:rsidRDefault="00F67CA7" w:rsidP="00F67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0</w:t>
            </w:r>
            <w:r w:rsidR="0065037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.</w:t>
            </w:r>
            <w:r w:rsidR="00A7050B" w:rsidRPr="007561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fi-FI"/>
              </w:rPr>
              <w:t>31</w:t>
            </w:r>
          </w:p>
        </w:tc>
      </w:tr>
      <w:tr w:rsidR="00F67CA7" w:rsidRPr="00843F1B" w:rsidTr="00C341D3">
        <w:trPr>
          <w:trHeight w:val="393"/>
        </w:trPr>
        <w:tc>
          <w:tcPr>
            <w:tcW w:w="14638" w:type="dxa"/>
            <w:gridSpan w:val="13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D26D3B" w:rsidRDefault="008D2B56" w:rsidP="005709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Serum </w:t>
            </w:r>
            <w:r w:rsidR="00D369D1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NfL = neurofila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ment light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NTA = N-terminal tau marker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="00D47DCD" w:rsidRPr="007561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>Plasma t-tau</w:t>
            </w:r>
            <w:r w:rsidR="00D47DCD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= Q</w:t>
            </w:r>
            <w:r w:rsidR="006464BC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u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anterix total tau marker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</w:t>
            </w:r>
            <w:r w:rsidRPr="008D2B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fi-FI"/>
              </w:rPr>
              <w:t xml:space="preserve">Plasma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GFAP = glial fibrillary acidic protein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WMH = volumes of white matter hyperintensities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MTA = medial temporal lobe atrophy score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PiB = </w:t>
            </w:r>
            <w:r w:rsidR="00843F1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[</w:t>
            </w:r>
            <w:r w:rsidR="00843F1B" w:rsidRPr="00DD44E7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n-GB" w:eastAsia="fi-FI"/>
              </w:rPr>
              <w:t>11</w:t>
            </w:r>
            <w:r w:rsidR="00843F1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C</w:t>
            </w:r>
            <w:r w:rsidR="00843F1B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]</w:t>
            </w:r>
            <w:r w:rsidR="00843F1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PiB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composite score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Blood biomarker values are log transformed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Results</w:t>
            </w:r>
            <w:r w:rsidR="00716FB8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adjusted for Age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716FB8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Sex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,</w:t>
            </w:r>
            <w:r w:rsidR="00716FB8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BMI and 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MRI scanner</w:t>
            </w:r>
            <w:r w:rsidR="00AB1309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. Significant values are bolded. </w:t>
            </w:r>
          </w:p>
          <w:p w:rsidR="00F67CA7" w:rsidRPr="007561FF" w:rsidRDefault="00D26D3B" w:rsidP="005709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Blood biomarker values were log transformed.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*p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&lt;0.05</w:t>
            </w:r>
            <w:r w:rsidR="0065037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.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**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p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&lt;0.01</w:t>
            </w:r>
            <w:r w:rsidR="0065037B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.</w:t>
            </w:r>
            <w:r w:rsidR="00570920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 xml:space="preserve"> ***p</w:t>
            </w:r>
            <w:r w:rsidR="00F67CA7" w:rsidRPr="007561FF">
              <w:rPr>
                <w:rFonts w:ascii="Calibri" w:eastAsia="Times New Roman" w:hAnsi="Calibri" w:cs="Calibri"/>
                <w:sz w:val="16"/>
                <w:szCs w:val="16"/>
                <w:lang w:val="en-GB" w:eastAsia="fi-FI"/>
              </w:rPr>
              <w:t>&lt;0.001</w:t>
            </w:r>
          </w:p>
        </w:tc>
      </w:tr>
    </w:tbl>
    <w:p w:rsidR="007B3BE5" w:rsidRPr="007561FF" w:rsidRDefault="007B3BE5">
      <w:pPr>
        <w:rPr>
          <w:lang w:val="en-GB"/>
        </w:rPr>
      </w:pPr>
    </w:p>
    <w:sectPr w:rsidR="007B3BE5" w:rsidRPr="007561FF" w:rsidSect="006D128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8A"/>
    <w:rsid w:val="00045339"/>
    <w:rsid w:val="000A7AA5"/>
    <w:rsid w:val="000F6D90"/>
    <w:rsid w:val="00101C86"/>
    <w:rsid w:val="0012219E"/>
    <w:rsid w:val="00157906"/>
    <w:rsid w:val="00183B40"/>
    <w:rsid w:val="001C13B2"/>
    <w:rsid w:val="00211ACB"/>
    <w:rsid w:val="002666DC"/>
    <w:rsid w:val="002C7E63"/>
    <w:rsid w:val="003319DB"/>
    <w:rsid w:val="0033692F"/>
    <w:rsid w:val="003C0BEF"/>
    <w:rsid w:val="003C255D"/>
    <w:rsid w:val="003E2565"/>
    <w:rsid w:val="00473F38"/>
    <w:rsid w:val="00482068"/>
    <w:rsid w:val="00491D9F"/>
    <w:rsid w:val="004B4D69"/>
    <w:rsid w:val="004C7F16"/>
    <w:rsid w:val="00570920"/>
    <w:rsid w:val="00593D7A"/>
    <w:rsid w:val="00621BFA"/>
    <w:rsid w:val="006245B6"/>
    <w:rsid w:val="006464BC"/>
    <w:rsid w:val="0065037B"/>
    <w:rsid w:val="00663398"/>
    <w:rsid w:val="006905E2"/>
    <w:rsid w:val="006D128A"/>
    <w:rsid w:val="006F2B1D"/>
    <w:rsid w:val="00716FB8"/>
    <w:rsid w:val="007450DA"/>
    <w:rsid w:val="007561FF"/>
    <w:rsid w:val="00780D39"/>
    <w:rsid w:val="007B3BE5"/>
    <w:rsid w:val="007D068B"/>
    <w:rsid w:val="00843F1B"/>
    <w:rsid w:val="00845522"/>
    <w:rsid w:val="008D2B56"/>
    <w:rsid w:val="009B239B"/>
    <w:rsid w:val="009B5796"/>
    <w:rsid w:val="00A224B2"/>
    <w:rsid w:val="00A7050B"/>
    <w:rsid w:val="00A87A5C"/>
    <w:rsid w:val="00A97F18"/>
    <w:rsid w:val="00AB1309"/>
    <w:rsid w:val="00AB2ABE"/>
    <w:rsid w:val="00AB5C4C"/>
    <w:rsid w:val="00B347E1"/>
    <w:rsid w:val="00B4120A"/>
    <w:rsid w:val="00B77BFE"/>
    <w:rsid w:val="00C341D3"/>
    <w:rsid w:val="00C41CC2"/>
    <w:rsid w:val="00C45814"/>
    <w:rsid w:val="00C560A2"/>
    <w:rsid w:val="00C675BB"/>
    <w:rsid w:val="00C722E3"/>
    <w:rsid w:val="00C91FCE"/>
    <w:rsid w:val="00CC59DD"/>
    <w:rsid w:val="00CC7B54"/>
    <w:rsid w:val="00CD373A"/>
    <w:rsid w:val="00D11333"/>
    <w:rsid w:val="00D26D3B"/>
    <w:rsid w:val="00D369D1"/>
    <w:rsid w:val="00D47DCD"/>
    <w:rsid w:val="00D677EC"/>
    <w:rsid w:val="00D86A2D"/>
    <w:rsid w:val="00DC2915"/>
    <w:rsid w:val="00E800CF"/>
    <w:rsid w:val="00EA005B"/>
    <w:rsid w:val="00F245FB"/>
    <w:rsid w:val="00F67CA7"/>
    <w:rsid w:val="00F77A4D"/>
    <w:rsid w:val="00F83E88"/>
    <w:rsid w:val="00F96884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DB27"/>
  <w15:chartTrackingRefBased/>
  <w15:docId w15:val="{A1A883D1-DC7E-47EA-A484-415FC32D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561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4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43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804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Varsinais-Suomen Sairaanhoitopiiri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Koivumäki Esa Mikko</dc:creator>
  <cp:keywords/>
  <dc:description/>
  <cp:lastModifiedBy>Koivumäki Esa Mikko</cp:lastModifiedBy>
  <cp:revision>8</cp:revision>
  <dcterms:created xsi:type="dcterms:W3CDTF">2023-06-19T12:01:00Z</dcterms:created>
  <dcterms:modified xsi:type="dcterms:W3CDTF">2023-06-29T06:54:00Z</dcterms:modified>
</cp:coreProperties>
</file>