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000000" w:themeColor="text1"/>
          <w:szCs w:val="24"/>
          <w14:textFill>
            <w14:solidFill>
              <w14:schemeClr w14:val="tx1"/>
            </w14:solidFill>
          </w14:textFill>
        </w:rPr>
      </w:pPr>
      <w:bookmarkStart w:id="0" w:name="_Hlk59133315"/>
      <w:bookmarkEnd w:id="0"/>
      <w:r>
        <w:rPr>
          <w:rFonts w:hint="eastAsia"/>
          <w:b/>
          <w:bCs/>
          <w:color w:val="000000" w:themeColor="text1"/>
          <w:szCs w:val="24"/>
          <w14:textFill>
            <w14:solidFill>
              <w14:schemeClr w14:val="tx1"/>
            </w14:solidFill>
          </w14:textFill>
        </w:rPr>
        <w:t>S</w:t>
      </w:r>
      <w:r>
        <w:rPr>
          <w:b/>
          <w:bCs/>
          <w:color w:val="000000" w:themeColor="text1"/>
          <w:szCs w:val="24"/>
          <w14:textFill>
            <w14:solidFill>
              <w14:schemeClr w14:val="tx1"/>
            </w14:solidFill>
          </w14:textFill>
        </w:rPr>
        <w:t>upplementary Information</w:t>
      </w:r>
    </w:p>
    <w:p>
      <w:pPr>
        <w:widowControl/>
        <w:jc w:val="left"/>
        <w:rPr>
          <w:b/>
          <w:bCs/>
          <w:color w:val="000000" w:themeColor="text1"/>
          <w:szCs w:val="24"/>
          <w14:textFill>
            <w14:solidFill>
              <w14:schemeClr w14:val="tx1"/>
            </w14:solidFill>
          </w14:textFill>
        </w:rPr>
      </w:pPr>
      <w:r>
        <w:rPr>
          <w:b/>
          <w:bCs/>
          <w:color w:val="000000" w:themeColor="text1"/>
          <w:szCs w:val="24"/>
          <w14:textFill>
            <w14:solidFill>
              <w14:schemeClr w14:val="tx1"/>
            </w14:solidFill>
          </w14:textFill>
        </w:rPr>
        <w:t>Construction of oxygen vacancies on Cu-COF as electron collector for high efficient photocatalytic hydrogen evolution</w:t>
      </w:r>
    </w:p>
    <w:p>
      <w:pPr>
        <w:widowControl/>
        <w:jc w:val="left"/>
        <w:rPr>
          <w:color w:val="000000" w:themeColor="text1"/>
          <w:szCs w:val="24"/>
          <w14:textFill>
            <w14:solidFill>
              <w14:schemeClr w14:val="tx1"/>
            </w14:solidFill>
          </w14:textFill>
        </w:rPr>
      </w:pPr>
      <w:bookmarkStart w:id="2" w:name="_GoBack"/>
      <w:bookmarkEnd w:id="2"/>
    </w:p>
    <w:p>
      <w:pPr>
        <w:rPr>
          <w:b/>
          <w:bCs/>
          <w:color w:val="000000" w:themeColor="text1"/>
          <w:szCs w:val="24"/>
          <w14:textFill>
            <w14:solidFill>
              <w14:schemeClr w14:val="tx1"/>
            </w14:solidFill>
          </w14:textFill>
        </w:rPr>
      </w:pPr>
      <w:r>
        <w:rPr>
          <w:rFonts w:hint="eastAsia"/>
          <w:b/>
          <w:bCs/>
          <w:color w:val="000000" w:themeColor="text1"/>
          <w:szCs w:val="24"/>
          <w14:textFill>
            <w14:solidFill>
              <w14:schemeClr w14:val="tx1"/>
            </w14:solidFill>
          </w14:textFill>
        </w:rPr>
        <w:t>C</w:t>
      </w:r>
      <w:r>
        <w:rPr>
          <w:b/>
          <w:bCs/>
          <w:color w:val="000000" w:themeColor="text1"/>
          <w:szCs w:val="24"/>
          <w14:textFill>
            <w14:solidFill>
              <w14:schemeClr w14:val="tx1"/>
            </w14:solidFill>
          </w14:textFill>
        </w:rPr>
        <w:t>ontents</w:t>
      </w:r>
    </w:p>
    <w:p>
      <w:pP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w:t>
      </w:r>
      <w:r>
        <w:rPr>
          <w:color w:val="000000" w:themeColor="text1"/>
          <w:szCs w:val="24"/>
          <w14:textFill>
            <w14:solidFill>
              <w14:schemeClr w14:val="tx1"/>
            </w14:solidFill>
          </w14:textFill>
        </w:rPr>
        <w:t>.</w:t>
      </w:r>
      <w:r>
        <w:t xml:space="preserve"> </w:t>
      </w:r>
      <w:r>
        <w:rPr>
          <w:color w:val="000000" w:themeColor="text1"/>
          <w:szCs w:val="24"/>
          <w14:textFill>
            <w14:solidFill>
              <w14:schemeClr w14:val="tx1"/>
            </w14:solidFill>
          </w14:textFill>
        </w:rPr>
        <w:t>Supplementary Methods</w:t>
      </w:r>
    </w:p>
    <w:p>
      <w:pPr>
        <w:rPr>
          <w:color w:val="000000" w:themeColor="text1"/>
          <w:szCs w:val="24"/>
          <w14:textFill>
            <w14:solidFill>
              <w14:schemeClr w14:val="tx1"/>
            </w14:solidFill>
          </w14:textFill>
        </w:rPr>
      </w:pPr>
      <w:r>
        <w:rPr>
          <w:color w:val="000000" w:themeColor="text1"/>
          <w:szCs w:val="24"/>
          <w14:textFill>
            <w14:solidFill>
              <w14:schemeClr w14:val="tx1"/>
            </w14:solidFill>
          </w14:textFill>
        </w:rPr>
        <w:t>2. Supplementary Figures</w:t>
      </w:r>
    </w:p>
    <w:p>
      <w:pPr>
        <w:rPr>
          <w:color w:val="000000" w:themeColor="text1"/>
          <w:szCs w:val="24"/>
          <w14:textFill>
            <w14:solidFill>
              <w14:schemeClr w14:val="tx1"/>
            </w14:solidFill>
          </w14:textFill>
        </w:rPr>
      </w:pPr>
      <w:r>
        <w:rPr>
          <w:color w:val="000000" w:themeColor="text1"/>
          <w:szCs w:val="24"/>
          <w14:textFill>
            <w14:solidFill>
              <w14:schemeClr w14:val="tx1"/>
            </w14:solidFill>
          </w14:textFill>
        </w:rPr>
        <w:t>3. Supplementary Tables</w:t>
      </w:r>
    </w:p>
    <w:p>
      <w:pPr>
        <w:widowControl/>
        <w:jc w:val="left"/>
        <w:rPr>
          <w:rFonts w:hint="eastAsia"/>
          <w:color w:val="000000" w:themeColor="text1"/>
          <w:szCs w:val="24"/>
          <w14:textFill>
            <w14:solidFill>
              <w14:schemeClr w14:val="tx1"/>
            </w14:solidFill>
          </w14:textFill>
        </w:rPr>
      </w:pPr>
    </w:p>
    <w:p>
      <w:pPr>
        <w:widowControl/>
        <w:spacing w:line="240" w:lineRule="auto"/>
        <w:jc w:val="left"/>
        <w:rPr>
          <w:rFonts w:cs="Times New Roman"/>
          <w:b/>
          <w:bCs/>
          <w:kern w:val="0"/>
          <w:sz w:val="32"/>
          <w:szCs w:val="24"/>
        </w:rPr>
      </w:pPr>
      <w:r>
        <w:rPr>
          <w:rFonts w:cs="Times New Roman"/>
          <w:b/>
          <w:bCs/>
          <w:kern w:val="0"/>
          <w:sz w:val="32"/>
          <w:szCs w:val="24"/>
        </w:rPr>
        <w:br w:type="page"/>
      </w:r>
    </w:p>
    <w:p>
      <w:pPr>
        <w:widowControl/>
        <w:spacing w:before="124" w:beforeLines="40"/>
        <w:rPr>
          <w:rFonts w:cs="Times New Roman"/>
          <w:b/>
          <w:bCs/>
          <w:kern w:val="0"/>
          <w:szCs w:val="21"/>
        </w:rPr>
      </w:pPr>
      <w:r>
        <w:rPr>
          <w:rFonts w:cs="Times New Roman"/>
          <w:b/>
          <w:bCs/>
          <w:kern w:val="0"/>
          <w:szCs w:val="21"/>
        </w:rPr>
        <w:t xml:space="preserve">1. </w:t>
      </w:r>
      <w:r>
        <w:rPr>
          <w:rFonts w:hint="eastAsia" w:cs="Times New Roman"/>
          <w:b/>
          <w:bCs/>
          <w:kern w:val="0"/>
          <w:szCs w:val="21"/>
        </w:rPr>
        <w:t>S</w:t>
      </w:r>
      <w:r>
        <w:rPr>
          <w:rFonts w:cs="Times New Roman"/>
          <w:b/>
          <w:bCs/>
          <w:kern w:val="0"/>
          <w:szCs w:val="21"/>
        </w:rPr>
        <w:t>upplementary Methods</w:t>
      </w:r>
    </w:p>
    <w:p>
      <w:pPr>
        <w:widowControl/>
        <w:spacing w:before="124" w:beforeLines="40"/>
        <w:rPr>
          <w:rFonts w:cs="Times New Roman"/>
          <w:b/>
          <w:bCs/>
          <w:kern w:val="0"/>
          <w:sz w:val="22"/>
          <w:szCs w:val="20"/>
        </w:rPr>
      </w:pPr>
      <w:r>
        <w:rPr>
          <w:rFonts w:cs="Times New Roman"/>
          <w:b/>
          <w:bCs/>
          <w:kern w:val="0"/>
          <w:sz w:val="22"/>
          <w:szCs w:val="20"/>
        </w:rPr>
        <w:t>Materials and characterizations</w:t>
      </w:r>
    </w:p>
    <w:p>
      <w:pPr>
        <w:widowControl/>
        <w:spacing w:before="124" w:beforeLines="40"/>
        <w:ind w:firstLine="480" w:firstLineChars="200"/>
        <w:rPr>
          <w:rFonts w:cs="Times New Roman"/>
          <w:kern w:val="0"/>
          <w:szCs w:val="21"/>
        </w:rPr>
      </w:pPr>
      <w:r>
        <w:rPr>
          <w:rFonts w:hint="eastAsia" w:cs="Times New Roman"/>
          <w:kern w:val="0"/>
          <w:szCs w:val="21"/>
        </w:rPr>
        <w:t>A</w:t>
      </w:r>
      <w:r>
        <w:rPr>
          <w:rFonts w:cs="Times New Roman"/>
          <w:kern w:val="0"/>
          <w:szCs w:val="21"/>
        </w:rPr>
        <w:t xml:space="preserve">ll of the reagents and solvents were commercially available and used </w:t>
      </w:r>
      <w:r>
        <w:rPr>
          <w:rFonts w:hint="eastAsia" w:cs="Times New Roman"/>
          <w:kern w:val="0"/>
          <w:szCs w:val="21"/>
        </w:rPr>
        <w:t>without</w:t>
      </w:r>
      <w:r>
        <w:rPr>
          <w:rFonts w:cs="Times New Roman"/>
          <w:kern w:val="0"/>
          <w:szCs w:val="21"/>
        </w:rPr>
        <w:t xml:space="preserve"> further purification besides 1,3,5-triformylphloroglucinol (Tp) which was prepared from phloroglucinol. T</w:t>
      </w:r>
      <w:r>
        <w:rPr>
          <w:rFonts w:hint="eastAsia" w:cs="Times New Roman"/>
          <w:kern w:val="0"/>
          <w:szCs w:val="21"/>
        </w:rPr>
        <w:t>he</w:t>
      </w:r>
      <w:r>
        <w:rPr>
          <w:rFonts w:cs="Times New Roman"/>
          <w:kern w:val="0"/>
          <w:szCs w:val="21"/>
        </w:rPr>
        <w:t xml:space="preserve"> composition and structure of the materials were investigated by X-ray powder diffraction (XRD) patterns (Smartlab SE), Fourier transform infrared (FT-IR) spectra, transmission electron microscopy (TEM) experiment (JEM-2100 electron microscope), high-angle annular dark-field scanning transmission</w:t>
      </w:r>
      <w:r>
        <w:rPr>
          <w:rFonts w:hint="eastAsia" w:cs="Times New Roman"/>
          <w:kern w:val="0"/>
          <w:szCs w:val="21"/>
        </w:rPr>
        <w:t xml:space="preserve"> </w:t>
      </w:r>
      <w:r>
        <w:rPr>
          <w:rFonts w:cs="Times New Roman"/>
          <w:kern w:val="0"/>
          <w:szCs w:val="21"/>
        </w:rPr>
        <w:t>electron microscopy (HAADF-STEM) (Thermofisher Spectra 300 300Ti) and X-ray photoelectron spectroscopy spectrum (XPS) analyses experiment. The N</w:t>
      </w:r>
      <w:r>
        <w:rPr>
          <w:rFonts w:cs="Times New Roman"/>
          <w:kern w:val="0"/>
          <w:szCs w:val="21"/>
          <w:vertAlign w:val="subscript"/>
        </w:rPr>
        <w:t>2</w:t>
      </w:r>
      <w:r>
        <w:rPr>
          <w:rFonts w:cs="Times New Roman"/>
          <w:kern w:val="0"/>
          <w:szCs w:val="21"/>
        </w:rPr>
        <w:t xml:space="preserve"> adsorption–desorption isotherms were determined by BSD instrument 3H-2000PS2 analyzer at 77 K.</w:t>
      </w:r>
      <w:r>
        <w:t xml:space="preserve"> </w:t>
      </w:r>
      <w:r>
        <w:rPr>
          <w:rFonts w:cs="Times New Roman"/>
          <w:kern w:val="0"/>
          <w:szCs w:val="21"/>
        </w:rPr>
        <w:t xml:space="preserve">Before the measurement, the catalysts were degassed at 120 °C for 10 </w:t>
      </w:r>
      <w:r>
        <w:rPr>
          <w:rFonts w:hint="eastAsia" w:cs="Times New Roman"/>
          <w:kern w:val="0"/>
          <w:szCs w:val="21"/>
        </w:rPr>
        <w:t>h</w:t>
      </w:r>
      <w:r>
        <w:rPr>
          <w:rFonts w:cs="Times New Roman"/>
          <w:kern w:val="0"/>
          <w:szCs w:val="21"/>
        </w:rPr>
        <w:t>. Optical properties were studied by diffuse reflectance UV-vis spectroscopy (UV-2600), photoluminescence spectrum (PL)</w:t>
      </w:r>
      <w:r>
        <w:t xml:space="preserve"> </w:t>
      </w:r>
      <w:r>
        <w:rPr>
          <w:rFonts w:cs="Times New Roman"/>
          <w:kern w:val="0"/>
          <w:szCs w:val="21"/>
        </w:rPr>
        <w:t>and time-resolved PL (FIS 1000-stm with an excitation wavelength of 420 nm)</w:t>
      </w:r>
      <w:r>
        <w:rPr>
          <w:rFonts w:hint="eastAsia" w:cs="Times New Roman"/>
          <w:kern w:val="0"/>
          <w:szCs w:val="21"/>
        </w:rPr>
        <w:t>.</w:t>
      </w:r>
      <w:r>
        <w:rPr>
          <w:rFonts w:cs="Times New Roman"/>
          <w:kern w:val="0"/>
          <w:szCs w:val="21"/>
        </w:rPr>
        <w:t xml:space="preserve"> The Mott-Schottky plot, electrochemical impedance spectra (EIS) and photocurrent-time (I-T) profiles were recorded on the CHI660E electrochemical workstation with a standard three-electrode system with the photocatalyst-coated ITO as the working electrode, Pt plate as the counter electrode and an Ag/AgCl electrode as a reference electrode. A 0.2 M Na</w:t>
      </w:r>
      <w:r>
        <w:rPr>
          <w:rFonts w:cs="Times New Roman"/>
          <w:kern w:val="0"/>
          <w:szCs w:val="21"/>
          <w:vertAlign w:val="subscript"/>
        </w:rPr>
        <w:t>2</w:t>
      </w:r>
      <w:r>
        <w:rPr>
          <w:rFonts w:cs="Times New Roman"/>
          <w:kern w:val="0"/>
          <w:szCs w:val="21"/>
        </w:rPr>
        <w:t>SO</w:t>
      </w:r>
      <w:r>
        <w:rPr>
          <w:rFonts w:cs="Times New Roman"/>
          <w:kern w:val="0"/>
          <w:szCs w:val="21"/>
          <w:vertAlign w:val="subscript"/>
        </w:rPr>
        <w:t>4</w:t>
      </w:r>
      <w:r>
        <w:rPr>
          <w:rFonts w:cs="Times New Roman"/>
          <w:kern w:val="0"/>
          <w:szCs w:val="21"/>
        </w:rPr>
        <w:t xml:space="preserve"> solution was used as the electrolyte. The as-synthesized samples (2 mg) were added into 0.5 mL ethanol and 20 μL Nafion mixed solution, and the working electrodes were prepared by dropping the suspension onto an ITO surface and drying at room temperature.</w:t>
      </w:r>
    </w:p>
    <w:p>
      <w:pPr>
        <w:widowControl/>
        <w:spacing w:before="124" w:beforeLines="40"/>
        <w:rPr>
          <w:rFonts w:cs="Times New Roman"/>
          <w:b/>
          <w:bCs/>
          <w:kern w:val="0"/>
          <w:szCs w:val="21"/>
        </w:rPr>
      </w:pPr>
      <w:r>
        <w:rPr>
          <w:rFonts w:cs="Times New Roman"/>
          <w:b/>
          <w:bCs/>
          <w:kern w:val="0"/>
          <w:szCs w:val="21"/>
        </w:rPr>
        <w:t>AQE measurement</w:t>
      </w:r>
    </w:p>
    <w:p>
      <w:pPr>
        <w:widowControl/>
        <w:spacing w:before="124" w:beforeLines="40"/>
        <w:ind w:firstLine="480" w:firstLineChars="200"/>
      </w:pPr>
      <w:r>
        <w:rPr>
          <w:rFonts w:cs="Times New Roman"/>
          <w:kern w:val="0"/>
          <w:szCs w:val="21"/>
        </w:rPr>
        <w:t>The AQE was measured using the monochromatic light (420, 450</w:t>
      </w:r>
      <w:r>
        <w:rPr>
          <w:rFonts w:hint="eastAsia" w:cs="Times New Roman"/>
          <w:kern w:val="0"/>
          <w:szCs w:val="21"/>
        </w:rPr>
        <w:t>,</w:t>
      </w:r>
      <w:r>
        <w:rPr>
          <w:rFonts w:cs="Times New Roman"/>
          <w:kern w:val="0"/>
          <w:szCs w:val="21"/>
        </w:rPr>
        <w:t xml:space="preserve"> 480, 520 and 575 nm, Perfectlight). </w:t>
      </w:r>
      <w:r>
        <w:t>The number of incident photons reaching the solution was measured using a laser power meter (Model 843-R, Power Meter). The temperature of reaction was kept at 40</w:t>
      </w:r>
      <w:r>
        <w:rPr>
          <w:rFonts w:eastAsia="黑体" w:cs="Times New Roman"/>
        </w:rPr>
        <w:t>℃</w:t>
      </w:r>
      <w:r>
        <w:t xml:space="preserve"> by cool flowing water. The AQE was calculated using the following equation: </w:t>
      </w:r>
    </w:p>
    <w:p>
      <w:pPr>
        <w:widowControl/>
        <w:spacing w:before="124" w:beforeLines="40"/>
        <w:ind w:firstLine="480" w:firstLineChars="200"/>
        <w:rPr>
          <w:rFonts w:cs="Times New Roman"/>
          <w:kern w:val="0"/>
          <w:szCs w:val="21"/>
        </w:rPr>
      </w:pPr>
      <m:oMathPara>
        <m:oMath>
          <m:r>
            <m:rPr/>
            <w:rPr>
              <w:rFonts w:ascii="Cambria Math" w:hAnsi="Cambria Math" w:cs="Times New Roman"/>
              <w:kern w:val="0"/>
              <w:szCs w:val="21"/>
            </w:rPr>
            <m:t>AQE=</m:t>
          </m:r>
          <m:f>
            <m:fPr>
              <m:ctrlPr>
                <w:rPr>
                  <w:rFonts w:ascii="Cambria Math" w:hAnsi="Cambria Math" w:cs="Times New Roman"/>
                  <w:i/>
                  <w:kern w:val="0"/>
                  <w:szCs w:val="21"/>
                </w:rPr>
              </m:ctrlPr>
            </m:fPr>
            <m:num>
              <m:r>
                <m:rPr/>
                <w:rPr>
                  <w:rFonts w:ascii="Cambria Math" w:hAnsi="Cambria Math" w:cs="Times New Roman"/>
                  <w:kern w:val="0"/>
                  <w:szCs w:val="21"/>
                </w:rPr>
                <m:t>2M</m:t>
              </m:r>
              <m:sSub>
                <m:sSubPr>
                  <m:ctrlPr>
                    <w:rPr>
                      <w:rFonts w:ascii="Cambria Math" w:hAnsi="Cambria Math" w:cs="Times New Roman"/>
                      <w:i/>
                      <w:kern w:val="0"/>
                      <w:szCs w:val="21"/>
                    </w:rPr>
                  </m:ctrlPr>
                </m:sSubPr>
                <m:e>
                  <m:r>
                    <m:rPr/>
                    <w:rPr>
                      <w:rFonts w:ascii="Cambria Math" w:hAnsi="Cambria Math" w:cs="Times New Roman"/>
                      <w:kern w:val="0"/>
                      <w:szCs w:val="21"/>
                    </w:rPr>
                    <m:t>N</m:t>
                  </m:r>
                  <m:ctrlPr>
                    <w:rPr>
                      <w:rFonts w:ascii="Cambria Math" w:hAnsi="Cambria Math" w:cs="Times New Roman"/>
                      <w:i/>
                      <w:kern w:val="0"/>
                      <w:szCs w:val="21"/>
                    </w:rPr>
                  </m:ctrlPr>
                </m:e>
                <m:sub>
                  <m:r>
                    <m:rPr/>
                    <w:rPr>
                      <w:rFonts w:ascii="Cambria Math" w:hAnsi="Cambria Math" w:cs="Times New Roman"/>
                      <w:kern w:val="0"/>
                      <w:szCs w:val="21"/>
                    </w:rPr>
                    <m:t>A</m:t>
                  </m:r>
                  <m:ctrlPr>
                    <w:rPr>
                      <w:rFonts w:ascii="Cambria Math" w:hAnsi="Cambria Math" w:cs="Times New Roman"/>
                      <w:i/>
                      <w:kern w:val="0"/>
                      <w:szCs w:val="21"/>
                    </w:rPr>
                  </m:ctrlPr>
                </m:sub>
              </m:sSub>
              <m:r>
                <m:rPr/>
                <w:rPr>
                  <w:rFonts w:hint="eastAsia" w:ascii="Cambria Math" w:hAnsi="Cambria Math" w:eastAsia="MS Gothic" w:cs="MS Gothic"/>
                  <w:kern w:val="0"/>
                  <w:szCs w:val="21"/>
                </w:rPr>
                <m:t>ℎ</m:t>
              </m:r>
              <m:r>
                <m:rPr/>
                <w:rPr>
                  <w:rFonts w:hint="eastAsia" w:ascii="Cambria Math" w:hAnsi="Cambria Math" w:cs="Times New Roman"/>
                  <w:kern w:val="0"/>
                  <w:szCs w:val="21"/>
                </w:rPr>
                <m:t>c</m:t>
              </m:r>
              <m:ctrlPr>
                <w:rPr>
                  <w:rFonts w:ascii="Cambria Math" w:hAnsi="Cambria Math" w:cs="Times New Roman"/>
                  <w:i/>
                  <w:kern w:val="0"/>
                  <w:szCs w:val="21"/>
                </w:rPr>
              </m:ctrlPr>
            </m:num>
            <m:den>
              <m:r>
                <m:rPr/>
                <w:rPr>
                  <w:rFonts w:ascii="Cambria Math" w:hAnsi="Cambria Math" w:cs="Times New Roman"/>
                  <w:kern w:val="0"/>
                  <w:szCs w:val="21"/>
                </w:rPr>
                <m:t>AI</m:t>
              </m:r>
              <m:r>
                <m:rPr/>
                <w:rPr>
                  <w:rFonts w:hint="eastAsia" w:ascii="Cambria Math" w:hAnsi="Cambria Math" w:cs="Times New Roman"/>
                  <w:kern w:val="0"/>
                  <w:szCs w:val="21"/>
                </w:rPr>
                <m:t>t</m:t>
              </m:r>
              <m:r>
                <m:rPr/>
                <w:rPr>
                  <w:rFonts w:ascii="Cambria Math" w:hAnsi="Cambria Math" w:cs="Times New Roman"/>
                  <w:kern w:val="0"/>
                  <w:szCs w:val="21"/>
                </w:rPr>
                <m:t>λ</m:t>
              </m:r>
              <m:ctrlPr>
                <w:rPr>
                  <w:rFonts w:ascii="Cambria Math" w:hAnsi="Cambria Math" w:cs="Times New Roman"/>
                  <w:i/>
                  <w:kern w:val="0"/>
                  <w:szCs w:val="21"/>
                </w:rPr>
              </m:ctrlPr>
            </m:den>
          </m:f>
          <m:r>
            <m:rPr/>
            <w:rPr>
              <w:rFonts w:ascii="Cambria Math" w:hAnsi="Cambria Math" w:cs="Times New Roman"/>
              <w:kern w:val="0"/>
              <w:szCs w:val="21"/>
            </w:rPr>
            <m:t>×100%</m:t>
          </m:r>
        </m:oMath>
      </m:oMathPara>
    </w:p>
    <w:p>
      <w:pPr>
        <w:widowControl/>
        <w:spacing w:before="124" w:beforeLines="40"/>
      </w:pPr>
      <w:r>
        <w:t>where M is the amount of hydrogen molecules, N</w:t>
      </w:r>
      <w:r>
        <w:rPr>
          <w:vertAlign w:val="subscript"/>
        </w:rPr>
        <w:t>A</w:t>
      </w:r>
      <w:r>
        <w:t xml:space="preserve"> is the Avogadro’s constant, </w:t>
      </w:r>
      <w:r>
        <w:rPr>
          <w:i/>
          <w:iCs/>
        </w:rPr>
        <w:t>h</w:t>
      </w:r>
      <w:r>
        <w:t xml:space="preserve"> is the Planck constant, c is the light velocity, I is the intensity of the light, A is the irradiation area, t is the reaction time, and λ is the wavelength of light.</w:t>
      </w:r>
    </w:p>
    <w:p>
      <w:pPr>
        <w:widowControl/>
        <w:spacing w:before="124" w:beforeLines="40"/>
        <w:rPr>
          <w:rFonts w:cs="Times New Roman"/>
          <w:b/>
          <w:bCs/>
          <w:szCs w:val="24"/>
        </w:rPr>
      </w:pPr>
      <w:r>
        <w:rPr>
          <w:rFonts w:cs="Times New Roman"/>
          <w:b/>
          <w:bCs/>
          <w:szCs w:val="24"/>
        </w:rPr>
        <w:t>Electrochemical measurements</w:t>
      </w:r>
    </w:p>
    <w:p>
      <w:pPr>
        <w:widowControl/>
        <w:spacing w:before="124" w:beforeLines="40"/>
        <w:ind w:firstLine="480" w:firstLineChars="200"/>
        <w:rPr>
          <w:rFonts w:cs="Times New Roman"/>
          <w:kern w:val="0"/>
          <w:szCs w:val="21"/>
        </w:rPr>
      </w:pPr>
      <w:r>
        <w:t>Photoelectrochemical properties are measured by photoelectrochemical test system (PEC2000, Beijing Perfectlight Technology Co., Ltd.). The working electrode was prepared by loading samples on the ITO glass (5 cm</w:t>
      </w:r>
      <w:r>
        <w:rPr>
          <w:vertAlign w:val="superscript"/>
        </w:rPr>
        <w:t>2</w:t>
      </w:r>
      <w:r>
        <w:t xml:space="preserve">, 10 mg catalysis in 0.5 </w:t>
      </w:r>
      <w:r>
        <w:rPr>
          <w:rFonts w:hint="eastAsia"/>
        </w:rPr>
        <w:t>m</w:t>
      </w:r>
      <w:r>
        <w:t>L ethanol and 20 μL naphthol). The reference electrode was Ag/AgCl, KCl (3 M). The Pt sheet was used as the counter electrode. EIS w</w:t>
      </w:r>
      <w:r>
        <w:rPr>
          <w:rFonts w:hint="eastAsia"/>
        </w:rPr>
        <w:t>as</w:t>
      </w:r>
      <w:r>
        <w:t xml:space="preserve"> investigated at 0.25 V in 0.5 M Na</w:t>
      </w:r>
      <w:r>
        <w:rPr>
          <w:vertAlign w:val="subscript"/>
        </w:rPr>
        <w:t>2</w:t>
      </w:r>
      <w:r>
        <w:t>SO</w:t>
      </w:r>
      <w:r>
        <w:rPr>
          <w:vertAlign w:val="subscript"/>
        </w:rPr>
        <w:t>4</w:t>
      </w:r>
      <w:r>
        <w:t xml:space="preserve"> electrolyte.</w:t>
      </w:r>
    </w:p>
    <w:p>
      <w:pPr>
        <w:rPr>
          <w:rFonts w:cs="Times New Roman" w:eastAsiaTheme="minorEastAsia"/>
          <w:szCs w:val="24"/>
        </w:rPr>
      </w:pPr>
      <w:r>
        <w:rPr>
          <w:rFonts w:cs="Times New Roman"/>
          <w:b/>
          <w:bCs/>
          <w:szCs w:val="24"/>
        </w:rPr>
        <w:t>OVs formation calculation method</w:t>
      </w:r>
    </w:p>
    <w:p>
      <w:pPr>
        <w:ind w:firstLine="480" w:firstLineChars="200"/>
        <w:rPr>
          <w:rFonts w:cs="Times New Roman"/>
          <w:szCs w:val="24"/>
        </w:rPr>
      </w:pPr>
      <w:r>
        <w:rPr>
          <w:rFonts w:cs="Times New Roman"/>
          <w:szCs w:val="24"/>
        </w:rPr>
        <w:t>The first principle calculations are performed by Vienna Ab initio Simulation Package (VASP)</w:t>
      </w:r>
      <w:r>
        <w:rPr>
          <w:rFonts w:cs="Times New Roman"/>
          <w:szCs w:val="24"/>
          <w:vertAlign w:val="superscript"/>
        </w:rPr>
        <w:fldChar w:fldCharType="begin" w:fldLock="1"/>
      </w:r>
      <w:r>
        <w:rPr>
          <w:rFonts w:cs="Times New Roman"/>
          <w:szCs w:val="24"/>
          <w:vertAlign w:val="superscript"/>
        </w:rPr>
        <w:instrText xml:space="preserve">ADDIN CSL_CITATION {"citationItems":[{"id":"ITEM-1","itemData":{"DOI":"10.1103/PhysRevLett.77.3865","ISSN":"10797114","PMID":"10062328","abstract":"Generalized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Letters","id":"ITEM-1","issue":"18","issued":{"date-parts":[["1996"]]},"page":"3865-3868","title":"Generalized gradient approximation made simple","type":"article-journal","volume":"77"},"uris":["http://www.mendeley.com/documents/?uuid=2848d345-53c1-479d-a515-38733899dfd7"]}],"mendeley":{"formattedCitation":"&lt;sup&gt;1&lt;/sup&gt;","plainTextFormattedCitation":"1","previouslyFormattedCitation":"&lt;sup&gt;1&lt;/sup&gt;"},"properties":{"noteIndex":0},"schema":"https://github.com/citation-style-language/schema/raw/master/csl-citation.json"}</w:instrText>
      </w:r>
      <w:r>
        <w:rPr>
          <w:rFonts w:cs="Times New Roman"/>
          <w:szCs w:val="24"/>
          <w:vertAlign w:val="superscript"/>
        </w:rPr>
        <w:fldChar w:fldCharType="separate"/>
      </w:r>
      <w:r>
        <w:rPr>
          <w:rFonts w:cs="Times New Roman"/>
          <w:szCs w:val="24"/>
          <w:vertAlign w:val="superscript"/>
        </w:rPr>
        <w:t>1</w:t>
      </w:r>
      <w:r>
        <w:rPr>
          <w:rFonts w:cs="Times New Roman"/>
          <w:szCs w:val="24"/>
          <w:vertAlign w:val="superscript"/>
        </w:rPr>
        <w:fldChar w:fldCharType="end"/>
      </w:r>
      <w:r>
        <w:rPr>
          <w:rFonts w:cs="Times New Roman"/>
          <w:szCs w:val="24"/>
        </w:rPr>
        <w:t xml:space="preserve"> with the projector augmented wave (PAW) method</w:t>
      </w:r>
      <w:r>
        <w:rPr>
          <w:rFonts w:cs="Times New Roman"/>
          <w:szCs w:val="24"/>
        </w:rPr>
        <w:fldChar w:fldCharType="begin" w:fldLock="1"/>
      </w:r>
      <w:r>
        <w:rPr>
          <w:rFonts w:cs="Times New Roman"/>
          <w:szCs w:val="24"/>
        </w:rPr>
        <w:instrText xml:space="preserve">ADDIN CSL_CITATION {"citationItems":[{"id":"ITEM-1","itemData":{"DOI":"10.1103/PhysRevB.59.1758","ISSN":"1550235X","abstract":"The formal relationship between ultrasoft (US) Vanderbilt-type pseudopotentials and Blöchl’s projector augmented wave (PAW) method is derived. It is shown that the total energy functional for US pseudopotentials can be obtained by linearization of two terms in a slightly modified PAW total energy functional. The Hamilton operator, the forces, and the stress tensor are derived for this modified PAW functional. A simple way to implement the PAW method in existing plane-wave codes supporting US pseudopotentials is pointed out. In addition, critical tests are presented to compare the accuracy and efficiency of the PAW and the US pseudopotential method with relaxed core all electron methods. These tests include small molecules (Formula presented) and several bulk systems (diamond, Si, V, Li, Ca, (Formula presented) Fe, Co, Ni). Particular attention is paid to the bulk properties and magnetic energies of Fe, Co, and Ni. © 1999 The American Physical Society.","author":[{"dropping-particle":"","family":"Joubert","given":"D.","non-dropping-particle":"","parse-names":false,"suffix":""}],"container-title":"Physical Review B - Condensed Matter and Materials Physics","id":"ITEM-1","issue":"3","issued":{"date-parts":[["1999"]]},"page":"1758-1775","title":"From ultrasoft pseudopotentials to the projector augmented-wave method","type":"article-journal","volume":"59"},"uris":["http://www.mendeley.com/documents/?uuid=33985a78-6e7f-4b38-94cb-7390af255ae8"]}],"mendeley":{"formattedCitation":"&lt;sup&gt;2&lt;/sup&gt;","plainTextFormattedCitation":"2","previouslyFormattedCitation":"&lt;sup&gt;2&lt;/sup&gt;"},"properties":{"noteIndex":0},"schema":"https://github.com/citation-style-language/schema/raw/master/csl-citation.json"}</w:instrText>
      </w:r>
      <w:r>
        <w:rPr>
          <w:rFonts w:cs="Times New Roman"/>
          <w:szCs w:val="24"/>
        </w:rPr>
        <w:fldChar w:fldCharType="separate"/>
      </w:r>
      <w:r>
        <w:rPr>
          <w:rFonts w:cs="Times New Roman"/>
          <w:szCs w:val="24"/>
          <w:vertAlign w:val="superscript"/>
        </w:rPr>
        <w:t>2</w:t>
      </w:r>
      <w:r>
        <w:rPr>
          <w:rFonts w:cs="Times New Roman"/>
          <w:szCs w:val="24"/>
        </w:rPr>
        <w:fldChar w:fldCharType="end"/>
      </w:r>
      <w:r>
        <w:rPr>
          <w:rFonts w:cs="Times New Roman"/>
          <w:szCs w:val="24"/>
        </w:rPr>
        <w:t>. The exchange-functional is treated using the Perdew-Burke-Ernzerhof (PBE)</w:t>
      </w:r>
      <w:r>
        <w:rPr>
          <w:rFonts w:cs="Times New Roman"/>
          <w:szCs w:val="24"/>
        </w:rPr>
        <w:fldChar w:fldCharType="begin" w:fldLock="1"/>
      </w:r>
      <w:r>
        <w:rPr>
          <w:rFonts w:cs="Times New Roman"/>
          <w:szCs w:val="24"/>
        </w:rPr>
        <w:instrText xml:space="preserve">ADDIN CSL_CITATION {"citationItems":[{"id":"ITEM-1","itemData":{"DOI":"10.1103/PhysRevLett.77.3865","ISSN":"10797114","PMID":"10062328","abstract":"Generalized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Letters","id":"ITEM-1","issue":"18","issued":{"date-parts":[["1996"]]},"page":"3865-3868","title":"Generalized gradient approximation made simple","type":"article-journal","volume":"77"},"uris":["http://www.mendeley.com/documents/?uuid=2848d345-53c1-479d-a515-38733899dfd7"]}],"mendeley":{"formattedCitation":"&lt;sup&gt;1&lt;/sup&gt;","plainTextFormattedCitation":"1","previouslyFormattedCitation":"&lt;sup&gt;1&lt;/sup&gt;"},"properties":{"noteIndex":0},"schema":"https://github.com/citation-style-language/schema/raw/master/csl-citation.json"}</w:instrText>
      </w:r>
      <w:r>
        <w:rPr>
          <w:rFonts w:cs="Times New Roman"/>
          <w:szCs w:val="24"/>
        </w:rPr>
        <w:fldChar w:fldCharType="separate"/>
      </w:r>
      <w:r>
        <w:rPr>
          <w:rFonts w:cs="Times New Roman"/>
          <w:szCs w:val="24"/>
          <w:vertAlign w:val="superscript"/>
        </w:rPr>
        <w:t>1</w:t>
      </w:r>
      <w:r>
        <w:rPr>
          <w:rFonts w:cs="Times New Roman"/>
          <w:szCs w:val="24"/>
        </w:rPr>
        <w:fldChar w:fldCharType="end"/>
      </w:r>
      <w:r>
        <w:rPr>
          <w:rFonts w:cs="Times New Roman"/>
          <w:szCs w:val="24"/>
        </w:rPr>
        <w:t xml:space="preserve"> functional, in combination with the DFT-D correction</w:t>
      </w:r>
      <w:r>
        <w:rPr>
          <w:rFonts w:cs="Times New Roman"/>
          <w:szCs w:val="24"/>
        </w:rPr>
        <w:fldChar w:fldCharType="begin" w:fldLock="1"/>
      </w:r>
      <w:r>
        <w:rPr>
          <w:rFonts w:cs="Times New Roman"/>
          <w:szCs w:val="24"/>
        </w:rPr>
        <w:instrText xml:space="preserve">ADDIN CSL_CITATION {"citationItems":[{"id":"ITEM-1","itemData":{"DOI":"10.1063/1.3382344","ISSN":"00219606","PMID":"20423165","abstract":"The method of dispersion correction as an add-on to standard Kohn-Sham density functional theory (DFT-D) has been refined regarding higher accuracy, broader range of applicability, and less empiricism. The main new ingredients are atom-pairwise specific dispersion coefficients and cutoff radii that are both computed from first principles. The coefficients for new eighth-order dispersion terms are computed using established recursion relations. System (geometry) dependent information is used for the first time in a DFT-D type approach by employing the new concept of fractional coordination numbers (CN). They are used to interpolate between dispersion coefficients of atoms in different chemical environments. The method only requires adjustment of two global parameters for each density functional, is asymptotically exact for a gas of weakly interacting neutral atoms, and easily allows the computation of atomic forces. Three-body nonadditivity terms are considered. The method has been assessed on standard benchmark sets for inter- and intramolecular noncovalent interactions with a particular emphasis on a consistent description of light and heavy element systems. The mean absolute deviations for the S22 benchmark set of noncovalent interactions for 11 standard density functionals decrease by 15%-40% compared to the previous (already accurate) DFT-D version. Spectacular improvements are found for a tripeptide-folding model and all tested metallic systems. The rectification of the long-range behavior and the use of more accurate C6 coefficients also lead to a much better description of large (infinite) systems as shown for graphene sheets and the adsorption of benzene on an Ag(111) surface. For graphene it is found that the inclusion of three-body terms substantially (by about 10%) weakens the interlayer binding. We propose the revised DFT-D method as a general tool for the computation of the dispersion energy in molecules and solids of any kind with DFT and related (low-cost) electronic structure methods for large systems. © 2010 American Institute of Physics.","author":[{"dropping-particle":"","family":"Grimme","given":"Stefan","non-dropping-particle":"","parse-names":false,"suffix":""},{"dropping-particle":"","family":"Antony","given":"Jens","non-dropping-particle":"","parse-names":false,"suffix":""},{"dropping-particle":"","family":"Ehrlich","given":"Stephan","non-dropping-particle":"","parse-names":false,"suffix":""},{"dropping-particle":"","family":"Krieg","given":"Helge","non-dropping-particle":"","parse-names":false,"suffix":""}],"container-title":"Journal of Chemical Physics","id":"ITEM-1","issue":"15","issued":{"date-parts":[["2010"]]},"title":"A consistent and accurate ab initio parametrization of density functional dispersion correction (DFT-D) for the 94 elements H-Pu","type":"article-journal","volume":"132"},"uris":["http://www.mendeley.com/documents/?uuid=f4cad645-4dea-4de7-8526-8053654e8c0a"]}],"mendeley":{"formattedCitation":"&lt;sup&gt;3&lt;/sup&gt;","plainTextFormattedCitation":"3","previouslyFormattedCitation":"&lt;sup&gt;3&lt;/sup&gt;"},"properties":{"noteIndex":0},"schema":"https://github.com/citation-style-language/schema/raw/master/csl-citation.json"}</w:instrText>
      </w:r>
      <w:r>
        <w:rPr>
          <w:rFonts w:cs="Times New Roman"/>
          <w:szCs w:val="24"/>
        </w:rPr>
        <w:fldChar w:fldCharType="separate"/>
      </w:r>
      <w:r>
        <w:rPr>
          <w:rFonts w:cs="Times New Roman"/>
          <w:szCs w:val="24"/>
          <w:vertAlign w:val="superscript"/>
        </w:rPr>
        <w:t>3</w:t>
      </w:r>
      <w:r>
        <w:rPr>
          <w:rFonts w:cs="Times New Roman"/>
          <w:szCs w:val="24"/>
        </w:rPr>
        <w:fldChar w:fldCharType="end"/>
      </w:r>
      <w:r>
        <w:rPr>
          <w:rFonts w:cs="Times New Roman"/>
          <w:szCs w:val="24"/>
        </w:rPr>
        <w:t>. The calculations were performed in a spin-polarized manner. The cut-off energy of the plane-wave basis is set at 450 eV. For the optimization of both geometry and lattice size, the Brillouin zone integration is performed with 2*2*10 Monkhorts-Pack</w:t>
      </w:r>
      <w:r>
        <w:rPr>
          <w:rFonts w:cs="Times New Roman"/>
          <w:szCs w:val="24"/>
        </w:rPr>
        <w:fldChar w:fldCharType="begin" w:fldLock="1"/>
      </w:r>
      <w:r>
        <w:rPr>
          <w:rFonts w:cs="Times New Roman"/>
          <w:szCs w:val="24"/>
        </w:rPr>
        <w:instrText xml:space="preserve">ADDIN CSL_CITATION {"citationItems":[{"id":"ITEM-1","itemData":{"DOI":"10.1039/c8ta11250a","ISSN":"20507496","abstract":"Hydrogen production by electrochemical water splitting is a technology with the potential to meet the growing worldwide demand for sustainable and clean energy. However, the development of cost-effective catalysts to replace noble metals, such as platinum or ruthenium, remains crucial for large-scale hydrogen production. This study presents the synthesis of a transition non-noble metal-based ternary NiMoCo hybrid nanowire array as an efficient bifunctional electrocatalyst for overall water splitting in 1.0 M KOH electrolyte. The catalyst exhibits a low cell voltage of 1.56 V to achieve a water-splitting current density of 10 mA cm -2 together with long-term stability with only 5% of the initial current lost after 100 hours. X-ray absorption spectroscopy confirms that the addition of Co to the binary Ni-Mo system results in a highly mixed chemical binding state with modulated electronic structures. Density functional theory (DFT) calculations reveal that the Co atoms on the ternary alloy become catalytically active sites and facilitate adsorption of intermediates by ensuring preferable interactions between the reactants and the catalyst surface in comparison to the binary counterpart. This work provides a new direction along which to activate binary alloys to further enhance their catalytic abilities in overall water splitting.","author":[{"dropping-particle":"","family":"Hu","given":"Kailong","non-dropping-particle":"","parse-names":false,"suffix":""},{"dropping-particle":"","family":"Wu","given":"Mingxing","non-dropping-particle":"","parse-names":false,"suffix":""},{"dropping-particle":"","family":"Hinokuma","given":"Satoshi","non-dropping-particle":"","parse-names":false,"suffix":""},{"dropping-particle":"","family":"Ohto","given":"Tatsuhiko","non-dropping-particle":"","parse-names":false,"suffix":""},{"dropping-particle":"","family":"Wakisaka","given":"Mitsuru","non-dropping-particle":"","parse-names":false,"suffix":""},{"dropping-particle":"","family":"Fujita","given":"Jun Ichi","non-dropping-particle":"","parse-names":false,"suffix":""},{"dropping-particle":"","family":"Ito","given":"Yoshikazu","non-dropping-particle":"","parse-names":false,"suffix":""}],"container-title":"PHYSICAL REVIEW B","id":"ITEM-1","issue":"12","issued":{"date-parts":[["1976"]]},"page":"5188-5192","title":"Special points for Brillonin-zone integrations*","type":"article-journal","volume":"13"},"uris":["http://www.mendeley.com/documents/?uuid=ca05543d-85e7-448f-abde-95f50b410d54"]}],"mendeley":{"formattedCitation":"&lt;sup&gt;4&lt;/sup&gt;","plainTextFormattedCitation":"4","previouslyFormattedCitation":"&lt;sup&gt;4&lt;/sup&gt;"},"properties":{"noteIndex":0},"schema":"https://github.com/citation-style-language/schema/raw/master/csl-citation.json"}</w:instrText>
      </w:r>
      <w:r>
        <w:rPr>
          <w:rFonts w:cs="Times New Roman"/>
          <w:szCs w:val="24"/>
        </w:rPr>
        <w:fldChar w:fldCharType="separate"/>
      </w:r>
      <w:r>
        <w:rPr>
          <w:rFonts w:cs="Times New Roman"/>
          <w:szCs w:val="24"/>
          <w:vertAlign w:val="superscript"/>
        </w:rPr>
        <w:t>4</w:t>
      </w:r>
      <w:r>
        <w:rPr>
          <w:rFonts w:cs="Times New Roman"/>
          <w:szCs w:val="24"/>
        </w:rPr>
        <w:fldChar w:fldCharType="end"/>
      </w:r>
      <w:r>
        <w:rPr>
          <w:rFonts w:cs="Times New Roman"/>
          <w:szCs w:val="24"/>
        </w:rPr>
        <w:t xml:space="preserve"> kpoint sampling for TpPa-1, and 1*1*1 for O atom. The self-consistent calculations apply a convergence energy threshold of 10</w:t>
      </w:r>
      <w:r>
        <w:rPr>
          <w:rFonts w:cs="Times New Roman"/>
          <w:szCs w:val="24"/>
          <w:vertAlign w:val="superscript"/>
        </w:rPr>
        <w:t>-5</w:t>
      </w:r>
      <w:r>
        <w:rPr>
          <w:rFonts w:cs="Times New Roman"/>
          <w:szCs w:val="24"/>
        </w:rPr>
        <w:t xml:space="preserve"> eV. The equilibrium geometries and lattice constances are optimized with maximum stress on each atom within 0.02 eV/Å.</w:t>
      </w:r>
    </w:p>
    <w:p>
      <w:pPr>
        <w:ind w:firstLine="482" w:firstLineChars="200"/>
        <w:jc w:val="center"/>
        <w:rPr>
          <w:rFonts w:cs="Times New Roman"/>
          <w:b/>
          <w:bCs/>
          <w:szCs w:val="24"/>
        </w:rPr>
      </w:pPr>
      <m:oMathPara>
        <m:oMathParaPr>
          <m:jc m:val="center"/>
        </m:oMathParaPr>
        <m:oMath>
          <m:sSubSup>
            <m:sSubSupPr>
              <m:ctrlPr>
                <w:rPr>
                  <w:rFonts w:ascii="Cambria Math" w:hAnsi="Cambria Math" w:cs="Times New Roman"/>
                  <w:b/>
                  <w:bCs/>
                  <w:i/>
                  <w:szCs w:val="24"/>
                </w:rPr>
              </m:ctrlPr>
            </m:sSubSup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f</m:t>
              </m:r>
              <m:ctrlPr>
                <w:rPr>
                  <w:rFonts w:ascii="Cambria Math" w:hAnsi="Cambria Math" w:cs="Times New Roman"/>
                  <w:b/>
                  <w:bCs/>
                  <w:i/>
                  <w:szCs w:val="24"/>
                </w:rPr>
              </m:ctrlPr>
            </m:sub>
            <m:sup>
              <m:r>
                <m:rPr>
                  <m:sty m:val="bi"/>
                </m:rPr>
                <w:rPr>
                  <w:rFonts w:ascii="Cambria Math" w:hAnsi="Cambria Math" w:cs="Times New Roman"/>
                  <w:szCs w:val="24"/>
                </w:rPr>
                <m:t>vac</m:t>
              </m:r>
              <m:ctrlPr>
                <w:rPr>
                  <w:rFonts w:ascii="Cambria Math" w:hAnsi="Cambria Math" w:cs="Times New Roman"/>
                  <w:b/>
                  <w:bCs/>
                  <w:i/>
                  <w:szCs w:val="24"/>
                </w:rPr>
              </m:ctrlPr>
            </m:sup>
          </m:sSubSup>
          <m:r>
            <m:rPr>
              <m:sty m:val="bi"/>
            </m:rPr>
            <w:rPr>
              <w:rFonts w:ascii="Cambria Math" w:hAnsi="Cambria Math" w:cs="Times New Roman"/>
              <w:szCs w:val="24"/>
            </w:rPr>
            <m:t>=</m:t>
          </m:r>
          <m:d>
            <m:dPr>
              <m:begChr m:val="["/>
              <m:endChr m:val="]"/>
              <m:ctrlPr>
                <w:rPr>
                  <w:rFonts w:ascii="Cambria Math" w:hAnsi="Cambria Math" w:cs="Times New Roman"/>
                  <w:b/>
                  <w:bCs/>
                  <w:i/>
                  <w:szCs w:val="24"/>
                </w:rPr>
              </m:ctrlPr>
            </m:dPr>
            <m:e>
              <m:sSubSup>
                <m:sSubSupPr>
                  <m:ctrlPr>
                    <w:rPr>
                      <w:rFonts w:ascii="Cambria Math" w:hAnsi="Cambria Math" w:cs="Times New Roman"/>
                      <w:b/>
                      <w:bCs/>
                      <w:i/>
                      <w:szCs w:val="24"/>
                    </w:rPr>
                  </m:ctrlPr>
                </m:sSubSup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rel</m:t>
                  </m:r>
                  <m:ctrlPr>
                    <w:rPr>
                      <w:rFonts w:ascii="Cambria Math" w:hAnsi="Cambria Math" w:cs="Times New Roman"/>
                      <w:b/>
                      <w:bCs/>
                      <w:i/>
                      <w:szCs w:val="24"/>
                    </w:rPr>
                  </m:ctrlPr>
                </m:sub>
                <m:sup>
                  <m:r>
                    <m:rPr>
                      <m:sty m:val="bi"/>
                    </m:rPr>
                    <w:rPr>
                      <w:rFonts w:ascii="Cambria Math" w:hAnsi="Cambria Math" w:cs="Times New Roman"/>
                      <w:szCs w:val="24"/>
                    </w:rPr>
                    <m:t>vac</m:t>
                  </m:r>
                  <m:ctrlPr>
                    <w:rPr>
                      <w:rFonts w:ascii="Cambria Math" w:hAnsi="Cambria Math" w:cs="Times New Roman"/>
                      <w:b/>
                      <w:bCs/>
                      <w:i/>
                      <w:szCs w:val="24"/>
                    </w:rPr>
                  </m:ctrlPr>
                </m:sup>
              </m:sSubSup>
              <m:r>
                <m:rPr>
                  <m:sty m:val="bi"/>
                </m:rPr>
                <w:rPr>
                  <w:rFonts w:ascii="Cambria Math" w:hAnsi="Cambria Math" w:cs="Times New Roman"/>
                  <w:szCs w:val="24"/>
                </w:rPr>
                <m:t>+</m:t>
              </m:r>
              <m:sSub>
                <m:sSubPr>
                  <m:ctrlPr>
                    <w:rPr>
                      <w:rFonts w:ascii="Cambria Math" w:hAnsi="Cambria Math" w:cs="Times New Roman"/>
                      <w:b/>
                      <w:bCs/>
                      <w:i/>
                      <w:szCs w:val="24"/>
                    </w:rPr>
                  </m:ctrlPr>
                </m:sSub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c</m:t>
                  </m:r>
                  <m:ctrlPr>
                    <w:rPr>
                      <w:rFonts w:ascii="Cambria Math" w:hAnsi="Cambria Math" w:cs="Times New Roman"/>
                      <w:b/>
                      <w:bCs/>
                      <w:i/>
                      <w:szCs w:val="24"/>
                    </w:rPr>
                  </m:ctrlPr>
                </m:sub>
              </m:sSub>
              <m:ctrlPr>
                <w:rPr>
                  <w:rFonts w:ascii="Cambria Math" w:hAnsi="Cambria Math" w:cs="Times New Roman"/>
                  <w:b/>
                  <w:bCs/>
                  <w:i/>
                  <w:szCs w:val="24"/>
                </w:rPr>
              </m:ctrlPr>
            </m:e>
          </m:d>
          <m:r>
            <m:rPr>
              <m:sty m:val="bi"/>
            </m:rPr>
            <w:rPr>
              <w:rFonts w:ascii="Cambria Math" w:hAnsi="Cambria Math" w:cs="Times New Roman"/>
              <w:szCs w:val="24"/>
            </w:rPr>
            <m:t>−</m:t>
          </m:r>
          <m:sSub>
            <m:sSubPr>
              <m:ctrlPr>
                <w:rPr>
                  <w:rFonts w:ascii="Cambria Math" w:hAnsi="Cambria Math" w:cs="Times New Roman"/>
                  <w:b/>
                  <w:bCs/>
                  <w:i/>
                  <w:szCs w:val="24"/>
                </w:rPr>
              </m:ctrlPr>
            </m:sSub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rel</m:t>
              </m:r>
              <m:ctrlPr>
                <w:rPr>
                  <w:rFonts w:ascii="Cambria Math" w:hAnsi="Cambria Math" w:cs="Times New Roman"/>
                  <w:b/>
                  <w:bCs/>
                  <w:i/>
                  <w:szCs w:val="24"/>
                </w:rPr>
              </m:ctrlPr>
            </m:sub>
          </m:sSub>
        </m:oMath>
      </m:oMathPara>
    </w:p>
    <w:p>
      <w:pPr>
        <w:ind w:firstLine="482" w:firstLineChars="200"/>
        <w:jc w:val="center"/>
        <w:rPr>
          <w:rFonts w:cs="Times New Roman"/>
          <w:szCs w:val="24"/>
        </w:rPr>
      </w:pPr>
      <m:oMath>
        <m:sSubSup>
          <m:sSubSupPr>
            <m:ctrlPr>
              <w:rPr>
                <w:rFonts w:ascii="Cambria Math" w:hAnsi="Cambria Math" w:cs="Times New Roman"/>
                <w:b/>
                <w:bCs/>
                <w:i/>
                <w:szCs w:val="24"/>
              </w:rPr>
            </m:ctrlPr>
          </m:sSubSup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f</m:t>
            </m:r>
            <m:ctrlPr>
              <w:rPr>
                <w:rFonts w:ascii="Cambria Math" w:hAnsi="Cambria Math" w:cs="Times New Roman"/>
                <w:b/>
                <w:bCs/>
                <w:i/>
                <w:szCs w:val="24"/>
              </w:rPr>
            </m:ctrlPr>
          </m:sub>
          <m:sup>
            <m:r>
              <m:rPr>
                <m:sty m:val="bi"/>
              </m:rPr>
              <w:rPr>
                <w:rFonts w:ascii="Cambria Math" w:hAnsi="Cambria Math" w:cs="Times New Roman"/>
                <w:szCs w:val="24"/>
              </w:rPr>
              <m:t>vac</m:t>
            </m:r>
            <m:ctrlPr>
              <w:rPr>
                <w:rFonts w:ascii="Cambria Math" w:hAnsi="Cambria Math" w:cs="Times New Roman"/>
                <w:b/>
                <w:bCs/>
                <w:i/>
                <w:szCs w:val="24"/>
              </w:rPr>
            </m:ctrlPr>
          </m:sup>
        </m:sSubSup>
      </m:oMath>
      <w:r>
        <w:rPr>
          <w:rFonts w:hint="eastAsia" w:cs="Times New Roman"/>
          <w:b/>
          <w:bCs/>
          <w:szCs w:val="24"/>
        </w:rPr>
        <w:t>:</w:t>
      </w:r>
      <w:r>
        <w:rPr>
          <w:rFonts w:cs="Times New Roman"/>
          <w:b/>
          <w:bCs/>
          <w:szCs w:val="24"/>
        </w:rPr>
        <w:t xml:space="preserve"> </w:t>
      </w:r>
      <w:r>
        <w:rPr>
          <w:rFonts w:cs="Times New Roman"/>
          <w:szCs w:val="24"/>
        </w:rPr>
        <w:t>The energy of a vacancy</w:t>
      </w:r>
    </w:p>
    <w:p>
      <w:pPr>
        <w:ind w:firstLine="482" w:firstLineChars="200"/>
        <w:jc w:val="center"/>
        <w:rPr>
          <w:rFonts w:cs="Times New Roman"/>
          <w:szCs w:val="24"/>
        </w:rPr>
      </w:pPr>
      <m:oMath>
        <m:sSub>
          <m:sSubPr>
            <m:ctrlPr>
              <w:rPr>
                <w:rFonts w:ascii="Cambria Math" w:hAnsi="Cambria Math" w:cs="Times New Roman"/>
                <w:b/>
                <w:bCs/>
                <w:i/>
                <w:szCs w:val="24"/>
              </w:rPr>
            </m:ctrlPr>
          </m:sSub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c</m:t>
            </m:r>
            <m:ctrlPr>
              <w:rPr>
                <w:rFonts w:ascii="Cambria Math" w:hAnsi="Cambria Math" w:cs="Times New Roman"/>
                <w:b/>
                <w:bCs/>
                <w:i/>
                <w:szCs w:val="24"/>
              </w:rPr>
            </m:ctrlPr>
          </m:sub>
        </m:sSub>
      </m:oMath>
      <w:r>
        <w:rPr>
          <w:rFonts w:hint="eastAsia" w:cs="Times New Roman"/>
          <w:b/>
          <w:bCs/>
          <w:szCs w:val="24"/>
        </w:rPr>
        <w:t>:</w:t>
      </w:r>
      <w:r>
        <w:rPr>
          <w:rFonts w:cs="Times New Roman"/>
          <w:b/>
          <w:bCs/>
          <w:szCs w:val="24"/>
        </w:rPr>
        <w:t xml:space="preserve"> </w:t>
      </w:r>
      <w:r>
        <w:rPr>
          <w:rFonts w:cs="Times New Roman"/>
          <w:szCs w:val="24"/>
        </w:rPr>
        <w:t>The energy of an individual atom</w:t>
      </w:r>
    </w:p>
    <w:p>
      <w:pPr>
        <w:ind w:firstLine="482" w:firstLineChars="200"/>
        <w:jc w:val="center"/>
        <w:rPr>
          <w:rFonts w:cs="Times New Roman"/>
          <w:szCs w:val="24"/>
        </w:rPr>
      </w:pPr>
      <m:oMath>
        <m:sSub>
          <m:sSubPr>
            <m:ctrlPr>
              <w:rPr>
                <w:rFonts w:ascii="Cambria Math" w:hAnsi="Cambria Math" w:cs="Times New Roman"/>
                <w:b/>
                <w:bCs/>
                <w:i/>
                <w:szCs w:val="24"/>
              </w:rPr>
            </m:ctrlPr>
          </m:sSubPr>
          <m:e>
            <m:r>
              <m:rPr>
                <m:sty m:val="bi"/>
              </m:rPr>
              <w:rPr>
                <w:rFonts w:ascii="Cambria Math" w:hAnsi="Cambria Math" w:cs="Times New Roman"/>
                <w:szCs w:val="24"/>
              </w:rPr>
              <m:t>E</m:t>
            </m:r>
            <m:ctrlPr>
              <w:rPr>
                <w:rFonts w:ascii="Cambria Math" w:hAnsi="Cambria Math" w:cs="Times New Roman"/>
                <w:b/>
                <w:bCs/>
                <w:i/>
                <w:szCs w:val="24"/>
              </w:rPr>
            </m:ctrlPr>
          </m:e>
          <m:sub>
            <m:r>
              <m:rPr>
                <m:sty m:val="bi"/>
              </m:rPr>
              <w:rPr>
                <w:rFonts w:ascii="Cambria Math" w:hAnsi="Cambria Math" w:cs="Times New Roman"/>
                <w:szCs w:val="24"/>
              </w:rPr>
              <m:t>rel</m:t>
            </m:r>
            <m:ctrlPr>
              <w:rPr>
                <w:rFonts w:ascii="Cambria Math" w:hAnsi="Cambria Math" w:cs="Times New Roman"/>
                <w:b/>
                <w:bCs/>
                <w:i/>
                <w:szCs w:val="24"/>
              </w:rPr>
            </m:ctrlPr>
          </m:sub>
        </m:sSub>
      </m:oMath>
      <w:r>
        <w:rPr>
          <w:rFonts w:hint="eastAsia" w:cs="Times New Roman"/>
          <w:b/>
          <w:bCs/>
          <w:szCs w:val="24"/>
        </w:rPr>
        <w:t>:</w:t>
      </w:r>
      <w:r>
        <w:rPr>
          <w:rFonts w:cs="Times New Roman"/>
          <w:b/>
          <w:bCs/>
          <w:szCs w:val="24"/>
        </w:rPr>
        <w:t xml:space="preserve"> </w:t>
      </w:r>
      <w:r>
        <w:rPr>
          <w:rFonts w:cs="Times New Roman"/>
          <w:szCs w:val="24"/>
        </w:rPr>
        <w:t>Protocell energy without oxygen vacancy</w:t>
      </w:r>
    </w:p>
    <w:p>
      <w:pPr>
        <w:rPr>
          <w:rFonts w:cs="Times New Roman"/>
          <w:b/>
          <w:bCs/>
          <w:kern w:val="0"/>
          <w:szCs w:val="21"/>
        </w:rPr>
      </w:pPr>
      <w:r>
        <w:rPr>
          <w:rFonts w:cs="Times New Roman"/>
          <w:b/>
          <w:bCs/>
          <w:kern w:val="0"/>
          <w:szCs w:val="21"/>
        </w:rPr>
        <w:t>Hydrogen evolution free energy calculation</w:t>
      </w:r>
    </w:p>
    <w:p>
      <w:pPr>
        <w:ind w:firstLine="480" w:firstLineChars="200"/>
        <w:rPr>
          <w:b/>
          <w:bCs/>
        </w:rPr>
      </w:pPr>
      <w:r>
        <w:rPr>
          <w:rFonts w:cs="Times New Roman"/>
          <w:kern w:val="0"/>
          <w:szCs w:val="21"/>
        </w:rPr>
        <w:t>VASP was employed to perform all of</w:t>
      </w:r>
      <w:r>
        <w:rPr>
          <w:rFonts w:hint="eastAsia" w:cs="Times New Roman"/>
          <w:kern w:val="0"/>
          <w:szCs w:val="21"/>
        </w:rPr>
        <w:t xml:space="preserve"> </w:t>
      </w:r>
      <w:r>
        <w:rPr>
          <w:rFonts w:cs="Times New Roman"/>
          <w:kern w:val="0"/>
          <w:szCs w:val="21"/>
        </w:rPr>
        <w:t>the DFT calculations based on the generalized gradient</w:t>
      </w:r>
      <w:r>
        <w:rPr>
          <w:rFonts w:hint="eastAsia" w:cs="Times New Roman"/>
          <w:kern w:val="0"/>
          <w:szCs w:val="21"/>
        </w:rPr>
        <w:t xml:space="preserve"> </w:t>
      </w:r>
      <w:r>
        <w:rPr>
          <w:rFonts w:cs="Times New Roman"/>
          <w:kern w:val="0"/>
          <w:szCs w:val="21"/>
        </w:rPr>
        <w:t>approximation (GGA) and Perdew−Burke−Ernzerhof (PBE)</w:t>
      </w:r>
      <w:r>
        <w:rPr>
          <w:rFonts w:hint="eastAsia" w:cs="Times New Roman"/>
          <w:kern w:val="0"/>
          <w:szCs w:val="21"/>
        </w:rPr>
        <w:t xml:space="preserve"> </w:t>
      </w:r>
      <w:r>
        <w:rPr>
          <w:rFonts w:cs="Times New Roman"/>
          <w:kern w:val="0"/>
          <w:szCs w:val="21"/>
        </w:rPr>
        <w:t>functions. The projector augmented wave (PAW) model was</w:t>
      </w:r>
      <w:r>
        <w:rPr>
          <w:rFonts w:hint="eastAsia" w:cs="Times New Roman"/>
          <w:kern w:val="0"/>
          <w:szCs w:val="21"/>
        </w:rPr>
        <w:t xml:space="preserve"> </w:t>
      </w:r>
      <w:r>
        <w:rPr>
          <w:rFonts w:cs="Times New Roman"/>
          <w:kern w:val="0"/>
          <w:szCs w:val="21"/>
        </w:rPr>
        <w:t>utilized to describe the ionic cores. Taking the valence</w:t>
      </w:r>
      <w:r>
        <w:rPr>
          <w:rFonts w:hint="eastAsia" w:cs="Times New Roman"/>
          <w:kern w:val="0"/>
          <w:szCs w:val="21"/>
        </w:rPr>
        <w:t xml:space="preserve"> </w:t>
      </w:r>
      <w:r>
        <w:rPr>
          <w:rFonts w:cs="Times New Roman"/>
          <w:kern w:val="0"/>
          <w:szCs w:val="21"/>
        </w:rPr>
        <w:t>electrons into account, a plane-wave cutoff was set to be 450 eV. Additionally, the convergence energy threshold for the</w:t>
      </w:r>
      <w:r>
        <w:rPr>
          <w:rFonts w:hint="eastAsia" w:cs="Times New Roman"/>
          <w:kern w:val="0"/>
          <w:szCs w:val="21"/>
        </w:rPr>
        <w:t xml:space="preserve"> </w:t>
      </w:r>
      <w:r>
        <w:rPr>
          <w:rFonts w:cs="Times New Roman"/>
          <w:kern w:val="0"/>
          <w:szCs w:val="21"/>
        </w:rPr>
        <w:t>self-consistent calculations was set to be 10</w:t>
      </w:r>
      <w:r>
        <w:rPr>
          <w:rFonts w:cs="Times New Roman"/>
          <w:kern w:val="0"/>
          <w:szCs w:val="21"/>
          <w:vertAlign w:val="superscript"/>
        </w:rPr>
        <w:t>−5</w:t>
      </w:r>
      <w:r>
        <w:rPr>
          <w:rFonts w:cs="Times New Roman"/>
          <w:kern w:val="0"/>
          <w:szCs w:val="21"/>
        </w:rPr>
        <w:t xml:space="preserve"> eV, and the</w:t>
      </w:r>
      <w:r>
        <w:rPr>
          <w:rFonts w:hint="eastAsia" w:cs="Times New Roman"/>
          <w:kern w:val="0"/>
          <w:szCs w:val="21"/>
        </w:rPr>
        <w:t xml:space="preserve"> </w:t>
      </w:r>
      <w:r>
        <w:rPr>
          <w:rFonts w:cs="Times New Roman"/>
          <w:kern w:val="0"/>
          <w:szCs w:val="21"/>
        </w:rPr>
        <w:t>geometry optimization was carried out as the total energy</w:t>
      </w:r>
      <w:r>
        <w:rPr>
          <w:rFonts w:hint="eastAsia" w:cs="Times New Roman"/>
          <w:kern w:val="0"/>
          <w:szCs w:val="21"/>
        </w:rPr>
        <w:t xml:space="preserve"> </w:t>
      </w:r>
      <w:r>
        <w:rPr>
          <w:rFonts w:cs="Times New Roman"/>
          <w:kern w:val="0"/>
          <w:szCs w:val="21"/>
        </w:rPr>
        <w:t>convergent was less than 0.02 eV Å</w:t>
      </w:r>
      <w:r>
        <w:rPr>
          <w:rFonts w:cs="Times New Roman"/>
          <w:kern w:val="0"/>
          <w:szCs w:val="21"/>
          <w:vertAlign w:val="superscript"/>
        </w:rPr>
        <w:t>−1</w:t>
      </w:r>
      <w:r>
        <w:rPr>
          <w:rFonts w:cs="Times New Roman"/>
          <w:kern w:val="0"/>
          <w:szCs w:val="21"/>
        </w:rPr>
        <w:t>. The Monkhorst mesh of</w:t>
      </w:r>
      <w:r>
        <w:rPr>
          <w:rFonts w:hint="eastAsia" w:cs="Times New Roman"/>
          <w:kern w:val="0"/>
          <w:szCs w:val="21"/>
        </w:rPr>
        <w:t xml:space="preserve"> </w:t>
      </w:r>
      <w:r>
        <w:rPr>
          <w:rFonts w:cs="Times New Roman"/>
          <w:kern w:val="0"/>
          <w:szCs w:val="21"/>
        </w:rPr>
        <w:t xml:space="preserve">1 × 1 × 1 </w:t>
      </w:r>
      <w:r>
        <w:rPr>
          <w:rFonts w:cs="Times New Roman"/>
          <w:i/>
          <w:iCs/>
          <w:kern w:val="0"/>
          <w:szCs w:val="21"/>
        </w:rPr>
        <w:t>k</w:t>
      </w:r>
      <w:r>
        <w:rPr>
          <w:rFonts w:cs="Times New Roman"/>
          <w:kern w:val="0"/>
          <w:szCs w:val="21"/>
        </w:rPr>
        <w:t>-point was chosen to sample the Brillouin zone.</w:t>
      </w: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r>
        <w:rPr>
          <w:b/>
          <w:bCs/>
        </w:rPr>
        <w:t xml:space="preserve">2. </w:t>
      </w:r>
      <w:r>
        <w:rPr>
          <w:rFonts w:hint="eastAsia"/>
          <w:b/>
          <w:bCs/>
        </w:rPr>
        <w:t>S</w:t>
      </w:r>
      <w:r>
        <w:rPr>
          <w:b/>
          <w:bCs/>
        </w:rPr>
        <w:t>upplementary Figures</w:t>
      </w:r>
    </w:p>
    <w:p>
      <w:pPr>
        <w:jc w:val="center"/>
      </w:pPr>
    </w:p>
    <w:p>
      <w:pPr>
        <w:jc w:val="center"/>
        <w:rPr>
          <w:rFonts w:cs="Times New Roman"/>
          <w:b/>
          <w:bCs/>
          <w:kern w:val="0"/>
          <w:szCs w:val="21"/>
        </w:rPr>
      </w:pPr>
      <w:r>
        <w:rPr>
          <w:rFonts w:cs="Times New Roman"/>
          <w:b/>
          <w:bCs/>
          <w:kern w:val="0"/>
          <w:szCs w:val="21"/>
        </w:rPr>
        <w:drawing>
          <wp:inline distT="0" distB="0" distL="0" distR="0">
            <wp:extent cx="5274310" cy="2538095"/>
            <wp:effectExtent l="0" t="0" r="2540" b="0"/>
            <wp:docPr id="7421110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11084"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538095"/>
                    </a:xfrm>
                    <a:prstGeom prst="rect">
                      <a:avLst/>
                    </a:prstGeom>
                    <a:noFill/>
                    <a:ln>
                      <a:noFill/>
                    </a:ln>
                  </pic:spPr>
                </pic:pic>
              </a:graphicData>
            </a:graphic>
          </wp:inline>
        </w:drawing>
      </w:r>
    </w:p>
    <w:p>
      <w:pPr>
        <w:jc w:val="center"/>
        <w:rPr>
          <w:rFonts w:cs="Times New Roman"/>
          <w:kern w:val="0"/>
          <w:sz w:val="32"/>
          <w:szCs w:val="24"/>
        </w:rPr>
      </w:pPr>
      <w:r>
        <w:rPr>
          <w:rFonts w:cs="Times New Roman"/>
          <w:b/>
          <w:bCs/>
          <w:kern w:val="0"/>
          <w:szCs w:val="21"/>
        </w:rPr>
        <w:t xml:space="preserve">Fig. S1 </w:t>
      </w:r>
      <w:r>
        <w:rPr>
          <w:rFonts w:cs="Times New Roman"/>
          <w:kern w:val="0"/>
          <w:szCs w:val="21"/>
        </w:rPr>
        <w:t xml:space="preserve">HAADF-STEM images of </w:t>
      </w:r>
      <w:r>
        <w:rPr>
          <w:rFonts w:hint="eastAsia" w:cs="Times New Roman"/>
          <w:b/>
          <w:bCs/>
          <w:kern w:val="0"/>
          <w:szCs w:val="21"/>
        </w:rPr>
        <w:t>a</w:t>
      </w:r>
      <w:r>
        <w:rPr>
          <w:rFonts w:cs="Times New Roman"/>
          <w:kern w:val="0"/>
          <w:szCs w:val="21"/>
        </w:rPr>
        <w:t xml:space="preserve"> 20%Cu-OV-TpPa</w:t>
      </w:r>
      <w:r>
        <w:rPr>
          <w:rFonts w:hint="eastAsia" w:cs="Times New Roman"/>
          <w:kern w:val="0"/>
          <w:szCs w:val="21"/>
        </w:rPr>
        <w:t>,</w:t>
      </w:r>
      <w:r>
        <w:rPr>
          <w:rFonts w:cs="Times New Roman"/>
          <w:kern w:val="0"/>
          <w:szCs w:val="21"/>
        </w:rPr>
        <w:t xml:space="preserve"> </w:t>
      </w:r>
      <w:r>
        <w:rPr>
          <w:rFonts w:cs="Times New Roman"/>
          <w:b/>
          <w:bCs/>
          <w:kern w:val="0"/>
          <w:szCs w:val="21"/>
        </w:rPr>
        <w:t>b</w:t>
      </w:r>
      <w:r>
        <w:rPr>
          <w:rFonts w:cs="Times New Roman"/>
          <w:kern w:val="0"/>
          <w:szCs w:val="21"/>
        </w:rPr>
        <w:t xml:space="preserve"> 10%Cu-OV-TpPa</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inline distT="0" distB="0" distL="0" distR="0">
            <wp:extent cx="3604260" cy="2734945"/>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3614620" cy="2743126"/>
                    </a:xfrm>
                    <a:prstGeom prst="rect">
                      <a:avLst/>
                    </a:prstGeom>
                  </pic:spPr>
                </pic:pic>
              </a:graphicData>
            </a:graphic>
          </wp:inline>
        </w:drawing>
      </w:r>
      <w:r>
        <w:t xml:space="preserve"> </w:t>
      </w:r>
    </w:p>
    <w:p>
      <w:pPr>
        <w:jc w:val="center"/>
        <w:rPr>
          <w:rFonts w:cs="Times New Roman"/>
          <w:kern w:val="0"/>
          <w:szCs w:val="21"/>
        </w:rPr>
      </w:pPr>
      <w:r>
        <w:rPr>
          <w:b/>
          <w:bCs/>
        </w:rPr>
        <w:t xml:space="preserve">Fig. </w:t>
      </w:r>
      <w:r>
        <w:rPr>
          <w:rFonts w:hint="eastAsia"/>
          <w:b/>
          <w:bCs/>
        </w:rPr>
        <w:t>S</w:t>
      </w:r>
      <w:r>
        <w:rPr>
          <w:b/>
          <w:bCs/>
        </w:rPr>
        <w:t xml:space="preserve">2 </w:t>
      </w:r>
      <w:r>
        <w:rPr>
          <w:rFonts w:cs="Times New Roman"/>
          <w:kern w:val="0"/>
          <w:szCs w:val="21"/>
        </w:rPr>
        <w:t>The PXRD patterns of the samples with different Cu loads</w:t>
      </w: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kern w:val="0"/>
          <w:szCs w:val="21"/>
        </w:rPr>
      </w:pPr>
    </w:p>
    <w:p>
      <w:pPr>
        <w:jc w:val="center"/>
        <w:rPr>
          <w:rFonts w:cs="Times New Roman"/>
          <w:b/>
          <w:bCs/>
          <w:kern w:val="0"/>
          <w:szCs w:val="21"/>
        </w:rPr>
      </w:pPr>
      <w:r>
        <w:rPr>
          <w:rFonts w:cs="Times New Roman"/>
          <w:b/>
          <w:bCs/>
          <w:kern w:val="0"/>
          <w:szCs w:val="21"/>
        </w:rPr>
        <w:drawing>
          <wp:inline distT="0" distB="0" distL="0" distR="0">
            <wp:extent cx="2642235" cy="2092960"/>
            <wp:effectExtent l="0" t="0" r="5715" b="2540"/>
            <wp:docPr id="7" name="内容占位符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内容占位符 8"/>
                    <pic:cNvPicPr>
                      <a:picLocks noChangeAspect="1"/>
                    </pic:cNvPicPr>
                  </pic:nvPicPr>
                  <pic:blipFill>
                    <a:blip r:embed="rId8" cstate="print">
                      <a:extLst>
                        <a:ext uri="{28A0092B-C50C-407E-A947-70E740481C1C}">
                          <a14:useLocalDpi xmlns:a14="http://schemas.microsoft.com/office/drawing/2010/main" val="0"/>
                        </a:ext>
                      </a:extLst>
                    </a:blip>
                    <a:srcRect t="3283" r="8350" b="18679"/>
                    <a:stretch>
                      <a:fillRect/>
                    </a:stretch>
                  </pic:blipFill>
                  <pic:spPr>
                    <a:xfrm>
                      <a:off x="0" y="0"/>
                      <a:ext cx="2642723" cy="2093357"/>
                    </a:xfrm>
                    <a:prstGeom prst="rect">
                      <a:avLst/>
                    </a:prstGeom>
                  </pic:spPr>
                </pic:pic>
              </a:graphicData>
            </a:graphic>
          </wp:inline>
        </w:drawing>
      </w:r>
    </w:p>
    <w:p>
      <w:pPr>
        <w:jc w:val="center"/>
        <w:rPr>
          <w:rFonts w:cs="Times New Roman"/>
          <w:kern w:val="0"/>
          <w:sz w:val="32"/>
          <w:szCs w:val="24"/>
        </w:rPr>
      </w:pPr>
      <w:r>
        <w:rPr>
          <w:rFonts w:cs="Times New Roman"/>
          <w:b/>
          <w:bCs/>
          <w:kern w:val="0"/>
          <w:szCs w:val="21"/>
        </w:rPr>
        <w:t xml:space="preserve">Fig. S3 </w:t>
      </w:r>
      <w:r>
        <w:rPr>
          <w:rFonts w:cs="Times New Roman"/>
          <w:kern w:val="0"/>
          <w:szCs w:val="21"/>
        </w:rPr>
        <w:t>TEM images of OV-TpPa</w:t>
      </w:r>
    </w:p>
    <w:p>
      <w:pPr>
        <w:jc w:val="center"/>
        <w:rPr>
          <w:rFonts w:cs="Times New Roman"/>
          <w:b/>
          <w:bCs/>
          <w:kern w:val="0"/>
          <w:szCs w:val="21"/>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 w:val="32"/>
          <w:szCs w:val="24"/>
        </w:rPr>
      </w:pPr>
    </w:p>
    <w:p>
      <w:pPr>
        <w:jc w:val="center"/>
        <w:rPr>
          <w:rFonts w:cs="Times New Roman"/>
          <w:b/>
          <w:bCs/>
          <w:kern w:val="0"/>
          <w:szCs w:val="21"/>
        </w:rPr>
      </w:pPr>
      <w:r>
        <w:rPr>
          <w:rFonts w:cs="Times New Roman"/>
          <w:b/>
          <w:bCs/>
          <w:kern w:val="0"/>
          <w:szCs w:val="21"/>
        </w:rPr>
        <w:drawing>
          <wp:inline distT="0" distB="0" distL="0" distR="0">
            <wp:extent cx="5274310" cy="2221865"/>
            <wp:effectExtent l="0" t="0" r="2540" b="6985"/>
            <wp:docPr id="3622107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10787"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2221865"/>
                    </a:xfrm>
                    <a:prstGeom prst="rect">
                      <a:avLst/>
                    </a:prstGeom>
                    <a:noFill/>
                    <a:ln>
                      <a:noFill/>
                    </a:ln>
                  </pic:spPr>
                </pic:pic>
              </a:graphicData>
            </a:graphic>
          </wp:inline>
        </w:drawing>
      </w:r>
    </w:p>
    <w:p>
      <w:pPr>
        <w:jc w:val="center"/>
      </w:pPr>
      <w:r>
        <w:rPr>
          <w:rFonts w:hint="eastAsia"/>
          <w:b/>
          <w:bCs/>
        </w:rPr>
        <w:t>F</w:t>
      </w:r>
      <w:r>
        <w:rPr>
          <w:b/>
          <w:bCs/>
        </w:rPr>
        <w:t xml:space="preserve">ig. S4 </w:t>
      </w:r>
      <w:r>
        <w:t>N</w:t>
      </w:r>
      <w:r>
        <w:rPr>
          <w:vertAlign w:val="subscript"/>
        </w:rPr>
        <w:t>2</w:t>
      </w:r>
      <w:r>
        <w:rPr>
          <w:rFonts w:hint="eastAsia"/>
        </w:rPr>
        <w:t xml:space="preserve"> </w:t>
      </w:r>
      <w:r>
        <w:t xml:space="preserve">sorption isotherms of </w:t>
      </w:r>
      <w:r>
        <w:rPr>
          <w:b/>
          <w:bCs/>
        </w:rPr>
        <w:t>a</w:t>
      </w:r>
      <w:r>
        <w:t xml:space="preserve"> 10%Cu-OV-TpPa and </w:t>
      </w:r>
      <w:r>
        <w:rPr>
          <w:b/>
          <w:bCs/>
        </w:rPr>
        <w:t>b</w:t>
      </w:r>
      <w:r>
        <w:t xml:space="preserve"> OV-TpPa measured at 77 K (inset: pore size distributions).</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cs="Times New Roman"/>
          <w:szCs w:val="24"/>
        </w:rPr>
      </w:pPr>
      <w:r>
        <w:drawing>
          <wp:inline distT="0" distB="0" distL="0" distR="0">
            <wp:extent cx="5274310" cy="189420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274310" cy="1894205"/>
                    </a:xfrm>
                    <a:prstGeom prst="rect">
                      <a:avLst/>
                    </a:prstGeom>
                  </pic:spPr>
                </pic:pic>
              </a:graphicData>
            </a:graphic>
          </wp:inline>
        </w:drawing>
      </w:r>
    </w:p>
    <w:p>
      <w:pPr>
        <w:ind w:firstLine="482" w:firstLineChars="200"/>
        <w:jc w:val="center"/>
        <w:rPr>
          <w:rFonts w:cs="Times New Roman"/>
          <w:b/>
          <w:bCs/>
          <w:szCs w:val="24"/>
        </w:rPr>
      </w:pPr>
      <w:r>
        <w:rPr>
          <w:rFonts w:cs="Times New Roman"/>
          <w:b/>
          <w:bCs/>
          <w:szCs w:val="24"/>
        </w:rPr>
        <w:t xml:space="preserve">Fig. </w:t>
      </w:r>
      <w:r>
        <w:rPr>
          <w:rFonts w:hint="eastAsia" w:cs="Times New Roman"/>
          <w:b/>
          <w:bCs/>
          <w:szCs w:val="24"/>
        </w:rPr>
        <w:t>S</w:t>
      </w:r>
      <w:bookmarkStart w:id="1" w:name="_Hlk132975977"/>
      <w:r>
        <w:rPr>
          <w:rFonts w:cs="Times New Roman"/>
          <w:b/>
          <w:bCs/>
          <w:szCs w:val="24"/>
        </w:rPr>
        <w:t xml:space="preserve">5 </w:t>
      </w:r>
      <w:r>
        <w:rPr>
          <w:rFonts w:cs="Times New Roman"/>
          <w:szCs w:val="24"/>
        </w:rPr>
        <w:t>The structure of three kinds of OVs</w:t>
      </w:r>
      <w:bookmarkEnd w:id="1"/>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ind w:firstLine="482" w:firstLineChars="200"/>
        <w:jc w:val="center"/>
        <w:rPr>
          <w:rFonts w:cs="Times New Roman"/>
          <w:b/>
          <w:bCs/>
          <w:szCs w:val="24"/>
        </w:rPr>
      </w:pPr>
    </w:p>
    <w:p>
      <w:pPr>
        <w:jc w:val="center"/>
        <w:rPr>
          <w:b/>
          <w:bCs/>
        </w:rPr>
      </w:pPr>
    </w:p>
    <w:p>
      <w:pPr>
        <w:jc w:val="center"/>
      </w:pPr>
      <w:r>
        <w:drawing>
          <wp:inline distT="0" distB="0" distL="0" distR="0">
            <wp:extent cx="3366770" cy="2515870"/>
            <wp:effectExtent l="0" t="0" r="5080" b="0"/>
            <wp:docPr id="1255420645" name="图片 125542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20645" name="图片 1255420645"/>
                    <pic:cNvPicPr>
                      <a:picLocks noChangeAspect="1"/>
                    </pic:cNvPicPr>
                  </pic:nvPicPr>
                  <pic:blipFill>
                    <a:blip r:embed="rId11"/>
                    <a:stretch>
                      <a:fillRect/>
                    </a:stretch>
                  </pic:blipFill>
                  <pic:spPr>
                    <a:xfrm>
                      <a:off x="0" y="0"/>
                      <a:ext cx="3366780" cy="2516244"/>
                    </a:xfrm>
                    <a:prstGeom prst="rect">
                      <a:avLst/>
                    </a:prstGeom>
                  </pic:spPr>
                </pic:pic>
              </a:graphicData>
            </a:graphic>
          </wp:inline>
        </w:drawing>
      </w:r>
    </w:p>
    <w:p>
      <w:pPr>
        <w:jc w:val="center"/>
      </w:pPr>
      <w:r>
        <w:rPr>
          <w:b/>
          <w:bCs/>
        </w:rPr>
        <w:t xml:space="preserve">Fig. S6 </w:t>
      </w:r>
      <w:r>
        <w:t>Mott-Schottky plots for OV-TpPa and 10%Cu-OV-TpPa</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inline distT="0" distB="0" distL="0" distR="0">
            <wp:extent cx="3707130" cy="288544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3715043" cy="2891614"/>
                    </a:xfrm>
                    <a:prstGeom prst="rect">
                      <a:avLst/>
                    </a:prstGeom>
                  </pic:spPr>
                </pic:pic>
              </a:graphicData>
            </a:graphic>
          </wp:inline>
        </w:drawing>
      </w:r>
    </w:p>
    <w:p>
      <w:pPr>
        <w:jc w:val="center"/>
        <w:rPr>
          <w:b/>
          <w:bCs/>
        </w:rPr>
      </w:pPr>
      <w:r>
        <w:rPr>
          <w:b/>
          <w:bCs/>
        </w:rPr>
        <w:t xml:space="preserve">Fig. </w:t>
      </w:r>
      <w:r>
        <w:rPr>
          <w:rFonts w:hint="eastAsia"/>
          <w:b/>
          <w:bCs/>
        </w:rPr>
        <w:t>S</w:t>
      </w:r>
      <w:r>
        <w:rPr>
          <w:b/>
          <w:bCs/>
        </w:rPr>
        <w:t xml:space="preserve">7 </w:t>
      </w:r>
      <w:r>
        <w:t>T</w:t>
      </w:r>
      <w:r>
        <w:rPr>
          <w:rFonts w:hint="eastAsia"/>
        </w:rPr>
        <w:t>he</w:t>
      </w:r>
      <w:r>
        <w:t xml:space="preserve"> band-gap energies of OV-TpPa and 10%Cu-OV-TpPa</w:t>
      </w: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rFonts w:cs="Times New Roman"/>
          <w:b/>
          <w:bCs/>
          <w:kern w:val="0"/>
          <w:szCs w:val="21"/>
        </w:rPr>
      </w:pPr>
      <w:r>
        <w:rPr>
          <w:rFonts w:cs="Times New Roman"/>
          <w:b/>
          <w:bCs/>
          <w:kern w:val="0"/>
          <w:szCs w:val="21"/>
        </w:rPr>
        <w:drawing>
          <wp:inline distT="0" distB="0" distL="0" distR="0">
            <wp:extent cx="4018915" cy="315912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32918" cy="3170109"/>
                    </a:xfrm>
                    <a:prstGeom prst="rect">
                      <a:avLst/>
                    </a:prstGeom>
                  </pic:spPr>
                </pic:pic>
              </a:graphicData>
            </a:graphic>
          </wp:inline>
        </w:drawing>
      </w:r>
    </w:p>
    <w:p>
      <w:pPr>
        <w:jc w:val="center"/>
        <w:rPr>
          <w:rFonts w:cs="Times New Roman"/>
          <w:b/>
          <w:bCs/>
          <w:kern w:val="0"/>
          <w:szCs w:val="21"/>
        </w:rPr>
      </w:pPr>
      <w:r>
        <w:rPr>
          <w:rFonts w:hint="eastAsia" w:cs="Times New Roman"/>
          <w:b/>
          <w:bCs/>
          <w:kern w:val="0"/>
          <w:szCs w:val="21"/>
        </w:rPr>
        <w:t>F</w:t>
      </w:r>
      <w:r>
        <w:rPr>
          <w:rFonts w:cs="Times New Roman"/>
          <w:b/>
          <w:bCs/>
          <w:kern w:val="0"/>
          <w:szCs w:val="21"/>
        </w:rPr>
        <w:t xml:space="preserve">ig. S8 </w:t>
      </w:r>
      <w:r>
        <w:rPr>
          <w:rFonts w:cs="Times New Roman"/>
          <w:kern w:val="0"/>
          <w:szCs w:val="21"/>
        </w:rPr>
        <w:t>The experimental spectra (red line)</w:t>
      </w:r>
    </w:p>
    <w:p>
      <w:pPr>
        <w:ind w:firstLine="482" w:firstLineChars="200"/>
        <w:jc w:val="center"/>
        <w:rPr>
          <w:rFonts w:cs="Times New Roman"/>
          <w:b/>
          <w:bCs/>
          <w:szCs w:val="24"/>
        </w:rPr>
      </w:pPr>
    </w:p>
    <w:p>
      <w:pPr>
        <w:jc w:val="center"/>
        <w:rPr>
          <w:rFonts w:cs="Times New Roman"/>
          <w:b/>
          <w:bCs/>
          <w:kern w:val="0"/>
          <w:szCs w:val="21"/>
        </w:rPr>
      </w:pPr>
    </w:p>
    <w:p>
      <w:pPr>
        <w:ind w:firstLine="480" w:firstLineChars="200"/>
        <w:jc w:val="center"/>
        <w:rPr>
          <w:rFonts w:cs="Times New Roman"/>
          <w:szCs w:val="24"/>
        </w:rPr>
      </w:pPr>
    </w:p>
    <w:tbl>
      <w:tblPr>
        <w:tblStyle w:val="26"/>
        <w:tblpPr w:leftFromText="180" w:rightFromText="180" w:vertAnchor="page" w:horzAnchor="margin" w:tblpY="4199"/>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9"/>
        <w:gridCol w:w="1181"/>
        <w:gridCol w:w="1133"/>
        <w:gridCol w:w="1441"/>
        <w:gridCol w:w="1375"/>
        <w:gridCol w:w="1007"/>
        <w:gridCol w:w="940"/>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1229" w:type="dxa"/>
            <w:tcBorders>
              <w:top w:val="single" w:color="auto" w:sz="12" w:space="0"/>
              <w:bottom w:val="single" w:color="auto" w:sz="12" w:space="0"/>
            </w:tcBorders>
          </w:tcPr>
          <w:p>
            <w:pPr>
              <w:spacing w:line="240" w:lineRule="auto"/>
              <w:ind w:right="240"/>
              <w:jc w:val="center"/>
              <w:rPr>
                <w:b/>
                <w:bCs/>
                <w:sz w:val="22"/>
                <w:szCs w:val="21"/>
              </w:rPr>
            </w:pPr>
            <w:r>
              <w:rPr>
                <w:rFonts w:hint="eastAsia"/>
                <w:b/>
                <w:bCs/>
                <w:sz w:val="22"/>
                <w:szCs w:val="21"/>
              </w:rPr>
              <w:t>c</w:t>
            </w:r>
            <w:r>
              <w:rPr>
                <w:b/>
                <w:bCs/>
                <w:sz w:val="22"/>
                <w:szCs w:val="21"/>
              </w:rPr>
              <w:t>atalyst</w:t>
            </w:r>
          </w:p>
        </w:tc>
        <w:tc>
          <w:tcPr>
            <w:tcW w:w="1181" w:type="dxa"/>
            <w:tcBorders>
              <w:top w:val="single" w:color="auto" w:sz="12" w:space="0"/>
              <w:bottom w:val="single" w:color="auto" w:sz="12" w:space="0"/>
            </w:tcBorders>
          </w:tcPr>
          <w:p>
            <w:pPr>
              <w:spacing w:line="240" w:lineRule="auto"/>
              <w:ind w:right="240"/>
              <w:jc w:val="center"/>
              <w:rPr>
                <w:b/>
                <w:bCs/>
                <w:sz w:val="22"/>
                <w:szCs w:val="21"/>
              </w:rPr>
            </w:pPr>
            <w:r>
              <w:rPr>
                <w:b/>
                <w:bCs/>
                <w:sz w:val="22"/>
                <w:szCs w:val="21"/>
              </w:rPr>
              <w:t>Co-catalyst</w:t>
            </w:r>
          </w:p>
        </w:tc>
        <w:tc>
          <w:tcPr>
            <w:tcW w:w="1133" w:type="dxa"/>
            <w:tcBorders>
              <w:top w:val="single" w:color="auto" w:sz="12" w:space="0"/>
              <w:bottom w:val="single" w:color="auto" w:sz="12" w:space="0"/>
            </w:tcBorders>
          </w:tcPr>
          <w:p>
            <w:pPr>
              <w:spacing w:line="240" w:lineRule="auto"/>
              <w:ind w:right="240"/>
              <w:jc w:val="center"/>
              <w:rPr>
                <w:b/>
                <w:bCs/>
                <w:sz w:val="22"/>
                <w:szCs w:val="21"/>
              </w:rPr>
            </w:pPr>
            <w:r>
              <w:rPr>
                <w:rFonts w:hint="eastAsia"/>
                <w:b/>
                <w:bCs/>
                <w:sz w:val="22"/>
                <w:szCs w:val="21"/>
              </w:rPr>
              <w:t>S</w:t>
            </w:r>
            <w:r>
              <w:rPr>
                <w:b/>
                <w:bCs/>
                <w:sz w:val="22"/>
                <w:szCs w:val="21"/>
              </w:rPr>
              <w:t>ED</w:t>
            </w:r>
          </w:p>
        </w:tc>
        <w:tc>
          <w:tcPr>
            <w:tcW w:w="1441" w:type="dxa"/>
            <w:tcBorders>
              <w:top w:val="single" w:color="auto" w:sz="12" w:space="0"/>
              <w:bottom w:val="single" w:color="auto" w:sz="12" w:space="0"/>
            </w:tcBorders>
          </w:tcPr>
          <w:p>
            <w:pPr>
              <w:pStyle w:val="20"/>
              <w:jc w:val="center"/>
              <w:rPr>
                <w:b/>
                <w:bCs/>
                <w:sz w:val="22"/>
                <w:szCs w:val="21"/>
              </w:rPr>
            </w:pPr>
            <w:r>
              <w:rPr>
                <w:b/>
                <w:bCs/>
                <w:sz w:val="22"/>
                <w:szCs w:val="21"/>
              </w:rPr>
              <w:t>Solvent</w:t>
            </w:r>
          </w:p>
        </w:tc>
        <w:tc>
          <w:tcPr>
            <w:tcW w:w="1375" w:type="dxa"/>
            <w:tcBorders>
              <w:top w:val="single" w:color="auto" w:sz="12" w:space="0"/>
              <w:bottom w:val="single" w:color="auto" w:sz="12" w:space="0"/>
            </w:tcBorders>
          </w:tcPr>
          <w:p>
            <w:pPr>
              <w:pStyle w:val="20"/>
              <w:jc w:val="center"/>
              <w:rPr>
                <w:b/>
                <w:bCs/>
                <w:sz w:val="22"/>
                <w:szCs w:val="21"/>
              </w:rPr>
            </w:pPr>
            <w:r>
              <w:rPr>
                <w:b/>
                <w:bCs/>
                <w:sz w:val="22"/>
                <w:szCs w:val="21"/>
              </w:rPr>
              <w:t>Illumination</w:t>
            </w:r>
          </w:p>
        </w:tc>
        <w:tc>
          <w:tcPr>
            <w:tcW w:w="1007" w:type="dxa"/>
            <w:tcBorders>
              <w:top w:val="single" w:color="auto" w:sz="12" w:space="0"/>
              <w:bottom w:val="single" w:color="auto" w:sz="12" w:space="0"/>
            </w:tcBorders>
          </w:tcPr>
          <w:p>
            <w:pPr>
              <w:pStyle w:val="20"/>
              <w:jc w:val="center"/>
              <w:rPr>
                <w:b/>
                <w:bCs/>
                <w:sz w:val="22"/>
                <w:szCs w:val="21"/>
              </w:rPr>
            </w:pPr>
            <w:r>
              <w:rPr>
                <w:b/>
                <w:bCs/>
                <w:sz w:val="22"/>
                <w:szCs w:val="21"/>
              </w:rPr>
              <w:t>Activity,</w:t>
            </w:r>
          </w:p>
          <w:p>
            <w:pPr>
              <w:spacing w:line="240" w:lineRule="auto"/>
              <w:ind w:right="240"/>
              <w:jc w:val="center"/>
              <w:rPr>
                <w:b/>
                <w:bCs/>
                <w:sz w:val="22"/>
                <w:szCs w:val="21"/>
              </w:rPr>
            </w:pPr>
            <w:r>
              <w:rPr>
                <w:b/>
                <w:bCs/>
                <w:sz w:val="22"/>
                <w:szCs w:val="21"/>
              </w:rPr>
              <w:t>μmol g</w:t>
            </w:r>
            <w:r>
              <w:rPr>
                <w:b/>
                <w:bCs/>
                <w:sz w:val="22"/>
                <w:szCs w:val="21"/>
                <w:vertAlign w:val="superscript"/>
              </w:rPr>
              <w:t>-1</w:t>
            </w:r>
            <w:r>
              <w:rPr>
                <w:b/>
                <w:bCs/>
                <w:sz w:val="22"/>
                <w:szCs w:val="21"/>
              </w:rPr>
              <w:t xml:space="preserve"> h</w:t>
            </w:r>
            <w:r>
              <w:rPr>
                <w:b/>
                <w:bCs/>
                <w:sz w:val="22"/>
                <w:szCs w:val="21"/>
                <w:vertAlign w:val="superscript"/>
              </w:rPr>
              <w:t>-1</w:t>
            </w:r>
          </w:p>
        </w:tc>
        <w:tc>
          <w:tcPr>
            <w:tcW w:w="940" w:type="dxa"/>
            <w:tcBorders>
              <w:top w:val="single" w:color="auto" w:sz="12" w:space="0"/>
              <w:bottom w:val="single" w:color="auto" w:sz="12" w:space="0"/>
            </w:tcBorders>
          </w:tcPr>
          <w:p>
            <w:pPr>
              <w:pStyle w:val="20"/>
              <w:jc w:val="center"/>
              <w:rPr>
                <w:b/>
                <w:bCs/>
                <w:sz w:val="22"/>
                <w:szCs w:val="21"/>
              </w:rPr>
            </w:pPr>
            <w:r>
              <w:rPr>
                <w:b/>
                <w:bCs/>
                <w:sz w:val="22"/>
                <w:szCs w:val="21"/>
              </w:rPr>
              <w:t>Ref</w:t>
            </w:r>
          </w:p>
          <w:p>
            <w:pPr>
              <w:spacing w:line="240" w:lineRule="auto"/>
              <w:ind w:right="240"/>
              <w:jc w:val="center"/>
              <w:rPr>
                <w:b/>
                <w:bCs/>
                <w:sz w:val="22"/>
                <w:szCs w:val="21"/>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229" w:type="dxa"/>
            <w:tcBorders>
              <w:top w:val="single" w:color="auto" w:sz="12" w:space="0"/>
            </w:tcBorders>
          </w:tcPr>
          <w:p>
            <w:pPr>
              <w:ind w:right="240"/>
              <w:rPr>
                <w:b/>
                <w:bCs/>
                <w:sz w:val="22"/>
                <w:szCs w:val="21"/>
              </w:rPr>
            </w:pPr>
            <w:r>
              <w:rPr>
                <w:rFonts w:hint="eastAsia"/>
                <w:b/>
                <w:bCs/>
                <w:sz w:val="22"/>
                <w:szCs w:val="21"/>
              </w:rPr>
              <w:t>C</w:t>
            </w:r>
            <w:r>
              <w:rPr>
                <w:b/>
                <w:bCs/>
                <w:sz w:val="22"/>
                <w:szCs w:val="21"/>
              </w:rPr>
              <w:t>u-TpPa-1</w:t>
            </w:r>
          </w:p>
        </w:tc>
        <w:tc>
          <w:tcPr>
            <w:tcW w:w="1181" w:type="dxa"/>
            <w:tcBorders>
              <w:top w:val="single" w:color="auto" w:sz="12" w:space="0"/>
            </w:tcBorders>
          </w:tcPr>
          <w:p>
            <w:pPr>
              <w:ind w:right="240"/>
              <w:rPr>
                <w:sz w:val="22"/>
                <w:szCs w:val="21"/>
              </w:rPr>
            </w:pPr>
            <w:r>
              <w:rPr>
                <w:rFonts w:hint="eastAsia"/>
                <w:sz w:val="22"/>
                <w:szCs w:val="21"/>
              </w:rPr>
              <w:t>-</w:t>
            </w:r>
          </w:p>
        </w:tc>
        <w:tc>
          <w:tcPr>
            <w:tcW w:w="1133" w:type="dxa"/>
            <w:tcBorders>
              <w:top w:val="single" w:color="auto" w:sz="12" w:space="0"/>
            </w:tcBorders>
          </w:tcPr>
          <w:p>
            <w:pPr>
              <w:ind w:right="240"/>
              <w:rPr>
                <w:sz w:val="22"/>
                <w:szCs w:val="21"/>
              </w:rPr>
            </w:pPr>
            <w:r>
              <w:rPr>
                <w:rFonts w:hint="eastAsia"/>
                <w:sz w:val="22"/>
                <w:szCs w:val="21"/>
              </w:rPr>
              <w:t>A</w:t>
            </w:r>
            <w:r>
              <w:rPr>
                <w:sz w:val="22"/>
                <w:szCs w:val="21"/>
              </w:rPr>
              <w:t>A</w:t>
            </w:r>
          </w:p>
        </w:tc>
        <w:tc>
          <w:tcPr>
            <w:tcW w:w="1441" w:type="dxa"/>
            <w:tcBorders>
              <w:top w:val="single" w:color="auto" w:sz="12" w:space="0"/>
            </w:tcBorders>
          </w:tcPr>
          <w:p>
            <w:pPr>
              <w:ind w:right="240"/>
              <w:rPr>
                <w:sz w:val="22"/>
                <w:szCs w:val="21"/>
              </w:rPr>
            </w:pPr>
            <w:r>
              <w:rPr>
                <w:rFonts w:hint="eastAsia"/>
                <w:sz w:val="22"/>
                <w:szCs w:val="21"/>
              </w:rPr>
              <w:t>w</w:t>
            </w:r>
            <w:r>
              <w:rPr>
                <w:sz w:val="22"/>
                <w:szCs w:val="21"/>
              </w:rPr>
              <w:t>ater</w:t>
            </w:r>
          </w:p>
        </w:tc>
        <w:tc>
          <w:tcPr>
            <w:tcW w:w="1375" w:type="dxa"/>
            <w:tcBorders>
              <w:top w:val="single" w:color="auto" w:sz="12" w:space="0"/>
            </w:tcBorders>
          </w:tcPr>
          <w:p>
            <w:pPr>
              <w:ind w:right="240"/>
              <w:rPr>
                <w:sz w:val="22"/>
                <w:szCs w:val="21"/>
              </w:rPr>
            </w:pPr>
            <w:r>
              <w:rPr>
                <w:rFonts w:hint="eastAsia"/>
                <w:sz w:val="22"/>
                <w:szCs w:val="21"/>
              </w:rPr>
              <w:t>&gt;</w:t>
            </w:r>
            <w:r>
              <w:rPr>
                <w:sz w:val="22"/>
                <w:szCs w:val="21"/>
              </w:rPr>
              <w:t>400 nm</w:t>
            </w:r>
          </w:p>
        </w:tc>
        <w:tc>
          <w:tcPr>
            <w:tcW w:w="1007" w:type="dxa"/>
            <w:tcBorders>
              <w:top w:val="single" w:color="auto" w:sz="12" w:space="0"/>
            </w:tcBorders>
          </w:tcPr>
          <w:p>
            <w:pPr>
              <w:ind w:right="240"/>
              <w:rPr>
                <w:sz w:val="22"/>
                <w:szCs w:val="21"/>
              </w:rPr>
            </w:pPr>
            <w:r>
              <w:rPr>
                <w:rFonts w:hint="eastAsia"/>
                <w:sz w:val="22"/>
                <w:szCs w:val="21"/>
              </w:rPr>
              <w:t>2</w:t>
            </w:r>
            <w:r>
              <w:rPr>
                <w:sz w:val="22"/>
                <w:szCs w:val="21"/>
              </w:rPr>
              <w:t>722</w:t>
            </w:r>
          </w:p>
        </w:tc>
        <w:tc>
          <w:tcPr>
            <w:tcW w:w="940" w:type="dxa"/>
            <w:tcBorders>
              <w:top w:val="single" w:color="auto" w:sz="12" w:space="0"/>
            </w:tcBorders>
          </w:tcPr>
          <w:p>
            <w:pPr>
              <w:ind w:right="240"/>
              <w:rPr>
                <w:sz w:val="22"/>
                <w:szCs w:val="21"/>
              </w:rPr>
            </w:pPr>
            <w:r>
              <w:rPr>
                <w:sz w:val="22"/>
                <w:szCs w:val="21"/>
              </w:rPr>
              <w:t>This work</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229" w:type="dxa"/>
          </w:tcPr>
          <w:p>
            <w:pPr>
              <w:ind w:right="240"/>
              <w:rPr>
                <w:b/>
                <w:bCs/>
                <w:sz w:val="22"/>
                <w:szCs w:val="21"/>
              </w:rPr>
            </w:pPr>
            <w:r>
              <w:rPr>
                <w:rFonts w:hint="eastAsia"/>
                <w:b/>
                <w:bCs/>
                <w:sz w:val="22"/>
                <w:szCs w:val="21"/>
              </w:rPr>
              <w:t>T</w:t>
            </w:r>
            <w:r>
              <w:rPr>
                <w:b/>
                <w:bCs/>
                <w:sz w:val="22"/>
                <w:szCs w:val="21"/>
              </w:rPr>
              <w:t>P-BDDA</w:t>
            </w:r>
          </w:p>
        </w:tc>
        <w:tc>
          <w:tcPr>
            <w:tcW w:w="1181" w:type="dxa"/>
          </w:tcPr>
          <w:p>
            <w:pPr>
              <w:ind w:right="240"/>
              <w:rPr>
                <w:sz w:val="22"/>
                <w:szCs w:val="21"/>
              </w:rPr>
            </w:pPr>
            <w:r>
              <w:rPr>
                <w:rFonts w:hint="eastAsia"/>
                <w:sz w:val="22"/>
                <w:szCs w:val="21"/>
              </w:rPr>
              <w:t>P</w:t>
            </w:r>
            <w:r>
              <w:rPr>
                <w:sz w:val="22"/>
                <w:szCs w:val="21"/>
              </w:rPr>
              <w:t>t</w:t>
            </w:r>
          </w:p>
        </w:tc>
        <w:tc>
          <w:tcPr>
            <w:tcW w:w="1133" w:type="dxa"/>
          </w:tcPr>
          <w:p>
            <w:pPr>
              <w:ind w:right="240"/>
              <w:rPr>
                <w:sz w:val="22"/>
                <w:szCs w:val="21"/>
              </w:rPr>
            </w:pPr>
            <w:r>
              <w:rPr>
                <w:rFonts w:hint="eastAsia"/>
                <w:sz w:val="22"/>
                <w:szCs w:val="21"/>
              </w:rPr>
              <w:t>T</w:t>
            </w:r>
            <w:r>
              <w:rPr>
                <w:sz w:val="22"/>
                <w:szCs w:val="21"/>
              </w:rPr>
              <w:t>EOA</w:t>
            </w:r>
          </w:p>
        </w:tc>
        <w:tc>
          <w:tcPr>
            <w:tcW w:w="1441" w:type="dxa"/>
          </w:tcPr>
          <w:p>
            <w:pPr>
              <w:pStyle w:val="20"/>
              <w:jc w:val="both"/>
              <w:rPr>
                <w:sz w:val="22"/>
                <w:szCs w:val="21"/>
              </w:rPr>
            </w:pPr>
            <w:r>
              <w:rPr>
                <w:rFonts w:hint="eastAsia"/>
                <w:sz w:val="22"/>
                <w:szCs w:val="21"/>
              </w:rPr>
              <w:t>w</w:t>
            </w:r>
            <w:r>
              <w:rPr>
                <w:sz w:val="22"/>
                <w:szCs w:val="21"/>
              </w:rPr>
              <w:t>ater</w:t>
            </w:r>
          </w:p>
        </w:tc>
        <w:tc>
          <w:tcPr>
            <w:tcW w:w="1375" w:type="dxa"/>
          </w:tcPr>
          <w:p>
            <w:pPr>
              <w:ind w:right="240"/>
              <w:rPr>
                <w:sz w:val="22"/>
                <w:szCs w:val="21"/>
              </w:rPr>
            </w:pPr>
            <w:r>
              <w:rPr>
                <w:rFonts w:hint="eastAsia"/>
                <w:sz w:val="22"/>
                <w:szCs w:val="21"/>
              </w:rPr>
              <w:t>＞3</w:t>
            </w:r>
            <w:r>
              <w:rPr>
                <w:sz w:val="22"/>
                <w:szCs w:val="21"/>
              </w:rPr>
              <w:t xml:space="preserve">95 </w:t>
            </w:r>
            <w:r>
              <w:rPr>
                <w:rFonts w:hint="eastAsia"/>
                <w:sz w:val="22"/>
                <w:szCs w:val="21"/>
              </w:rPr>
              <w:t>nm</w:t>
            </w:r>
          </w:p>
        </w:tc>
        <w:tc>
          <w:tcPr>
            <w:tcW w:w="1007" w:type="dxa"/>
          </w:tcPr>
          <w:p>
            <w:pPr>
              <w:ind w:right="240"/>
              <w:rPr>
                <w:sz w:val="22"/>
                <w:szCs w:val="21"/>
              </w:rPr>
            </w:pPr>
            <w:r>
              <w:rPr>
                <w:rFonts w:hint="eastAsia"/>
                <w:sz w:val="22"/>
                <w:szCs w:val="21"/>
              </w:rPr>
              <w:t>3</w:t>
            </w:r>
            <w:r>
              <w:rPr>
                <w:sz w:val="22"/>
                <w:szCs w:val="21"/>
              </w:rPr>
              <w:t>24</w:t>
            </w:r>
          </w:p>
        </w:tc>
        <w:tc>
          <w:tcPr>
            <w:tcW w:w="940" w:type="dxa"/>
          </w:tcPr>
          <w:p>
            <w:pPr>
              <w:ind w:right="240"/>
              <w:rPr>
                <w:sz w:val="22"/>
                <w:szCs w:val="21"/>
              </w:rPr>
            </w:pPr>
            <w:r>
              <w:rPr>
                <w:rFonts w:hint="eastAsia"/>
                <w:sz w:val="22"/>
                <w:szCs w:val="21"/>
              </w:rPr>
              <w:t>[</w:t>
            </w:r>
            <w:r>
              <w:rPr>
                <w:sz w:val="22"/>
                <w:szCs w:val="21"/>
              </w:rPr>
              <w:t>5]</w:t>
            </w:r>
            <w:r>
              <w:rPr>
                <w:sz w:val="22"/>
                <w:szCs w:val="21"/>
              </w:rPr>
              <w:fldChar w:fldCharType="begin" w:fldLock="1"/>
            </w:r>
            <w:r>
              <w:rPr>
                <w:sz w:val="22"/>
                <w:szCs w:val="21"/>
              </w:rPr>
              <w:instrText xml:space="preserve">ADDIN CSL_CITATION {"citationItems":[{"id":"ITEM-1","itemData":{"DOI":"10.1021/jacs.7b11255","ISSN":"15205126","PMID":"29287143","abstract":"Covalent organic frameworks (COFs) are crystalline, highly porous, two- or three-dimensional polymers with tunable topology and functionalities. Because of their higher chemical stabilities in comparison to their boron-linked counterparts, imine or β-ketoenamine linked COFs have been utilized for a broad range of applications, including gas storage, heterogeneous cat</w:instrText>
            </w:r>
            <w:r>
              <w:rPr>
                <w:rFonts w:hint="eastAsia"/>
                <w:sz w:val="22"/>
                <w:szCs w:val="21"/>
              </w:rPr>
              <w:instrText xml:space="preserve">alysis, energy storage devices, or proton-conductive membranes. Herein, we report the synthesis of highly porous and chemically stable acetylene (-C≡C-) and diacetylene (-C≡C-C≡C-) functionalized β-ketoenamine COFs, which have been applied as photocatalys</w:instrText>
            </w:r>
            <w:r>
              <w:rPr>
                <w:sz w:val="22"/>
                <w:szCs w:val="21"/>
              </w:rPr>
              <w:instrText xml:space="preserve">t for hydrogen generation from water. It is shown that the diacetylene moieties have a profound effect as the diacetylene-based COF largely outperforms the acetylene-based COF in terms of photocatalytic activity. As a combined effect of high porosity, eas</w:instrText>
            </w:r>
            <w:r>
              <w:rPr>
                <w:rFonts w:hint="eastAsia"/>
                <w:sz w:val="22"/>
                <w:szCs w:val="21"/>
              </w:rPr>
              <w:instrText xml:space="preserve">ily accessible diacetylene (-C≡C-C≡C-) functionalities and considerable chemical stability, an efficient and recyclable heterogeneous photocatalytic hydrogen generation is achieved.","author":[{"dropping-particle":"","family":"Pachfule","given":"Pradip","</w:instrText>
            </w:r>
            <w:r>
              <w:rPr>
                <w:sz w:val="22"/>
                <w:szCs w:val="21"/>
              </w:rPr>
              <w:instrText xml:space="preserve">non-dropping-particle":"","parse-names":false,"suffix":""},{"dropping-particle":"","family":"Acharjya","given":"Amitava","non-dropping-particle":"","parse-names":false,"suffix":""},{"dropping-particle":"","family":"Roeser","given":"Jérôme","non-dropping-particle":"","parse-names":false,"suffix":""},{"dropping-particle":"","family":"Langenhahn","given":"Thomas","non-dropping-particle":"","parse-names":false,"suffix":""},{"dropping-particle":"","family":"Schwarze","given":"Michael","non-dropping-particle":"","parse-names":false,"suffix":""},{"dropping-particle":"","family":"Schomäcker","given":"Reinhard","non-dropping-particle":"","parse-names":false,"suffix":""},{"dropping-particle":"","family":"Thomas","given":"Arne","non-dropping-particle":"","parse-names":false,"suffix":""},{"dropping-particle":"","family":"Schmidt","given":"Johannes","non-dropping-particle":"","parse-names":false,"suffix":""}],"container-title":"Journal of the American Chemical Society","id":"ITEM-1","issue":"4","issued":{"date-parts":[["2018"]]},"page":"1423-1427","title":"Diacetylene Functionalized Covalent Organic Framework (COF) for Photocatalytic Hydrogen Generation","type":"article-journal","volume":"140"},"uris":["http://www.mendeley.com/documents/?uuid=cf26b4b0-c588-4bea-a609-fe8fea1ce617"]}],"mendeley":{"formattedCitation":"&lt;sup&gt;5&lt;/sup&gt;","plainTextFormattedCitation":"5","previouslyFormattedCitation":"&lt;sup&gt;5&lt;/sup&gt;"},"properties":{"noteIndex":0},"schema":"https://github.com/citation-style-language/schema/raw/master/csl-citation.json"}</w:instrText>
            </w:r>
            <w:r>
              <w:rPr>
                <w:sz w:val="22"/>
                <w:szCs w:val="21"/>
              </w:rPr>
              <w:fldChar w:fldCharType="separate"/>
            </w:r>
            <w:r>
              <w:rPr>
                <w:sz w:val="22"/>
                <w:szCs w:val="21"/>
                <w:vertAlign w:val="superscript"/>
              </w:rPr>
              <w:t>5</w:t>
            </w:r>
            <w:r>
              <w:rPr>
                <w:sz w:val="22"/>
                <w:szCs w:val="21"/>
              </w:rPr>
              <w:fldChar w:fldCharType="end"/>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229" w:type="dxa"/>
          </w:tcPr>
          <w:p>
            <w:pPr>
              <w:ind w:right="240"/>
              <w:rPr>
                <w:b/>
                <w:bCs/>
                <w:sz w:val="22"/>
                <w:szCs w:val="21"/>
              </w:rPr>
            </w:pPr>
            <w:r>
              <w:rPr>
                <w:rFonts w:hint="eastAsia"/>
                <w:b/>
                <w:bCs/>
                <w:sz w:val="22"/>
                <w:szCs w:val="21"/>
              </w:rPr>
              <w:t>N</w:t>
            </w:r>
            <w:r>
              <w:rPr>
                <w:b/>
                <w:bCs/>
                <w:sz w:val="22"/>
                <w:szCs w:val="21"/>
                <w:vertAlign w:val="subscript"/>
              </w:rPr>
              <w:t>2</w:t>
            </w:r>
            <w:r>
              <w:rPr>
                <w:b/>
                <w:bCs/>
                <w:sz w:val="22"/>
                <w:szCs w:val="21"/>
              </w:rPr>
              <w:t>-COF</w:t>
            </w:r>
          </w:p>
        </w:tc>
        <w:tc>
          <w:tcPr>
            <w:tcW w:w="1181" w:type="dxa"/>
          </w:tcPr>
          <w:p>
            <w:pPr>
              <w:ind w:right="240"/>
              <w:rPr>
                <w:sz w:val="22"/>
                <w:szCs w:val="21"/>
              </w:rPr>
            </w:pPr>
            <w:r>
              <w:rPr>
                <w:rFonts w:hint="eastAsia"/>
                <w:sz w:val="22"/>
                <w:szCs w:val="21"/>
              </w:rPr>
              <w:t>C</w:t>
            </w:r>
            <w:r>
              <w:rPr>
                <w:sz w:val="22"/>
                <w:szCs w:val="21"/>
              </w:rPr>
              <w:t>o-1 b</w:t>
            </w:r>
          </w:p>
        </w:tc>
        <w:tc>
          <w:tcPr>
            <w:tcW w:w="1133" w:type="dxa"/>
          </w:tcPr>
          <w:p>
            <w:pPr>
              <w:ind w:right="240"/>
              <w:rPr>
                <w:sz w:val="22"/>
                <w:szCs w:val="21"/>
              </w:rPr>
            </w:pPr>
            <w:r>
              <w:rPr>
                <w:rFonts w:hint="eastAsia"/>
                <w:sz w:val="22"/>
                <w:szCs w:val="21"/>
              </w:rPr>
              <w:t>T</w:t>
            </w:r>
            <w:r>
              <w:rPr>
                <w:sz w:val="22"/>
                <w:szCs w:val="21"/>
              </w:rPr>
              <w:t>EOA</w:t>
            </w:r>
          </w:p>
        </w:tc>
        <w:tc>
          <w:tcPr>
            <w:tcW w:w="1441" w:type="dxa"/>
          </w:tcPr>
          <w:p>
            <w:pPr>
              <w:ind w:right="240"/>
              <w:rPr>
                <w:sz w:val="22"/>
                <w:szCs w:val="21"/>
              </w:rPr>
            </w:pPr>
            <w:r>
              <w:rPr>
                <w:sz w:val="22"/>
                <w:szCs w:val="21"/>
              </w:rPr>
              <w:t>CAN/H</w:t>
            </w:r>
            <w:r>
              <w:rPr>
                <w:sz w:val="22"/>
                <w:szCs w:val="21"/>
                <w:vertAlign w:val="subscript"/>
              </w:rPr>
              <w:t>2</w:t>
            </w:r>
            <w:r>
              <w:rPr>
                <w:sz w:val="22"/>
                <w:szCs w:val="21"/>
              </w:rPr>
              <w:t>O</w:t>
            </w:r>
          </w:p>
        </w:tc>
        <w:tc>
          <w:tcPr>
            <w:tcW w:w="1375" w:type="dxa"/>
          </w:tcPr>
          <w:p>
            <w:pPr>
              <w:ind w:right="240"/>
              <w:rPr>
                <w:sz w:val="22"/>
                <w:szCs w:val="21"/>
              </w:rPr>
            </w:pPr>
            <w:r>
              <w:rPr>
                <w:rFonts w:hint="eastAsia"/>
                <w:sz w:val="22"/>
                <w:szCs w:val="21"/>
              </w:rPr>
              <w:t>A</w:t>
            </w:r>
            <w:r>
              <w:rPr>
                <w:sz w:val="22"/>
                <w:szCs w:val="21"/>
              </w:rPr>
              <w:t>M 1.5</w:t>
            </w:r>
          </w:p>
        </w:tc>
        <w:tc>
          <w:tcPr>
            <w:tcW w:w="1007" w:type="dxa"/>
          </w:tcPr>
          <w:p>
            <w:pPr>
              <w:ind w:right="240"/>
              <w:rPr>
                <w:sz w:val="22"/>
                <w:szCs w:val="21"/>
              </w:rPr>
            </w:pPr>
            <w:r>
              <w:rPr>
                <w:rFonts w:hint="eastAsia"/>
                <w:sz w:val="22"/>
                <w:szCs w:val="21"/>
              </w:rPr>
              <w:t>7</w:t>
            </w:r>
            <w:r>
              <w:rPr>
                <w:sz w:val="22"/>
                <w:szCs w:val="21"/>
              </w:rPr>
              <w:t>82</w:t>
            </w:r>
          </w:p>
        </w:tc>
        <w:tc>
          <w:tcPr>
            <w:tcW w:w="940" w:type="dxa"/>
          </w:tcPr>
          <w:p>
            <w:pPr>
              <w:ind w:right="240"/>
              <w:rPr>
                <w:sz w:val="22"/>
                <w:szCs w:val="21"/>
              </w:rPr>
            </w:pPr>
            <w:r>
              <w:rPr>
                <w:rFonts w:hint="eastAsia"/>
                <w:sz w:val="22"/>
                <w:szCs w:val="21"/>
              </w:rPr>
              <w:t>[</w:t>
            </w:r>
            <w:r>
              <w:rPr>
                <w:sz w:val="22"/>
                <w:szCs w:val="21"/>
              </w:rPr>
              <w:t>6]</w:t>
            </w:r>
            <w:r>
              <w:rPr>
                <w:sz w:val="22"/>
                <w:szCs w:val="21"/>
              </w:rPr>
              <w:fldChar w:fldCharType="begin" w:fldLock="1"/>
            </w:r>
            <w:r>
              <w:rPr>
                <w:sz w:val="22"/>
                <w:szCs w:val="21"/>
              </w:rPr>
              <w:instrText xml:space="preserve">ADDIN CSL_CITATION {"citationItems":[{"id":"ITEM-1","itemData":{"DOI":"10.1021/jacs.7b07489","ISBN":"1622816234","ISSN":"15205126","PMID":"29022345","abstract":"We demonstrate photocatalytic hydrogen evolution using COF photosensitizers with molecular proton reduction catalysts for the first time. With azine-linked N2-COF photosensitizer, chloro(pyridine)cobaloxime co-catalyst, and TEOA donor, H2 evolution rate of 782 μmol h-1 g-1 and TON of 54.4 has been obtained in a water/acetonitrile mixture. PXRD, solid-state spectroscopy, EM analysis, and quantum-chemical calculations suggest an outer sphere electron transfer from the COF to the co-catalyst which subsequently follows a monometallic pathway of H2 generation from the CoIII-hydride and/or CoII-hydride species.","author":[{"dropping-particle":"","family":"Banerjee","given":"Tanmay","non-dropping-particle":"","parse-names":false,"suffix":""},{"dropping-particle":"","family":"Haase","given":"Frederik","non-dropping-particle":"","parse-names":false,"suffix":""},{"dropping-particle":"","family":"Savasci","given":"Gökcen","non-dropping-particle":"","parse-names":false,"suffix":""},{"dropping-particle":"","family":"Gottschling","given":"Kerstin","non-dropping-particle":"","parse-names":false,"suffix":""},{"dropping-particle":"","family":"Ochsenfeld","given":"Christian","non-dropping-particle":"","parse-names":false,"suffix":""},{"dropping-particle":"V.","family":"Lotsch","given":"Bettina","non-dropping-particle":"","parse-names":false,"suffix":""}],"container-title":"Journal of the American Chemical Society","id":"ITEM-1","issue":"45","issued":{"date-parts":[["2017"]]},"page":"16228-16234","title":"Single-Site Photocatalytic H2 Evolution from Covalent Organic Frameworks with Molecular Cobaloxime Co-Catalysts","type":"article-journal","volume":"139"},"uris":["http://www.mendeley.com/documents/?uuid=a4ebcbe4-c95c-4de1-9b9c-002646dab560"]}],"mendeley":{"formattedCitation":"&lt;sup&gt;6&lt;/sup&gt;","plainTextFormattedCitation":"6","previouslyFormattedCitation":"&lt;sup&gt;6&lt;/sup&gt;"},"properties":{"noteIndex":0},"schema":"https://github.com/citation-style-language/schema/raw/master/csl-citation.json"}</w:instrText>
            </w:r>
            <w:r>
              <w:rPr>
                <w:sz w:val="22"/>
                <w:szCs w:val="21"/>
              </w:rPr>
              <w:fldChar w:fldCharType="separate"/>
            </w:r>
            <w:r>
              <w:rPr>
                <w:sz w:val="22"/>
                <w:szCs w:val="21"/>
                <w:vertAlign w:val="superscript"/>
              </w:rPr>
              <w:t>6</w:t>
            </w:r>
            <w:r>
              <w:rPr>
                <w:sz w:val="22"/>
                <w:szCs w:val="21"/>
              </w:rPr>
              <w:fldChar w:fldCharType="end"/>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229" w:type="dxa"/>
          </w:tcPr>
          <w:p>
            <w:pPr>
              <w:ind w:right="240"/>
              <w:rPr>
                <w:b/>
                <w:bCs/>
                <w:sz w:val="22"/>
                <w:szCs w:val="21"/>
              </w:rPr>
            </w:pPr>
            <w:r>
              <w:rPr>
                <w:rFonts w:hint="eastAsia"/>
                <w:b/>
                <w:bCs/>
                <w:sz w:val="22"/>
                <w:szCs w:val="21"/>
              </w:rPr>
              <w:t>N</w:t>
            </w:r>
            <w:r>
              <w:rPr>
                <w:b/>
                <w:bCs/>
                <w:sz w:val="22"/>
                <w:szCs w:val="21"/>
                <w:vertAlign w:val="subscript"/>
              </w:rPr>
              <w:t>1</w:t>
            </w:r>
            <w:r>
              <w:rPr>
                <w:b/>
                <w:bCs/>
                <w:sz w:val="22"/>
                <w:szCs w:val="21"/>
              </w:rPr>
              <w:t>-COF</w:t>
            </w:r>
          </w:p>
        </w:tc>
        <w:tc>
          <w:tcPr>
            <w:tcW w:w="1181" w:type="dxa"/>
          </w:tcPr>
          <w:p>
            <w:pPr>
              <w:ind w:right="240"/>
              <w:rPr>
                <w:sz w:val="22"/>
                <w:szCs w:val="21"/>
              </w:rPr>
            </w:pPr>
            <w:r>
              <w:rPr>
                <w:rFonts w:hint="eastAsia"/>
                <w:sz w:val="22"/>
                <w:szCs w:val="21"/>
              </w:rPr>
              <w:t>C</w:t>
            </w:r>
            <w:r>
              <w:rPr>
                <w:sz w:val="22"/>
                <w:szCs w:val="21"/>
              </w:rPr>
              <w:t>o-1</w:t>
            </w:r>
          </w:p>
        </w:tc>
        <w:tc>
          <w:tcPr>
            <w:tcW w:w="1133" w:type="dxa"/>
          </w:tcPr>
          <w:p>
            <w:pPr>
              <w:ind w:right="240"/>
              <w:rPr>
                <w:sz w:val="22"/>
                <w:szCs w:val="21"/>
              </w:rPr>
            </w:pPr>
            <w:r>
              <w:rPr>
                <w:rFonts w:hint="eastAsia"/>
                <w:sz w:val="22"/>
                <w:szCs w:val="21"/>
              </w:rPr>
              <w:t>T</w:t>
            </w:r>
            <w:r>
              <w:rPr>
                <w:sz w:val="22"/>
                <w:szCs w:val="21"/>
              </w:rPr>
              <w:t>EOA</w:t>
            </w:r>
          </w:p>
        </w:tc>
        <w:tc>
          <w:tcPr>
            <w:tcW w:w="1441" w:type="dxa"/>
          </w:tcPr>
          <w:p>
            <w:pPr>
              <w:ind w:right="240"/>
              <w:rPr>
                <w:sz w:val="22"/>
                <w:szCs w:val="21"/>
              </w:rPr>
            </w:pPr>
            <w:r>
              <w:rPr>
                <w:sz w:val="22"/>
                <w:szCs w:val="21"/>
              </w:rPr>
              <w:t>CAN/H</w:t>
            </w:r>
            <w:r>
              <w:rPr>
                <w:sz w:val="22"/>
                <w:szCs w:val="21"/>
                <w:vertAlign w:val="subscript"/>
              </w:rPr>
              <w:t>2</w:t>
            </w:r>
            <w:r>
              <w:rPr>
                <w:sz w:val="22"/>
                <w:szCs w:val="21"/>
              </w:rPr>
              <w:t>O</w:t>
            </w:r>
          </w:p>
        </w:tc>
        <w:tc>
          <w:tcPr>
            <w:tcW w:w="1375" w:type="dxa"/>
          </w:tcPr>
          <w:p>
            <w:pPr>
              <w:ind w:right="240"/>
              <w:rPr>
                <w:sz w:val="22"/>
                <w:szCs w:val="21"/>
              </w:rPr>
            </w:pPr>
            <w:r>
              <w:rPr>
                <w:rFonts w:hint="eastAsia"/>
                <w:sz w:val="22"/>
                <w:szCs w:val="21"/>
              </w:rPr>
              <w:t>A</w:t>
            </w:r>
            <w:r>
              <w:rPr>
                <w:sz w:val="22"/>
                <w:szCs w:val="21"/>
              </w:rPr>
              <w:t>M 1.5</w:t>
            </w:r>
          </w:p>
        </w:tc>
        <w:tc>
          <w:tcPr>
            <w:tcW w:w="1007" w:type="dxa"/>
          </w:tcPr>
          <w:p>
            <w:pPr>
              <w:ind w:right="240"/>
              <w:rPr>
                <w:sz w:val="22"/>
                <w:szCs w:val="21"/>
              </w:rPr>
            </w:pPr>
            <w:r>
              <w:rPr>
                <w:rFonts w:hint="eastAsia"/>
                <w:sz w:val="22"/>
                <w:szCs w:val="21"/>
              </w:rPr>
              <w:t>1</w:t>
            </w:r>
            <w:r>
              <w:rPr>
                <w:sz w:val="22"/>
                <w:szCs w:val="21"/>
              </w:rPr>
              <w:t>00</w:t>
            </w:r>
          </w:p>
        </w:tc>
        <w:tc>
          <w:tcPr>
            <w:tcW w:w="940" w:type="dxa"/>
          </w:tcPr>
          <w:p>
            <w:pPr>
              <w:ind w:right="240"/>
              <w:rPr>
                <w:sz w:val="22"/>
                <w:szCs w:val="21"/>
              </w:rPr>
            </w:pPr>
            <w:r>
              <w:rPr>
                <w:rFonts w:hint="eastAsia"/>
                <w:sz w:val="22"/>
                <w:szCs w:val="21"/>
              </w:rPr>
              <w:t>[</w:t>
            </w:r>
            <w:r>
              <w:rPr>
                <w:sz w:val="22"/>
                <w:szCs w:val="21"/>
              </w:rPr>
              <w:t>6]</w:t>
            </w:r>
            <w:r>
              <w:rPr>
                <w:sz w:val="22"/>
                <w:szCs w:val="21"/>
              </w:rPr>
              <w:fldChar w:fldCharType="begin" w:fldLock="1"/>
            </w:r>
            <w:r>
              <w:rPr>
                <w:sz w:val="22"/>
                <w:szCs w:val="21"/>
              </w:rPr>
              <w:instrText xml:space="preserve">ADDIN CSL_CITATION {"citationItems":[{"id":"ITEM-1","itemData":{"DOI":"10.1021/jacs.7b07489","ISBN":"1622816234","ISSN":"15205126","PMID":"29022345","abstract":"We demonstrate photocatalytic hydrogen evolution using COF photosensitizers with molecular proton reduction catalysts for the first time. With azine-linked N2-COF photosensitizer, chloro(pyridine)cobaloxime co-catalyst, and TEOA donor, H2 evolution rate of 782 μmol h-1 g-1 and TON of 54.4 has been obtained in a water/acetonitrile mixture. PXRD, solid-state spectroscopy, EM analysis, and quantum-chemical calculations suggest an outer sphere electron transfer from the COF to the co-catalyst which subsequently follows a monometallic pathway of H2 generation from the CoIII-hydride and/or CoII-hydride species.","author":[{"dropping-particle":"","family":"Banerjee","given":"Tanmay","non-dropping-particle":"","parse-names":false,"suffix":""},{"dropping-particle":"","family":"Haase","given":"Frederik","non-dropping-particle":"","parse-names":false,"suffix":""},{"dropping-particle":"","family":"Savasci","given":"Gökcen","non-dropping-particle":"","parse-names":false,"suffix":""},{"dropping-particle":"","family":"Gottschling","given":"Kerstin","non-dropping-particle":"","parse-names":false,"suffix":""},{"dropping-particle":"","family":"Ochsenfeld","given":"Christian","non-dropping-particle":"","parse-names":false,"suffix":""},{"dropping-particle":"V.","family":"Lotsch","given":"Bettina","non-dropping-particle":"","parse-names":false,"suffix":""}],"container-title":"Journal of the American Chemical Society","id":"ITEM-1","issue":"45","issued":{"date-parts":[["2017"]]},"page":"16228-16234","title":"Single-Site Photocatalytic H2 Evolution from Covalent Organic Frameworks with Molecular Cobaloxime Co-Catalysts","type":"article-journal","volume":"139"},"uris":["http://www.mendeley.com/documents/?uuid=a4ebcbe4-c95c-4de1-9b9c-002646dab560"]}],"mendeley":{"formattedCitation":"&lt;sup&gt;6&lt;/sup&gt;","plainTextFormattedCitation":"6","previouslyFormattedCitation":"&lt;sup&gt;6&lt;/sup&gt;"},"properties":{"noteIndex":0},"schema":"https://github.com/citation-style-language/schema/raw/master/csl-citation.json"}</w:instrText>
            </w:r>
            <w:r>
              <w:rPr>
                <w:sz w:val="22"/>
                <w:szCs w:val="21"/>
              </w:rPr>
              <w:fldChar w:fldCharType="separate"/>
            </w:r>
            <w:r>
              <w:rPr>
                <w:sz w:val="22"/>
                <w:szCs w:val="21"/>
                <w:vertAlign w:val="superscript"/>
              </w:rPr>
              <w:t>6</w:t>
            </w:r>
            <w:r>
              <w:rPr>
                <w:sz w:val="22"/>
                <w:szCs w:val="21"/>
              </w:rPr>
              <w:fldChar w:fldCharType="end"/>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229" w:type="dxa"/>
          </w:tcPr>
          <w:p>
            <w:pPr>
              <w:ind w:right="240"/>
              <w:rPr>
                <w:b/>
                <w:bCs/>
                <w:sz w:val="22"/>
                <w:szCs w:val="21"/>
              </w:rPr>
            </w:pPr>
            <w:r>
              <w:rPr>
                <w:rFonts w:hint="eastAsia"/>
                <w:b/>
                <w:bCs/>
                <w:sz w:val="22"/>
                <w:szCs w:val="21"/>
              </w:rPr>
              <w:t>P</w:t>
            </w:r>
            <w:r>
              <w:rPr>
                <w:b/>
                <w:bCs/>
                <w:sz w:val="22"/>
                <w:szCs w:val="21"/>
              </w:rPr>
              <w:t>TP-COF</w:t>
            </w:r>
          </w:p>
        </w:tc>
        <w:tc>
          <w:tcPr>
            <w:tcW w:w="1181" w:type="dxa"/>
          </w:tcPr>
          <w:p>
            <w:pPr>
              <w:ind w:right="240"/>
              <w:rPr>
                <w:sz w:val="22"/>
                <w:szCs w:val="21"/>
              </w:rPr>
            </w:pPr>
            <w:r>
              <w:rPr>
                <w:rFonts w:hint="eastAsia"/>
                <w:sz w:val="22"/>
                <w:szCs w:val="21"/>
              </w:rPr>
              <w:t>P</w:t>
            </w:r>
            <w:r>
              <w:rPr>
                <w:sz w:val="22"/>
                <w:szCs w:val="21"/>
              </w:rPr>
              <w:t>t</w:t>
            </w:r>
          </w:p>
        </w:tc>
        <w:tc>
          <w:tcPr>
            <w:tcW w:w="1133" w:type="dxa"/>
          </w:tcPr>
          <w:p>
            <w:pPr>
              <w:ind w:right="240"/>
              <w:rPr>
                <w:sz w:val="22"/>
                <w:szCs w:val="21"/>
              </w:rPr>
            </w:pPr>
            <w:r>
              <w:rPr>
                <w:rFonts w:hint="eastAsia"/>
                <w:sz w:val="22"/>
                <w:szCs w:val="21"/>
              </w:rPr>
              <w:t>T</w:t>
            </w:r>
            <w:r>
              <w:rPr>
                <w:sz w:val="22"/>
                <w:szCs w:val="21"/>
              </w:rPr>
              <w:t>EOA</w:t>
            </w:r>
          </w:p>
        </w:tc>
        <w:tc>
          <w:tcPr>
            <w:tcW w:w="1441" w:type="dxa"/>
          </w:tcPr>
          <w:p>
            <w:pPr>
              <w:ind w:right="240"/>
              <w:rPr>
                <w:sz w:val="22"/>
                <w:szCs w:val="21"/>
              </w:rPr>
            </w:pPr>
            <w:r>
              <w:rPr>
                <w:rFonts w:hint="eastAsia"/>
                <w:sz w:val="22"/>
                <w:szCs w:val="21"/>
              </w:rPr>
              <w:t>P</w:t>
            </w:r>
            <w:r>
              <w:rPr>
                <w:sz w:val="22"/>
                <w:szCs w:val="21"/>
              </w:rPr>
              <w:t>BS Buffer</w:t>
            </w:r>
          </w:p>
        </w:tc>
        <w:tc>
          <w:tcPr>
            <w:tcW w:w="1375" w:type="dxa"/>
          </w:tcPr>
          <w:p>
            <w:pPr>
              <w:ind w:right="240"/>
              <w:rPr>
                <w:sz w:val="22"/>
                <w:szCs w:val="21"/>
              </w:rPr>
            </w:pPr>
            <w:r>
              <w:rPr>
                <w:rFonts w:hint="eastAsia"/>
                <w:sz w:val="22"/>
                <w:szCs w:val="21"/>
              </w:rPr>
              <w:t>A</w:t>
            </w:r>
            <w:r>
              <w:rPr>
                <w:sz w:val="22"/>
                <w:szCs w:val="21"/>
              </w:rPr>
              <w:t>M 1.5</w:t>
            </w:r>
          </w:p>
        </w:tc>
        <w:tc>
          <w:tcPr>
            <w:tcW w:w="1007" w:type="dxa"/>
          </w:tcPr>
          <w:p>
            <w:pPr>
              <w:ind w:right="240"/>
              <w:rPr>
                <w:sz w:val="22"/>
                <w:szCs w:val="21"/>
              </w:rPr>
            </w:pPr>
            <w:r>
              <w:rPr>
                <w:rFonts w:hint="eastAsia"/>
                <w:sz w:val="22"/>
                <w:szCs w:val="21"/>
              </w:rPr>
              <w:t>8</w:t>
            </w:r>
            <w:r>
              <w:rPr>
                <w:sz w:val="22"/>
                <w:szCs w:val="21"/>
              </w:rPr>
              <w:t>3.83</w:t>
            </w:r>
          </w:p>
        </w:tc>
        <w:tc>
          <w:tcPr>
            <w:tcW w:w="940" w:type="dxa"/>
          </w:tcPr>
          <w:p>
            <w:pPr>
              <w:ind w:right="240"/>
              <w:rPr>
                <w:sz w:val="22"/>
                <w:szCs w:val="21"/>
              </w:rPr>
            </w:pPr>
            <w:r>
              <w:rPr>
                <w:rFonts w:hint="eastAsia"/>
                <w:sz w:val="22"/>
                <w:szCs w:val="21"/>
              </w:rPr>
              <w:t>[</w:t>
            </w:r>
            <w:r>
              <w:rPr>
                <w:sz w:val="22"/>
                <w:szCs w:val="21"/>
              </w:rPr>
              <w:t>7]</w:t>
            </w:r>
            <w:r>
              <w:rPr>
                <w:sz w:val="22"/>
                <w:szCs w:val="21"/>
              </w:rPr>
              <w:fldChar w:fldCharType="begin" w:fldLock="1"/>
            </w:r>
            <w:r>
              <w:rPr>
                <w:sz w:val="22"/>
                <w:szCs w:val="21"/>
              </w:rPr>
              <w:instrText xml:space="preserve">ADDIN CSL_CITATION {"citationItems":[{"id":"ITEM-1","itemData":{"DOI":"10.1039/c7fd00051k","ISSN":"13645498","PMID":"28613332","abstract":"Organic solids such as covalent organic frameworks (COFs), porous polymers and carbon nitrides have garnered attention as a new generation of photocatalysts that offer tunability of their optoelectronic properties both at the molecular level and at the nanoscale. Owing to their inherent porosity and well-ordered nanoscale architectures, COFs are an especially attractive platform for the rational design of new photocatalysts for light-induced hydrogen evolution. In this report, our previous design strategy of altering the nitrogen content in an azine-linked COF platform to tune photocatalytic hydrogen evolution is extended to a pyridine-based photocatalytically active framework, where nitrogen substitution in the peripheral aryl rings reverses the polarity compared to the previously studied materials. We demonstrate how simple changes at the molecular level translate into significant differences in atomic-scale structure, nanoscale morphology and optoelectronic properties, which greatly affect the photocatalytic hydrogen evolution efficiency. In an effort to understand the complex interplay of such factors, we carve out the conformational flexibility of the PTP-COF precursor and the vertical radical anion stabilization energy as important descriptors to understand the performance of the COF photocatalysts.","author":[{"dropping-particle":"","family":"Haase","given":"Frederik","non-dropping-particle":"","parse-names":false,"suffix":""},{"dropping-particle":"","family":"Banerjee","given":"Tanmay","non-dropping-particle":"","parse-names":false,"suffix":""},{"dropping-particle":"","family":"Savasci","given":"Gökcen","non-dropping-particle":"","parse-names":false,"suffix":""},{"dropping-particle":"","family":"Ochsenfeld","given":"Christian","non-dropping-particle":"","parse-names":false,"suffix":""},{"dropping-particle":"V.","family":"Lotsch","given":"Bettina","non-dropping-particle":"","parse-names":false,"suffix":""}],"container-title":"Faraday Discussions","id":"ITEM-1","issued":{"date-parts":[["2017"]]},"page":"247-264","title":"Structure-property-activity relationships in a pyridine containing azine-linked covalent organic framework for photocatalytic hydrogen evolution","type":"article-journal","volume":"201"},"uris":["http://www.mendeley.com/documents/?uuid=946716cc-a809-4eb6-acd4-493359fffd98"]}],"mendeley":{"formattedCitation":"&lt;sup&gt;7&lt;/sup&gt;","plainTextFormattedCitation":"7","previouslyFormattedCitation":"&lt;sup&gt;7&lt;/sup&gt;"},"properties":{"noteIndex":0},"schema":"https://github.com/citation-style-language/schema/raw/master/csl-citation.json"}</w:instrText>
            </w:r>
            <w:r>
              <w:rPr>
                <w:sz w:val="22"/>
                <w:szCs w:val="21"/>
              </w:rPr>
              <w:fldChar w:fldCharType="separate"/>
            </w:r>
            <w:r>
              <w:rPr>
                <w:sz w:val="22"/>
                <w:szCs w:val="21"/>
                <w:vertAlign w:val="superscript"/>
              </w:rPr>
              <w:t>7</w:t>
            </w:r>
            <w:r>
              <w:rPr>
                <w:sz w:val="22"/>
                <w:szCs w:val="21"/>
              </w:rPr>
              <w:fldChar w:fldCharType="end"/>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229" w:type="dxa"/>
            <w:tcBorders>
              <w:bottom w:val="single" w:color="auto" w:sz="12" w:space="0"/>
            </w:tcBorders>
          </w:tcPr>
          <w:p>
            <w:pPr>
              <w:ind w:right="240"/>
              <w:rPr>
                <w:b/>
                <w:bCs/>
                <w:sz w:val="22"/>
                <w:szCs w:val="21"/>
              </w:rPr>
            </w:pPr>
            <w:r>
              <w:rPr>
                <w:rFonts w:hint="eastAsia"/>
                <w:b/>
                <w:bCs/>
                <w:sz w:val="22"/>
                <w:szCs w:val="21"/>
              </w:rPr>
              <w:t>C</w:t>
            </w:r>
            <w:r>
              <w:rPr>
                <w:b/>
                <w:bCs/>
                <w:sz w:val="22"/>
                <w:szCs w:val="21"/>
              </w:rPr>
              <w:t>OF-42</w:t>
            </w:r>
          </w:p>
        </w:tc>
        <w:tc>
          <w:tcPr>
            <w:tcW w:w="1181" w:type="dxa"/>
            <w:tcBorders>
              <w:bottom w:val="single" w:color="auto" w:sz="12" w:space="0"/>
            </w:tcBorders>
          </w:tcPr>
          <w:p>
            <w:pPr>
              <w:ind w:right="240"/>
              <w:rPr>
                <w:sz w:val="22"/>
                <w:szCs w:val="21"/>
              </w:rPr>
            </w:pPr>
            <w:r>
              <w:rPr>
                <w:rFonts w:hint="eastAsia"/>
                <w:sz w:val="22"/>
                <w:szCs w:val="21"/>
              </w:rPr>
              <w:t>C</w:t>
            </w:r>
            <w:r>
              <w:rPr>
                <w:sz w:val="22"/>
                <w:szCs w:val="21"/>
              </w:rPr>
              <w:t>o-1</w:t>
            </w:r>
          </w:p>
        </w:tc>
        <w:tc>
          <w:tcPr>
            <w:tcW w:w="1133" w:type="dxa"/>
            <w:tcBorders>
              <w:bottom w:val="single" w:color="auto" w:sz="12" w:space="0"/>
            </w:tcBorders>
          </w:tcPr>
          <w:p>
            <w:pPr>
              <w:ind w:right="240"/>
              <w:rPr>
                <w:sz w:val="22"/>
                <w:szCs w:val="21"/>
              </w:rPr>
            </w:pPr>
            <w:r>
              <w:rPr>
                <w:rFonts w:hint="eastAsia"/>
                <w:sz w:val="22"/>
                <w:szCs w:val="21"/>
              </w:rPr>
              <w:t>T</w:t>
            </w:r>
            <w:r>
              <w:rPr>
                <w:sz w:val="22"/>
                <w:szCs w:val="21"/>
              </w:rPr>
              <w:t>EOA</w:t>
            </w:r>
          </w:p>
        </w:tc>
        <w:tc>
          <w:tcPr>
            <w:tcW w:w="1441" w:type="dxa"/>
            <w:tcBorders>
              <w:bottom w:val="single" w:color="auto" w:sz="12" w:space="0"/>
            </w:tcBorders>
          </w:tcPr>
          <w:p>
            <w:pPr>
              <w:ind w:right="240"/>
              <w:rPr>
                <w:sz w:val="22"/>
                <w:szCs w:val="21"/>
              </w:rPr>
            </w:pPr>
            <w:r>
              <w:rPr>
                <w:sz w:val="22"/>
                <w:szCs w:val="21"/>
              </w:rPr>
              <w:t>CAN/H</w:t>
            </w:r>
            <w:r>
              <w:rPr>
                <w:sz w:val="22"/>
                <w:szCs w:val="21"/>
                <w:vertAlign w:val="subscript"/>
              </w:rPr>
              <w:t>2</w:t>
            </w:r>
            <w:r>
              <w:rPr>
                <w:sz w:val="22"/>
                <w:szCs w:val="21"/>
              </w:rPr>
              <w:t>O</w:t>
            </w:r>
          </w:p>
        </w:tc>
        <w:tc>
          <w:tcPr>
            <w:tcW w:w="1375" w:type="dxa"/>
            <w:tcBorders>
              <w:bottom w:val="single" w:color="auto" w:sz="12" w:space="0"/>
            </w:tcBorders>
          </w:tcPr>
          <w:p>
            <w:pPr>
              <w:ind w:right="240"/>
              <w:rPr>
                <w:sz w:val="22"/>
                <w:szCs w:val="21"/>
              </w:rPr>
            </w:pPr>
            <w:r>
              <w:rPr>
                <w:rFonts w:hint="eastAsia"/>
                <w:sz w:val="22"/>
                <w:szCs w:val="21"/>
              </w:rPr>
              <w:t>A</w:t>
            </w:r>
            <w:r>
              <w:rPr>
                <w:sz w:val="22"/>
                <w:szCs w:val="21"/>
              </w:rPr>
              <w:t>M 1.5</w:t>
            </w:r>
          </w:p>
        </w:tc>
        <w:tc>
          <w:tcPr>
            <w:tcW w:w="1007" w:type="dxa"/>
            <w:tcBorders>
              <w:bottom w:val="single" w:color="auto" w:sz="12" w:space="0"/>
            </w:tcBorders>
          </w:tcPr>
          <w:p>
            <w:pPr>
              <w:ind w:right="240"/>
              <w:rPr>
                <w:sz w:val="22"/>
                <w:szCs w:val="21"/>
              </w:rPr>
            </w:pPr>
            <w:r>
              <w:rPr>
                <w:rFonts w:hint="eastAsia"/>
                <w:sz w:val="22"/>
                <w:szCs w:val="21"/>
              </w:rPr>
              <w:t>2</w:t>
            </w:r>
            <w:r>
              <w:rPr>
                <w:sz w:val="22"/>
                <w:szCs w:val="21"/>
              </w:rPr>
              <w:t>33</w:t>
            </w:r>
          </w:p>
        </w:tc>
        <w:tc>
          <w:tcPr>
            <w:tcW w:w="940" w:type="dxa"/>
            <w:tcBorders>
              <w:bottom w:val="single" w:color="auto" w:sz="12" w:space="0"/>
            </w:tcBorders>
          </w:tcPr>
          <w:p>
            <w:pPr>
              <w:ind w:right="240"/>
              <w:rPr>
                <w:sz w:val="22"/>
                <w:szCs w:val="21"/>
              </w:rPr>
            </w:pPr>
            <w:r>
              <w:rPr>
                <w:rFonts w:hint="eastAsia"/>
                <w:sz w:val="22"/>
                <w:szCs w:val="21"/>
              </w:rPr>
              <w:t>[</w:t>
            </w:r>
            <w:r>
              <w:rPr>
                <w:sz w:val="22"/>
                <w:szCs w:val="21"/>
              </w:rPr>
              <w:t>6]</w:t>
            </w:r>
            <w:r>
              <w:rPr>
                <w:sz w:val="22"/>
                <w:szCs w:val="21"/>
              </w:rPr>
              <w:fldChar w:fldCharType="begin" w:fldLock="1"/>
            </w:r>
            <w:r>
              <w:rPr>
                <w:sz w:val="22"/>
                <w:szCs w:val="21"/>
              </w:rPr>
              <w:instrText xml:space="preserve">ADDIN CSL_CITATION {"citationItems":[{"id":"ITEM-1","itemData":{"DOI":"10.1021/jacs.7b07489","ISBN":"1622816234","ISSN":"15205126","PMID":"29022345","abstract":"We demonstrate photocatalytic hydrogen evolution using COF photosensitizers with molecular proton reduction catalysts for the first time. With azine-linked N2-COF photosensitizer, chloro(pyridine)cobaloxime co-catalyst, and TEOA donor, H2 evolution rate of 782 μmol h-1 g-1 and TON of 54.4 has been obtained in a water/acetonitrile mixture. PXRD, solid-state spectroscopy, EM analysis, and quantum-chemical calculations suggest an outer sphere electron transfer from the COF to the co-catalyst which subsequently follows a monometallic pathway of H2 generation from the CoIII-hydride and/or CoII-hydride species.","author":[{"dropping-particle":"","family":"Banerjee","given":"Tanmay","non-dropping-particle":"","parse-names":false,"suffix":""},{"dropping-particle":"","family":"Haase","given":"Frederik","non-dropping-particle":"","parse-names":false,"suffix":""},{"dropping-particle":"","family":"Savasci","given":"Gökcen","non-dropping-particle":"","parse-names":false,"suffix":""},{"dropping-particle":"","family":"Gottschling","given":"Kerstin","non-dropping-particle":"","parse-names":false,"suffix":""},{"dropping-particle":"","family":"Ochsenfeld","given":"Christian","non-dropping-particle":"","parse-names":false,"suffix":""},{"dropping-particle":"V.","family":"Lotsch","given":"Bettina","non-dropping-particle":"","parse-names":false,"suffix":""}],"container-title":"Journal of the American Chemical Society","id":"ITEM-1","issue":"45","issued":{"date-parts":[["2017"]]},"page":"16228-16234","title":"Single-Site Photocatalytic H2 Evolution from Covalent Organic Frameworks with Molecular Cobaloxime Co-Catalysts","type":"article-journal","volume":"139"},"uris":["http://www.mendeley.com/documents/?uuid=a4ebcbe4-c95c-4de1-9b9c-002646dab560"]}],"mendeley":{"formattedCitation":"&lt;sup&gt;6&lt;/sup&gt;","plainTextFormattedCitation":"6","previouslyFormattedCitation":"&lt;sup&gt;6&lt;/sup&gt;"},"properties":{"noteIndex":0},"schema":"https://github.com/citation-style-language/schema/raw/master/csl-citation.json"}</w:instrText>
            </w:r>
            <w:r>
              <w:rPr>
                <w:sz w:val="22"/>
                <w:szCs w:val="21"/>
              </w:rPr>
              <w:fldChar w:fldCharType="separate"/>
            </w:r>
            <w:r>
              <w:rPr>
                <w:sz w:val="22"/>
                <w:szCs w:val="21"/>
                <w:vertAlign w:val="superscript"/>
              </w:rPr>
              <w:t>6</w:t>
            </w:r>
            <w:r>
              <w:rPr>
                <w:sz w:val="22"/>
                <w:szCs w:val="21"/>
              </w:rPr>
              <w:fldChar w:fldCharType="end"/>
            </w:r>
          </w:p>
        </w:tc>
      </w:tr>
    </w:tbl>
    <w:p>
      <w:pPr>
        <w:widowControl/>
        <w:spacing w:before="124" w:beforeLines="40"/>
        <w:rPr>
          <w:rFonts w:cs="Times New Roman"/>
          <w:b/>
          <w:bCs/>
          <w:kern w:val="0"/>
          <w:szCs w:val="21"/>
        </w:rPr>
      </w:pPr>
      <w:r>
        <w:rPr>
          <w:rFonts w:cs="Times New Roman"/>
          <w:b/>
          <w:bCs/>
          <w:kern w:val="0"/>
          <w:szCs w:val="21"/>
        </w:rPr>
        <w:t xml:space="preserve">3. </w:t>
      </w:r>
      <w:r>
        <w:rPr>
          <w:rFonts w:hint="eastAsia" w:cs="Times New Roman"/>
          <w:b/>
          <w:bCs/>
          <w:kern w:val="0"/>
          <w:szCs w:val="21"/>
        </w:rPr>
        <w:t>S</w:t>
      </w:r>
      <w:r>
        <w:rPr>
          <w:rFonts w:cs="Times New Roman"/>
          <w:b/>
          <w:bCs/>
          <w:kern w:val="0"/>
          <w:szCs w:val="21"/>
        </w:rPr>
        <w:t>upplementary Tables</w:t>
      </w:r>
    </w:p>
    <w:p>
      <w:pPr>
        <w:rPr>
          <w:rFonts w:cs="Times New Roman"/>
          <w:szCs w:val="24"/>
        </w:rPr>
      </w:pPr>
    </w:p>
    <w:p>
      <w:pPr>
        <w:jc w:val="center"/>
        <w:rPr>
          <w:b/>
          <w:bCs/>
        </w:rPr>
      </w:pPr>
      <w:r>
        <w:rPr>
          <w:b/>
          <w:bCs/>
        </w:rPr>
        <w:t xml:space="preserve">Table. </w:t>
      </w:r>
      <w:r>
        <w:rPr>
          <w:rFonts w:hint="eastAsia"/>
          <w:b/>
          <w:bCs/>
        </w:rPr>
        <w:t>S</w:t>
      </w:r>
      <w:r>
        <w:rPr>
          <w:b/>
          <w:bCs/>
        </w:rPr>
        <w:t xml:space="preserve">1 </w:t>
      </w:r>
      <w:r>
        <w:t>Comparison of hydrogen production by several COF</w:t>
      </w:r>
      <w:r>
        <w:rPr>
          <w:rFonts w:hint="eastAsia"/>
        </w:rPr>
        <w:t>s</w:t>
      </w:r>
      <w:r>
        <w:t xml:space="preserve"> based photocatalysts</w:t>
      </w:r>
    </w:p>
    <w:p>
      <w:pPr>
        <w:jc w:val="left"/>
        <w:rPr>
          <w:rFonts w:cs="Times New Roman"/>
          <w:b/>
          <w:bCs/>
          <w:szCs w:val="24"/>
        </w:rPr>
      </w:pPr>
    </w:p>
    <w:p>
      <w:pPr>
        <w:jc w:val="left"/>
        <w:rPr>
          <w:rFonts w:cs="Times New Roman"/>
          <w:b/>
          <w:bCs/>
          <w:szCs w:val="24"/>
        </w:rPr>
      </w:pPr>
    </w:p>
    <w:p>
      <w:pPr>
        <w:jc w:val="left"/>
        <w:rPr>
          <w:rFonts w:cs="Times New Roman"/>
          <w:b/>
          <w:bCs/>
          <w:szCs w:val="24"/>
        </w:rPr>
      </w:pPr>
    </w:p>
    <w:p>
      <w:pPr>
        <w:widowControl/>
        <w:spacing w:line="240" w:lineRule="auto"/>
        <w:jc w:val="left"/>
        <w:rPr>
          <w:rFonts w:cs="Times New Roman"/>
          <w:b/>
          <w:bCs/>
          <w:szCs w:val="24"/>
        </w:rPr>
      </w:pPr>
      <w:r>
        <w:rPr>
          <w:rFonts w:cs="Times New Roman"/>
          <w:b/>
          <w:bCs/>
          <w:szCs w:val="24"/>
        </w:rPr>
        <w:br w:type="page"/>
      </w:r>
    </w:p>
    <w:p>
      <w:pPr>
        <w:jc w:val="left"/>
        <w:rPr>
          <w:rFonts w:cs="Times New Roman"/>
          <w:b/>
          <w:bCs/>
          <w:szCs w:val="24"/>
        </w:rPr>
      </w:pPr>
    </w:p>
    <w:p>
      <w:pPr>
        <w:jc w:val="left"/>
        <w:rPr>
          <w:rFonts w:cs="Times New Roman"/>
          <w:b/>
          <w:bCs/>
          <w:szCs w:val="24"/>
        </w:rPr>
      </w:pPr>
      <w:r>
        <w:rPr>
          <w:rFonts w:cs="Times New Roman"/>
          <w:b/>
          <w:bCs/>
          <w:szCs w:val="24"/>
        </w:rPr>
        <w:t>References</w:t>
      </w:r>
    </w:p>
    <w:p>
      <w:pPr>
        <w:autoSpaceDE w:val="0"/>
        <w:autoSpaceDN w:val="0"/>
        <w:adjustRightInd w:val="0"/>
        <w:ind w:left="640" w:hanging="640"/>
        <w:jc w:val="left"/>
        <w:rPr>
          <w:rFonts w:cs="Times New Roman"/>
          <w:kern w:val="0"/>
          <w:szCs w:val="24"/>
        </w:rPr>
      </w:pPr>
      <w:r>
        <w:rPr>
          <w:rFonts w:cs="Times New Roman"/>
          <w:szCs w:val="24"/>
        </w:rPr>
        <w:fldChar w:fldCharType="begin" w:fldLock="1"/>
      </w:r>
      <w:r>
        <w:rPr>
          <w:rFonts w:cs="Times New Roman"/>
          <w:szCs w:val="24"/>
        </w:rPr>
        <w:instrText xml:space="preserve">ADDIN Mendeley Bibliography CSL_BIBLIOGRAPHY </w:instrText>
      </w:r>
      <w:r>
        <w:rPr>
          <w:rFonts w:cs="Times New Roman"/>
          <w:szCs w:val="24"/>
        </w:rPr>
        <w:fldChar w:fldCharType="separate"/>
      </w:r>
      <w:r>
        <w:rPr>
          <w:rFonts w:cs="Times New Roman"/>
          <w:kern w:val="0"/>
          <w:szCs w:val="24"/>
        </w:rPr>
        <w:t>1.</w:t>
      </w:r>
      <w:r>
        <w:rPr>
          <w:rFonts w:cs="Times New Roman"/>
          <w:kern w:val="0"/>
          <w:szCs w:val="24"/>
        </w:rPr>
        <w:tab/>
      </w:r>
      <w:r>
        <w:rPr>
          <w:rFonts w:cs="Times New Roman"/>
          <w:kern w:val="0"/>
          <w:szCs w:val="24"/>
        </w:rPr>
        <w:t xml:space="preserve">Perdew, J. P., Burke, K. &amp; Ernzerhof, M. Generalized gradient approximation made simple. </w:t>
      </w:r>
      <w:r>
        <w:rPr>
          <w:rFonts w:cs="Times New Roman"/>
          <w:i/>
          <w:iCs/>
          <w:kern w:val="0"/>
          <w:szCs w:val="24"/>
        </w:rPr>
        <w:t>Phys. Rev. Lett.</w:t>
      </w:r>
      <w:r>
        <w:rPr>
          <w:rFonts w:cs="Times New Roman"/>
          <w:kern w:val="0"/>
          <w:szCs w:val="24"/>
        </w:rPr>
        <w:t xml:space="preserve"> </w:t>
      </w:r>
      <w:r>
        <w:rPr>
          <w:rFonts w:cs="Times New Roman"/>
          <w:b/>
          <w:bCs/>
          <w:kern w:val="0"/>
          <w:szCs w:val="24"/>
        </w:rPr>
        <w:t>77</w:t>
      </w:r>
      <w:r>
        <w:rPr>
          <w:rFonts w:cs="Times New Roman"/>
          <w:kern w:val="0"/>
          <w:szCs w:val="24"/>
        </w:rPr>
        <w:t>, 3865–3868 (1996).</w:t>
      </w:r>
    </w:p>
    <w:p>
      <w:pPr>
        <w:autoSpaceDE w:val="0"/>
        <w:autoSpaceDN w:val="0"/>
        <w:adjustRightInd w:val="0"/>
        <w:ind w:left="640" w:hanging="640"/>
        <w:jc w:val="left"/>
        <w:rPr>
          <w:rFonts w:cs="Times New Roman"/>
          <w:kern w:val="0"/>
          <w:szCs w:val="24"/>
        </w:rPr>
      </w:pPr>
      <w:r>
        <w:rPr>
          <w:rFonts w:cs="Times New Roman"/>
          <w:kern w:val="0"/>
          <w:szCs w:val="24"/>
        </w:rPr>
        <w:t>2.</w:t>
      </w:r>
      <w:r>
        <w:rPr>
          <w:rFonts w:cs="Times New Roman"/>
          <w:kern w:val="0"/>
          <w:szCs w:val="24"/>
        </w:rPr>
        <w:tab/>
      </w:r>
      <w:r>
        <w:rPr>
          <w:rFonts w:cs="Times New Roman"/>
          <w:kern w:val="0"/>
          <w:szCs w:val="24"/>
        </w:rPr>
        <w:t xml:space="preserve">Joubert, D. From ultrasoft pseudopotentials to the projector augmented-wave method. </w:t>
      </w:r>
      <w:r>
        <w:rPr>
          <w:rFonts w:cs="Times New Roman"/>
          <w:i/>
          <w:iCs/>
          <w:kern w:val="0"/>
          <w:szCs w:val="24"/>
        </w:rPr>
        <w:t>Phys. Rev. B - Condens. Matter Mater. Phys.</w:t>
      </w:r>
      <w:r>
        <w:rPr>
          <w:rFonts w:cs="Times New Roman"/>
          <w:kern w:val="0"/>
          <w:szCs w:val="24"/>
        </w:rPr>
        <w:t xml:space="preserve"> </w:t>
      </w:r>
      <w:r>
        <w:rPr>
          <w:rFonts w:cs="Times New Roman"/>
          <w:b/>
          <w:bCs/>
          <w:kern w:val="0"/>
          <w:szCs w:val="24"/>
        </w:rPr>
        <w:t>59</w:t>
      </w:r>
      <w:r>
        <w:rPr>
          <w:rFonts w:cs="Times New Roman"/>
          <w:kern w:val="0"/>
          <w:szCs w:val="24"/>
        </w:rPr>
        <w:t>, 1758–1775 (1999).</w:t>
      </w:r>
    </w:p>
    <w:p>
      <w:pPr>
        <w:autoSpaceDE w:val="0"/>
        <w:autoSpaceDN w:val="0"/>
        <w:adjustRightInd w:val="0"/>
        <w:ind w:left="640" w:hanging="640"/>
        <w:jc w:val="left"/>
        <w:rPr>
          <w:rFonts w:cs="Times New Roman"/>
          <w:kern w:val="0"/>
          <w:szCs w:val="24"/>
        </w:rPr>
      </w:pPr>
      <w:r>
        <w:rPr>
          <w:rFonts w:cs="Times New Roman"/>
          <w:kern w:val="0"/>
          <w:szCs w:val="24"/>
        </w:rPr>
        <w:t>3.</w:t>
      </w:r>
      <w:r>
        <w:rPr>
          <w:rFonts w:cs="Times New Roman"/>
          <w:kern w:val="0"/>
          <w:szCs w:val="24"/>
        </w:rPr>
        <w:tab/>
      </w:r>
      <w:r>
        <w:rPr>
          <w:rFonts w:cs="Times New Roman"/>
          <w:kern w:val="0"/>
          <w:szCs w:val="24"/>
        </w:rPr>
        <w:t xml:space="preserve">Grimme, S., Antony, J., Ehrlich, S. &amp; Krieg, H. A consistent and accurate ab initio parametrization of density functional dispersion correction (DFT-D) for the 94 elements H-Pu. </w:t>
      </w:r>
      <w:r>
        <w:rPr>
          <w:rFonts w:cs="Times New Roman"/>
          <w:i/>
          <w:iCs/>
          <w:kern w:val="0"/>
          <w:szCs w:val="24"/>
        </w:rPr>
        <w:t>J. Chem. Phys.</w:t>
      </w:r>
      <w:r>
        <w:rPr>
          <w:rFonts w:cs="Times New Roman"/>
          <w:kern w:val="0"/>
          <w:szCs w:val="24"/>
        </w:rPr>
        <w:t xml:space="preserve"> </w:t>
      </w:r>
      <w:r>
        <w:rPr>
          <w:rFonts w:cs="Times New Roman"/>
          <w:b/>
          <w:bCs/>
          <w:kern w:val="0"/>
          <w:szCs w:val="24"/>
        </w:rPr>
        <w:t>132</w:t>
      </w:r>
      <w:r>
        <w:rPr>
          <w:rFonts w:cs="Times New Roman"/>
          <w:kern w:val="0"/>
          <w:szCs w:val="24"/>
        </w:rPr>
        <w:t>, (2010).</w:t>
      </w:r>
    </w:p>
    <w:p>
      <w:pPr>
        <w:autoSpaceDE w:val="0"/>
        <w:autoSpaceDN w:val="0"/>
        <w:adjustRightInd w:val="0"/>
        <w:ind w:left="640" w:hanging="640"/>
        <w:jc w:val="left"/>
        <w:rPr>
          <w:rFonts w:cs="Times New Roman"/>
          <w:kern w:val="0"/>
          <w:szCs w:val="24"/>
        </w:rPr>
      </w:pPr>
      <w:r>
        <w:rPr>
          <w:rFonts w:cs="Times New Roman"/>
          <w:kern w:val="0"/>
          <w:szCs w:val="24"/>
        </w:rPr>
        <w:t>4.</w:t>
      </w:r>
      <w:r>
        <w:rPr>
          <w:rFonts w:cs="Times New Roman"/>
          <w:kern w:val="0"/>
          <w:szCs w:val="24"/>
        </w:rPr>
        <w:tab/>
      </w:r>
      <w:r>
        <w:rPr>
          <w:rFonts w:cs="Times New Roman"/>
          <w:kern w:val="0"/>
          <w:szCs w:val="24"/>
        </w:rPr>
        <w:t xml:space="preserve">Hu, K. </w:t>
      </w:r>
      <w:r>
        <w:rPr>
          <w:rFonts w:cs="Times New Roman"/>
          <w:i/>
          <w:iCs/>
          <w:kern w:val="0"/>
          <w:szCs w:val="24"/>
        </w:rPr>
        <w:t>et al.</w:t>
      </w:r>
      <w:r>
        <w:rPr>
          <w:rFonts w:cs="Times New Roman"/>
          <w:kern w:val="0"/>
          <w:szCs w:val="24"/>
        </w:rPr>
        <w:t xml:space="preserve"> Special points for Brillonin-zone integrations*. </w:t>
      </w:r>
      <w:r>
        <w:rPr>
          <w:rFonts w:cs="Times New Roman"/>
          <w:i/>
          <w:iCs/>
          <w:kern w:val="0"/>
          <w:szCs w:val="24"/>
        </w:rPr>
        <w:t>Phys. Rev. B</w:t>
      </w:r>
      <w:r>
        <w:rPr>
          <w:rFonts w:cs="Times New Roman"/>
          <w:kern w:val="0"/>
          <w:szCs w:val="24"/>
        </w:rPr>
        <w:t xml:space="preserve"> </w:t>
      </w:r>
      <w:r>
        <w:rPr>
          <w:rFonts w:cs="Times New Roman"/>
          <w:b/>
          <w:bCs/>
          <w:kern w:val="0"/>
          <w:szCs w:val="24"/>
        </w:rPr>
        <w:t>13</w:t>
      </w:r>
      <w:r>
        <w:rPr>
          <w:rFonts w:cs="Times New Roman"/>
          <w:kern w:val="0"/>
          <w:szCs w:val="24"/>
        </w:rPr>
        <w:t>, 5188–5192 (1976).</w:t>
      </w:r>
    </w:p>
    <w:p>
      <w:pPr>
        <w:autoSpaceDE w:val="0"/>
        <w:autoSpaceDN w:val="0"/>
        <w:adjustRightInd w:val="0"/>
        <w:ind w:left="640" w:hanging="640"/>
        <w:jc w:val="left"/>
        <w:rPr>
          <w:rFonts w:cs="Times New Roman"/>
          <w:kern w:val="0"/>
          <w:szCs w:val="24"/>
        </w:rPr>
      </w:pPr>
      <w:r>
        <w:rPr>
          <w:rFonts w:cs="Times New Roman"/>
          <w:kern w:val="0"/>
          <w:szCs w:val="24"/>
        </w:rPr>
        <w:t>5.</w:t>
      </w:r>
      <w:r>
        <w:rPr>
          <w:rFonts w:cs="Times New Roman"/>
          <w:kern w:val="0"/>
          <w:szCs w:val="24"/>
        </w:rPr>
        <w:tab/>
      </w:r>
      <w:r>
        <w:rPr>
          <w:rFonts w:cs="Times New Roman"/>
          <w:kern w:val="0"/>
          <w:szCs w:val="24"/>
        </w:rPr>
        <w:t xml:space="preserve">Pachfule, P. </w:t>
      </w:r>
      <w:r>
        <w:rPr>
          <w:rFonts w:cs="Times New Roman"/>
          <w:i/>
          <w:iCs/>
          <w:kern w:val="0"/>
          <w:szCs w:val="24"/>
        </w:rPr>
        <w:t>et al.</w:t>
      </w:r>
      <w:r>
        <w:rPr>
          <w:rFonts w:cs="Times New Roman"/>
          <w:kern w:val="0"/>
          <w:szCs w:val="24"/>
        </w:rPr>
        <w:t xml:space="preserve"> Diacetylene Functionalized Covalent Organic Framework (COF) for Photocatalytic Hydrogen Generation. </w:t>
      </w:r>
      <w:r>
        <w:rPr>
          <w:rFonts w:cs="Times New Roman"/>
          <w:i/>
          <w:iCs/>
          <w:kern w:val="0"/>
          <w:szCs w:val="24"/>
        </w:rPr>
        <w:t>J. Am. Chem. Soc.</w:t>
      </w:r>
      <w:r>
        <w:rPr>
          <w:rFonts w:cs="Times New Roman"/>
          <w:kern w:val="0"/>
          <w:szCs w:val="24"/>
        </w:rPr>
        <w:t xml:space="preserve"> </w:t>
      </w:r>
      <w:r>
        <w:rPr>
          <w:rFonts w:cs="Times New Roman"/>
          <w:b/>
          <w:bCs/>
          <w:kern w:val="0"/>
          <w:szCs w:val="24"/>
        </w:rPr>
        <w:t>140</w:t>
      </w:r>
      <w:r>
        <w:rPr>
          <w:rFonts w:cs="Times New Roman"/>
          <w:kern w:val="0"/>
          <w:szCs w:val="24"/>
        </w:rPr>
        <w:t>, 1423–1427 (2018).</w:t>
      </w:r>
    </w:p>
    <w:p>
      <w:pPr>
        <w:autoSpaceDE w:val="0"/>
        <w:autoSpaceDN w:val="0"/>
        <w:adjustRightInd w:val="0"/>
        <w:ind w:left="640" w:hanging="640"/>
        <w:jc w:val="left"/>
        <w:rPr>
          <w:rFonts w:cs="Times New Roman"/>
          <w:kern w:val="0"/>
          <w:szCs w:val="24"/>
        </w:rPr>
      </w:pPr>
      <w:r>
        <w:rPr>
          <w:rFonts w:cs="Times New Roman"/>
          <w:kern w:val="0"/>
          <w:szCs w:val="24"/>
        </w:rPr>
        <w:t>6.</w:t>
      </w:r>
      <w:r>
        <w:rPr>
          <w:rFonts w:cs="Times New Roman"/>
          <w:kern w:val="0"/>
          <w:szCs w:val="24"/>
        </w:rPr>
        <w:tab/>
      </w:r>
      <w:r>
        <w:rPr>
          <w:rFonts w:cs="Times New Roman"/>
          <w:kern w:val="0"/>
          <w:szCs w:val="24"/>
        </w:rPr>
        <w:t xml:space="preserve">Banerjee, T. </w:t>
      </w:r>
      <w:r>
        <w:rPr>
          <w:rFonts w:cs="Times New Roman"/>
          <w:i/>
          <w:iCs/>
          <w:kern w:val="0"/>
          <w:szCs w:val="24"/>
        </w:rPr>
        <w:t>et al.</w:t>
      </w:r>
      <w:r>
        <w:rPr>
          <w:rFonts w:cs="Times New Roman"/>
          <w:kern w:val="0"/>
          <w:szCs w:val="24"/>
        </w:rPr>
        <w:t xml:space="preserve"> Single-Site Photocatalytic H</w:t>
      </w:r>
      <w:r>
        <w:rPr>
          <w:rFonts w:cs="Times New Roman"/>
          <w:kern w:val="0"/>
          <w:szCs w:val="24"/>
          <w:vertAlign w:val="subscript"/>
        </w:rPr>
        <w:t>2</w:t>
      </w:r>
      <w:r>
        <w:rPr>
          <w:rFonts w:cs="Times New Roman"/>
          <w:kern w:val="0"/>
          <w:szCs w:val="24"/>
        </w:rPr>
        <w:t xml:space="preserve"> Evolution from Covalent Organic Frameworks with Molecular Cobaloxime Co-Catalysts. </w:t>
      </w:r>
      <w:r>
        <w:rPr>
          <w:rFonts w:cs="Times New Roman"/>
          <w:i/>
          <w:iCs/>
          <w:kern w:val="0"/>
          <w:szCs w:val="24"/>
        </w:rPr>
        <w:t>J. Am. Chem. Soc.</w:t>
      </w:r>
      <w:r>
        <w:rPr>
          <w:rFonts w:cs="Times New Roman"/>
          <w:kern w:val="0"/>
          <w:szCs w:val="24"/>
        </w:rPr>
        <w:t xml:space="preserve"> </w:t>
      </w:r>
      <w:r>
        <w:rPr>
          <w:rFonts w:cs="Times New Roman"/>
          <w:b/>
          <w:bCs/>
          <w:kern w:val="0"/>
          <w:szCs w:val="24"/>
        </w:rPr>
        <w:t>139</w:t>
      </w:r>
      <w:r>
        <w:rPr>
          <w:rFonts w:cs="Times New Roman"/>
          <w:kern w:val="0"/>
          <w:szCs w:val="24"/>
        </w:rPr>
        <w:t>, 16228–16234 (2017).</w:t>
      </w:r>
    </w:p>
    <w:p>
      <w:pPr>
        <w:autoSpaceDE w:val="0"/>
        <w:autoSpaceDN w:val="0"/>
        <w:adjustRightInd w:val="0"/>
        <w:ind w:left="640" w:hanging="640"/>
        <w:jc w:val="left"/>
        <w:rPr>
          <w:rFonts w:cs="Times New Roman"/>
        </w:rPr>
      </w:pPr>
      <w:r>
        <w:rPr>
          <w:rFonts w:cs="Times New Roman"/>
          <w:kern w:val="0"/>
          <w:szCs w:val="24"/>
        </w:rPr>
        <w:t>7.</w:t>
      </w:r>
      <w:r>
        <w:rPr>
          <w:rFonts w:cs="Times New Roman"/>
          <w:kern w:val="0"/>
          <w:szCs w:val="24"/>
        </w:rPr>
        <w:tab/>
      </w:r>
      <w:r>
        <w:rPr>
          <w:rFonts w:cs="Times New Roman"/>
          <w:kern w:val="0"/>
          <w:szCs w:val="24"/>
        </w:rPr>
        <w:t xml:space="preserve">Haase, F., Banerjee, T., Savasci, G., Ochsenfeld, C. &amp; Lotsch, B. V. Structure-property-activity relationships in a pyridine containing azine-linked covalent organic framework for photocatalytic hydrogen evolution. </w:t>
      </w:r>
      <w:r>
        <w:rPr>
          <w:rFonts w:cs="Times New Roman"/>
          <w:i/>
          <w:iCs/>
          <w:kern w:val="0"/>
          <w:szCs w:val="24"/>
        </w:rPr>
        <w:t>Faraday Discuss.</w:t>
      </w:r>
      <w:r>
        <w:rPr>
          <w:rFonts w:cs="Times New Roman"/>
          <w:kern w:val="0"/>
          <w:szCs w:val="24"/>
        </w:rPr>
        <w:t xml:space="preserve"> </w:t>
      </w:r>
      <w:r>
        <w:rPr>
          <w:rFonts w:cs="Times New Roman"/>
          <w:b/>
          <w:bCs/>
          <w:kern w:val="0"/>
          <w:szCs w:val="24"/>
        </w:rPr>
        <w:t>201</w:t>
      </w:r>
      <w:r>
        <w:rPr>
          <w:rFonts w:cs="Times New Roman"/>
          <w:kern w:val="0"/>
          <w:szCs w:val="24"/>
        </w:rPr>
        <w:t>, 247–264 (2017).</w:t>
      </w:r>
    </w:p>
    <w:p>
      <w:pPr>
        <w:rPr>
          <w:rFonts w:cs="Times New Roman"/>
          <w:szCs w:val="24"/>
        </w:rPr>
      </w:pPr>
      <w:r>
        <w:rPr>
          <w:rFonts w:cs="Times New Roman"/>
          <w:szCs w:val="24"/>
        </w:rPr>
        <w:fldChar w:fldCharType="end"/>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3ZDBiYWI5ZjJjZGI5ZDdmMDA4YjAzYjhlNmY4Y2YifQ=="/>
  </w:docVars>
  <w:rsids>
    <w:rsidRoot w:val="005326D2"/>
    <w:rsid w:val="00003CA8"/>
    <w:rsid w:val="000051C0"/>
    <w:rsid w:val="0001206F"/>
    <w:rsid w:val="00054724"/>
    <w:rsid w:val="00064CCE"/>
    <w:rsid w:val="0006732A"/>
    <w:rsid w:val="000727D8"/>
    <w:rsid w:val="000A308A"/>
    <w:rsid w:val="000A3D31"/>
    <w:rsid w:val="000A4819"/>
    <w:rsid w:val="000A5B4A"/>
    <w:rsid w:val="000C093E"/>
    <w:rsid w:val="000F3BD5"/>
    <w:rsid w:val="000F7A40"/>
    <w:rsid w:val="00111965"/>
    <w:rsid w:val="00113385"/>
    <w:rsid w:val="001A15CE"/>
    <w:rsid w:val="001C1783"/>
    <w:rsid w:val="001E3DD9"/>
    <w:rsid w:val="001F2231"/>
    <w:rsid w:val="00227D04"/>
    <w:rsid w:val="0023300E"/>
    <w:rsid w:val="00242C03"/>
    <w:rsid w:val="002522C5"/>
    <w:rsid w:val="00285AC7"/>
    <w:rsid w:val="002A2823"/>
    <w:rsid w:val="002A7D0C"/>
    <w:rsid w:val="002E606F"/>
    <w:rsid w:val="003140E8"/>
    <w:rsid w:val="00325B51"/>
    <w:rsid w:val="00354F47"/>
    <w:rsid w:val="003A4DC7"/>
    <w:rsid w:val="003A6E4C"/>
    <w:rsid w:val="003B599E"/>
    <w:rsid w:val="003E743C"/>
    <w:rsid w:val="00404991"/>
    <w:rsid w:val="0040538F"/>
    <w:rsid w:val="00412767"/>
    <w:rsid w:val="00425E53"/>
    <w:rsid w:val="0045261B"/>
    <w:rsid w:val="00457E1E"/>
    <w:rsid w:val="00493B3C"/>
    <w:rsid w:val="004C0987"/>
    <w:rsid w:val="004C0ADC"/>
    <w:rsid w:val="004C0C0E"/>
    <w:rsid w:val="004D0CCD"/>
    <w:rsid w:val="004F10BF"/>
    <w:rsid w:val="004F5616"/>
    <w:rsid w:val="005154D5"/>
    <w:rsid w:val="0051770D"/>
    <w:rsid w:val="00527239"/>
    <w:rsid w:val="005326D2"/>
    <w:rsid w:val="00550712"/>
    <w:rsid w:val="00552945"/>
    <w:rsid w:val="00577DCE"/>
    <w:rsid w:val="00591C87"/>
    <w:rsid w:val="005C44B6"/>
    <w:rsid w:val="006204D6"/>
    <w:rsid w:val="00633E2D"/>
    <w:rsid w:val="00662A58"/>
    <w:rsid w:val="006717E6"/>
    <w:rsid w:val="006779B2"/>
    <w:rsid w:val="006A38D2"/>
    <w:rsid w:val="006A3BAB"/>
    <w:rsid w:val="006A5B9B"/>
    <w:rsid w:val="006C7E30"/>
    <w:rsid w:val="006E03E3"/>
    <w:rsid w:val="0073431D"/>
    <w:rsid w:val="00781E52"/>
    <w:rsid w:val="007B7295"/>
    <w:rsid w:val="007D023C"/>
    <w:rsid w:val="007E3DFA"/>
    <w:rsid w:val="007F3BCF"/>
    <w:rsid w:val="007F5342"/>
    <w:rsid w:val="00841ECB"/>
    <w:rsid w:val="008624AE"/>
    <w:rsid w:val="0086561D"/>
    <w:rsid w:val="0089412C"/>
    <w:rsid w:val="00903152"/>
    <w:rsid w:val="00940530"/>
    <w:rsid w:val="00953B30"/>
    <w:rsid w:val="00974D18"/>
    <w:rsid w:val="009762C1"/>
    <w:rsid w:val="0099019F"/>
    <w:rsid w:val="009B0EEE"/>
    <w:rsid w:val="009C4A83"/>
    <w:rsid w:val="009D4D65"/>
    <w:rsid w:val="009E211E"/>
    <w:rsid w:val="009E331D"/>
    <w:rsid w:val="009E534D"/>
    <w:rsid w:val="00A0046A"/>
    <w:rsid w:val="00A005B6"/>
    <w:rsid w:val="00A10362"/>
    <w:rsid w:val="00A22EE9"/>
    <w:rsid w:val="00A2703C"/>
    <w:rsid w:val="00A4163E"/>
    <w:rsid w:val="00A507C3"/>
    <w:rsid w:val="00AC4B89"/>
    <w:rsid w:val="00AF185F"/>
    <w:rsid w:val="00AF7A6B"/>
    <w:rsid w:val="00B20E99"/>
    <w:rsid w:val="00B21CD6"/>
    <w:rsid w:val="00B231CA"/>
    <w:rsid w:val="00B37E54"/>
    <w:rsid w:val="00B530CD"/>
    <w:rsid w:val="00B53EF5"/>
    <w:rsid w:val="00B57F65"/>
    <w:rsid w:val="00B61E28"/>
    <w:rsid w:val="00B741D9"/>
    <w:rsid w:val="00B76E72"/>
    <w:rsid w:val="00B86705"/>
    <w:rsid w:val="00BE79C9"/>
    <w:rsid w:val="00C0224D"/>
    <w:rsid w:val="00C039BB"/>
    <w:rsid w:val="00C1527D"/>
    <w:rsid w:val="00C32538"/>
    <w:rsid w:val="00C872BC"/>
    <w:rsid w:val="00CD77B3"/>
    <w:rsid w:val="00CE31BA"/>
    <w:rsid w:val="00D13D9B"/>
    <w:rsid w:val="00D40264"/>
    <w:rsid w:val="00D60D33"/>
    <w:rsid w:val="00D7258E"/>
    <w:rsid w:val="00D81348"/>
    <w:rsid w:val="00DA2615"/>
    <w:rsid w:val="00DB4E0B"/>
    <w:rsid w:val="00DC4FB5"/>
    <w:rsid w:val="00DC5FE5"/>
    <w:rsid w:val="00E26324"/>
    <w:rsid w:val="00E33DDF"/>
    <w:rsid w:val="00E50AB3"/>
    <w:rsid w:val="00E860B6"/>
    <w:rsid w:val="00E921BC"/>
    <w:rsid w:val="00E96466"/>
    <w:rsid w:val="00EB3719"/>
    <w:rsid w:val="00EB5623"/>
    <w:rsid w:val="00ED4DD0"/>
    <w:rsid w:val="00ED7262"/>
    <w:rsid w:val="00EE3BAC"/>
    <w:rsid w:val="00EF30B7"/>
    <w:rsid w:val="00F111EB"/>
    <w:rsid w:val="00F1543C"/>
    <w:rsid w:val="00F30AD0"/>
    <w:rsid w:val="00F35263"/>
    <w:rsid w:val="00F57111"/>
    <w:rsid w:val="00F70BD4"/>
    <w:rsid w:val="00F91FFF"/>
    <w:rsid w:val="00FB7137"/>
    <w:rsid w:val="00FC1281"/>
    <w:rsid w:val="00FD67CB"/>
    <w:rsid w:val="00FE096F"/>
    <w:rsid w:val="00FE6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15"/>
    <w:qFormat/>
    <w:uiPriority w:val="9"/>
    <w:pPr>
      <w:keepNext/>
      <w:keepLines/>
      <w:spacing w:line="240" w:lineRule="auto"/>
      <w:outlineLvl w:val="0"/>
    </w:pPr>
    <w:rPr>
      <w:bCs/>
      <w:kern w:val="44"/>
      <w:sz w:val="28"/>
      <w:szCs w:val="44"/>
    </w:rPr>
  </w:style>
  <w:style w:type="paragraph" w:styleId="3">
    <w:name w:val="heading 2"/>
    <w:basedOn w:val="1"/>
    <w:next w:val="1"/>
    <w:link w:val="14"/>
    <w:unhideWhenUsed/>
    <w:qFormat/>
    <w:uiPriority w:val="9"/>
    <w:pPr>
      <w:keepNext/>
      <w:keepLines/>
      <w:spacing w:line="240" w:lineRule="auto"/>
      <w:outlineLvl w:val="1"/>
    </w:pPr>
    <w:rPr>
      <w:rFonts w:eastAsia="黑体" w:cstheme="majorBidi"/>
      <w:bCs/>
      <w:sz w:val="21"/>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4"/>
    <w:unhideWhenUsed/>
    <w:qFormat/>
    <w:uiPriority w:val="99"/>
    <w:pPr>
      <w:jc w:val="left"/>
    </w:pPr>
  </w:style>
  <w:style w:type="paragraph" w:styleId="5">
    <w:name w:val="Body Text"/>
    <w:basedOn w:val="1"/>
    <w:link w:val="21"/>
    <w:qFormat/>
    <w:uiPriority w:val="1"/>
    <w:pPr>
      <w:autoSpaceDE w:val="0"/>
      <w:autoSpaceDN w:val="0"/>
      <w:adjustRightInd w:val="0"/>
      <w:spacing w:line="258" w:lineRule="exact"/>
      <w:ind w:left="39"/>
      <w:jc w:val="left"/>
    </w:pPr>
    <w:rPr>
      <w:rFonts w:cs="Times New Roman" w:eastAsiaTheme="minorEastAsia"/>
      <w:kern w:val="0"/>
      <w:szCs w:val="24"/>
    </w:rPr>
  </w:style>
  <w:style w:type="paragraph" w:styleId="6">
    <w:name w:val="footer"/>
    <w:basedOn w:val="1"/>
    <w:link w:val="19"/>
    <w:unhideWhenUsed/>
    <w:uiPriority w:val="99"/>
    <w:pPr>
      <w:tabs>
        <w:tab w:val="center" w:pos="4153"/>
        <w:tab w:val="right" w:pos="8306"/>
      </w:tabs>
      <w:snapToGrid w:val="0"/>
      <w:spacing w:line="240" w:lineRule="auto"/>
      <w:jc w:val="left"/>
    </w:pPr>
    <w:rPr>
      <w:sz w:val="18"/>
      <w:szCs w:val="18"/>
    </w:rPr>
  </w:style>
  <w:style w:type="paragraph" w:styleId="7">
    <w:name w:val="header"/>
    <w:basedOn w:val="1"/>
    <w:link w:val="18"/>
    <w:unhideWhenUsed/>
    <w:uiPriority w:val="99"/>
    <w:pPr>
      <w:tabs>
        <w:tab w:val="center" w:pos="4153"/>
        <w:tab w:val="right" w:pos="8306"/>
      </w:tabs>
      <w:snapToGrid w:val="0"/>
      <w:spacing w:line="240" w:lineRule="auto"/>
      <w:jc w:val="center"/>
    </w:pPr>
    <w:rPr>
      <w:sz w:val="18"/>
      <w:szCs w:val="18"/>
    </w:rPr>
  </w:style>
  <w:style w:type="paragraph" w:styleId="8">
    <w:name w:val="annotation subject"/>
    <w:basedOn w:val="4"/>
    <w:next w:val="4"/>
    <w:link w:val="25"/>
    <w:semiHidden/>
    <w:unhideWhenUsed/>
    <w:uiPriority w:val="99"/>
    <w:rPr>
      <w:b/>
      <w:bCs/>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标题 2 字符"/>
    <w:basedOn w:val="11"/>
    <w:link w:val="3"/>
    <w:qFormat/>
    <w:uiPriority w:val="9"/>
    <w:rPr>
      <w:rFonts w:ascii="Times New Roman" w:hAnsi="Times New Roman" w:eastAsia="黑体" w:cstheme="majorBidi"/>
      <w:bCs/>
      <w:szCs w:val="32"/>
    </w:rPr>
  </w:style>
  <w:style w:type="character" w:customStyle="1" w:styleId="15">
    <w:name w:val="标题 1 字符"/>
    <w:basedOn w:val="11"/>
    <w:link w:val="2"/>
    <w:uiPriority w:val="9"/>
    <w:rPr>
      <w:rFonts w:ascii="Times New Roman" w:hAnsi="Times New Roman" w:eastAsia="宋体"/>
      <w:bCs/>
      <w:kern w:val="44"/>
      <w:sz w:val="28"/>
      <w:szCs w:val="44"/>
    </w:rPr>
  </w:style>
  <w:style w:type="paragraph" w:styleId="16">
    <w:name w:val="Quote"/>
    <w:basedOn w:val="1"/>
    <w:next w:val="1"/>
    <w:link w:val="17"/>
    <w:qFormat/>
    <w:uiPriority w:val="29"/>
    <w:pPr>
      <w:spacing w:before="200" w:after="160"/>
      <w:ind w:left="864" w:right="864"/>
      <w:jc w:val="center"/>
    </w:pPr>
    <w:rPr>
      <w:iCs/>
      <w:color w:val="404040" w:themeColor="text1" w:themeTint="BF"/>
      <w:sz w:val="21"/>
      <w14:textFill>
        <w14:solidFill>
          <w14:schemeClr w14:val="tx1">
            <w14:lumMod w14:val="75000"/>
            <w14:lumOff w14:val="25000"/>
          </w14:schemeClr>
        </w14:solidFill>
      </w14:textFill>
    </w:rPr>
  </w:style>
  <w:style w:type="character" w:customStyle="1" w:styleId="17">
    <w:name w:val="引用 字符"/>
    <w:basedOn w:val="11"/>
    <w:link w:val="16"/>
    <w:uiPriority w:val="29"/>
    <w:rPr>
      <w:rFonts w:ascii="Times New Roman" w:hAnsi="Times New Roman" w:eastAsia="宋体"/>
      <w:iCs/>
      <w:color w:val="404040" w:themeColor="text1" w:themeTint="BF"/>
      <w14:textFill>
        <w14:solidFill>
          <w14:schemeClr w14:val="tx1">
            <w14:lumMod w14:val="75000"/>
            <w14:lumOff w14:val="25000"/>
          </w14:schemeClr>
        </w14:solidFill>
      </w14:textFill>
    </w:rPr>
  </w:style>
  <w:style w:type="character" w:customStyle="1" w:styleId="18">
    <w:name w:val="页眉 字符"/>
    <w:basedOn w:val="11"/>
    <w:link w:val="7"/>
    <w:uiPriority w:val="99"/>
    <w:rPr>
      <w:rFonts w:ascii="Times New Roman" w:hAnsi="Times New Roman" w:eastAsia="宋体"/>
      <w:sz w:val="18"/>
      <w:szCs w:val="18"/>
    </w:rPr>
  </w:style>
  <w:style w:type="character" w:customStyle="1" w:styleId="19">
    <w:name w:val="页脚 字符"/>
    <w:basedOn w:val="11"/>
    <w:link w:val="6"/>
    <w:uiPriority w:val="99"/>
    <w:rPr>
      <w:rFonts w:ascii="Times New Roman" w:hAnsi="Times New Roman" w:eastAsia="宋体"/>
      <w:sz w:val="18"/>
      <w:szCs w:val="18"/>
    </w:rPr>
  </w:style>
  <w:style w:type="paragraph" w:customStyle="1" w:styleId="20">
    <w:name w:val="Defaul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character" w:customStyle="1" w:styleId="21">
    <w:name w:val="正文文本 字符"/>
    <w:basedOn w:val="11"/>
    <w:link w:val="5"/>
    <w:uiPriority w:val="1"/>
    <w:rPr>
      <w:rFonts w:ascii="Times New Roman" w:hAnsi="Times New Roman" w:cs="Times New Roman"/>
      <w:kern w:val="0"/>
      <w:sz w:val="24"/>
      <w:szCs w:val="24"/>
    </w:rPr>
  </w:style>
  <w:style w:type="paragraph" w:styleId="22">
    <w:name w:val="List Paragraph"/>
    <w:basedOn w:val="1"/>
    <w:qFormat/>
    <w:uiPriority w:val="34"/>
    <w:pPr>
      <w:spacing w:line="240" w:lineRule="auto"/>
      <w:ind w:firstLine="420" w:firstLineChars="200"/>
    </w:pPr>
    <w:rPr>
      <w:rFonts w:asciiTheme="minorHAnsi" w:hAnsiTheme="minorHAnsi" w:eastAsiaTheme="minorEastAsia"/>
      <w:sz w:val="21"/>
    </w:rPr>
  </w:style>
  <w:style w:type="character" w:styleId="23">
    <w:name w:val="Placeholder Text"/>
    <w:basedOn w:val="11"/>
    <w:semiHidden/>
    <w:uiPriority w:val="99"/>
    <w:rPr>
      <w:color w:val="808080"/>
    </w:rPr>
  </w:style>
  <w:style w:type="character" w:customStyle="1" w:styleId="24">
    <w:name w:val="批注文字 字符"/>
    <w:basedOn w:val="11"/>
    <w:link w:val="4"/>
    <w:uiPriority w:val="99"/>
    <w:rPr>
      <w:rFonts w:ascii="Times New Roman" w:hAnsi="Times New Roman" w:eastAsia="宋体"/>
      <w:sz w:val="24"/>
    </w:rPr>
  </w:style>
  <w:style w:type="character" w:customStyle="1" w:styleId="25">
    <w:name w:val="批注主题 字符"/>
    <w:basedOn w:val="24"/>
    <w:link w:val="8"/>
    <w:semiHidden/>
    <w:qFormat/>
    <w:uiPriority w:val="99"/>
    <w:rPr>
      <w:rFonts w:ascii="Times New Roman" w:hAnsi="Times New Roman" w:eastAsia="宋体"/>
      <w:b/>
      <w:bCs/>
      <w:sz w:val="24"/>
    </w:rPr>
  </w:style>
  <w:style w:type="table" w:customStyle="1" w:styleId="26">
    <w:name w:val="Plain Table 2"/>
    <w:basedOn w:val="9"/>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27">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57D9C-A37E-4AE1-96F6-BDA0A62BF0B3}">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4655</Words>
  <Characters>26535</Characters>
  <Lines>221</Lines>
  <Paragraphs>62</Paragraphs>
  <TotalTime>52</TotalTime>
  <ScaleCrop>false</ScaleCrop>
  <LinksUpToDate>false</LinksUpToDate>
  <CharactersWithSpaces>31128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2023-06-28T04:25:00Z</dcterms:created>
  <dc:creator>之实</dc:creator>
  <cp:lastModifiedBy>兔八哥</cp:lastModifiedBy>
  <dcterms:modified xsi:type="dcterms:W3CDTF">2023-06-29T04:33:20Z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http://csl.mendeley.com/styles/660906441/apa-2</vt:lpwstr>
  </property>
  <property fmtid="{D5CDD505-2E9C-101B-9397-08002B2CF9AE}" pid="9" name="Mendeley Recent Style Name 3_1">
    <vt:lpwstr>American Psychological Association 7th edition - 之实 邱</vt:lpwstr>
  </property>
  <property fmtid="{D5CDD505-2E9C-101B-9397-08002B2CF9AE}" pid="10" name="Mendeley Recent Style Id 4_1">
    <vt:lpwstr>http://csl.mendeley.com/styles/660906441/apa</vt:lpwstr>
  </property>
  <property fmtid="{D5CDD505-2E9C-101B-9397-08002B2CF9AE}" pid="11" name="Mendeley Recent Style Name 4_1">
    <vt:lpwstr>American Psychological Association 7th edition - 之实 邱</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http://www.zotero.org/styles/nature-communications</vt:lpwstr>
  </property>
  <property fmtid="{D5CDD505-2E9C-101B-9397-08002B2CF9AE}" pid="15" name="Mendeley Recent Style Name 6_1">
    <vt:lpwstr>Nature Communications</vt:lpwstr>
  </property>
  <property fmtid="{D5CDD505-2E9C-101B-9397-08002B2CF9AE}" pid="16" name="Mendeley Recent Style Id 7_1">
    <vt:lpwstr>https://csl.mendeley.com/styles/660906441/american-medical-association</vt:lpwstr>
  </property>
  <property fmtid="{D5CDD505-2E9C-101B-9397-08002B2CF9AE}" pid="17" name="Mendeley Recent Style Name 7_1">
    <vt:lpwstr>qiuqiu</vt:lpwstr>
  </property>
  <property fmtid="{D5CDD505-2E9C-101B-9397-08002B2CF9AE}" pid="18" name="Mendeley Recent Style Id 8_1">
    <vt:lpwstr>http://csl.mendeley.com/styles/660906441/american-medical-association</vt:lpwstr>
  </property>
  <property fmtid="{D5CDD505-2E9C-101B-9397-08002B2CF9AE}" pid="19" name="Mendeley Recent Style Name 8_1">
    <vt:lpwstr>qiuqiu - 之实 邱</vt:lpwstr>
  </property>
  <property fmtid="{D5CDD505-2E9C-101B-9397-08002B2CF9AE}" pid="20" name="Mendeley Recent Style Id 9_1">
    <vt:lpwstr>https://csl.mendeley.com/styles/660936191/american-medical-association</vt:lpwstr>
  </property>
  <property fmtid="{D5CDD505-2E9C-101B-9397-08002B2CF9AE}" pid="21" name="Mendeley Recent Style Name 9_1">
    <vt:lpwstr>丽丽10.6</vt:lpwstr>
  </property>
  <property fmtid="{D5CDD505-2E9C-101B-9397-08002B2CF9AE}" pid="22" name="Mendeley Document_1">
    <vt:lpwstr>True</vt:lpwstr>
  </property>
  <property fmtid="{D5CDD505-2E9C-101B-9397-08002B2CF9AE}" pid="23" name="Mendeley Unique User Id_1">
    <vt:lpwstr>7825a73e-348b-3a2c-bf6f-f330d1456d85</vt:lpwstr>
  </property>
  <property fmtid="{D5CDD505-2E9C-101B-9397-08002B2CF9AE}" pid="24" name="Mendeley Citation Style_1">
    <vt:lpwstr>http://www.zotero.org/styles/nature-communications</vt:lpwstr>
  </property>
  <property fmtid="{D5CDD505-2E9C-101B-9397-08002B2CF9AE}" pid="25" name="KSOProductBuildVer">
    <vt:lpwstr>2052-11.1.0.14309</vt:lpwstr>
  </property>
  <property fmtid="{D5CDD505-2E9C-101B-9397-08002B2CF9AE}" pid="26" name="ICV">
    <vt:lpwstr>CBC4500A24A04578B9D879E60D2F02A0_12</vt:lpwstr>
  </property>
</Properties>
</file>