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4.</w:t>
      </w:r>
      <w:r>
        <w:rPr>
          <w:rFonts w:ascii="Times New Roman" w:hAnsi="Times New Roman" w:eastAsia="宋体" w:cs="Times New Roman"/>
          <w:sz w:val="24"/>
          <w:szCs w:val="32"/>
        </w:rPr>
        <w:t xml:space="preserve"> Basic information for the chemical investigation area in Shenyang</w:t>
      </w:r>
    </w:p>
    <w:tbl>
      <w:tblPr>
        <w:tblStyle w:val="3"/>
        <w:tblW w:w="8222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901"/>
        <w:gridCol w:w="901"/>
        <w:gridCol w:w="901"/>
        <w:gridCol w:w="901"/>
        <w:gridCol w:w="901"/>
        <w:gridCol w:w="901"/>
        <w:gridCol w:w="907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09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Survey partition</w:t>
            </w:r>
          </w:p>
        </w:tc>
        <w:tc>
          <w:tcPr>
            <w:tcW w:w="90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90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90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90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90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90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E2</w:t>
            </w:r>
          </w:p>
        </w:tc>
        <w:tc>
          <w:tcPr>
            <w:tcW w:w="907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F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Geological conditions (class)</w:t>
            </w:r>
          </w:p>
        </w:tc>
        <w:tc>
          <w:tcPr>
            <w:tcW w:w="90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Permeability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Aquifer water level (m)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12.5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7.5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13.5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Groundwater runoff (place)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Groundwater recharge (place)</w:t>
            </w:r>
            <w:bookmarkStart w:id="0" w:name="_GoBack"/>
            <w:bookmarkEnd w:id="0"/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Water table elevation (m)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43.25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44.77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43.76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44.86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45.07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43.06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42.74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909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Area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24614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24861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211351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30930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10215</w:t>
            </w:r>
          </w:p>
        </w:tc>
        <w:tc>
          <w:tcPr>
            <w:tcW w:w="901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5567</w:t>
            </w:r>
          </w:p>
        </w:tc>
        <w:tc>
          <w:tcPr>
            <w:tcW w:w="907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41877</w:t>
            </w: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151D068E"/>
    <w:rsid w:val="424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rPr>
      <w:rFonts w:ascii="Tahoma" w:hAnsi="Tahoma" w:cs="Tahoma"/>
      <w:sz w:val="16"/>
      <w:szCs w:val="20"/>
      <w:lang w:val="en-US"/>
    </w:rPr>
  </w:style>
  <w:style w:type="character" w:styleId="5">
    <w:name w:val="annotation reference"/>
    <w:basedOn w:val="4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745</Characters>
  <Lines>6</Lines>
  <Paragraphs>1</Paragraphs>
  <TotalTime>0</TotalTime>
  <ScaleCrop>false</ScaleCrop>
  <LinksUpToDate>false</LinksUpToDate>
  <CharactersWithSpaces>764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2022-09-16T11:56:36Z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