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3.</w:t>
      </w:r>
      <w:r>
        <w:rPr>
          <w:rFonts w:ascii="Times New Roman" w:hAnsi="Times New Roman" w:eastAsia="宋体" w:cs="Times New Roman"/>
          <w:sz w:val="24"/>
          <w:szCs w:val="32"/>
        </w:rPr>
        <w:t xml:space="preserve"> Sample allocation model for groundwater pollution investigation in a chemical plant area in Shenyang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848"/>
        <w:gridCol w:w="3800"/>
        <w:gridCol w:w="105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Target layer</w:t>
            </w: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Factor layer</w:t>
            </w:r>
          </w:p>
        </w:tc>
        <w:tc>
          <w:tcPr>
            <w:tcW w:w="3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Indicator layer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Unit layer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3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Assignment of weights for each module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lithological factors</w:t>
            </w:r>
          </w:p>
        </w:tc>
        <w:tc>
          <w:tcPr>
            <w:tcW w:w="380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Geological conditions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Permeability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Aquifer-related factors</w:t>
            </w: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Aquifer water level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Groundwater recharge and runoff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Groundwater extraction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Water level elevation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pollution sources</w:t>
            </w: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Sewage discharge pits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Chromium slag piles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Leakage from pigment drums, methanol storage tanks, hydrochloric acid storage tanks, and chloroform storage tanks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Industrial production, storage and treatment at plants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Construction waste and cinder piles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Organic pesticides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Potential domestic and industrial pollution sources (1Km area)</w:t>
            </w: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Industrial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Residential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Other influential factors</w:t>
            </w:r>
          </w:p>
        </w:tc>
        <w:tc>
          <w:tcPr>
            <w:tcW w:w="380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Population</w:t>
            </w:r>
          </w:p>
        </w:tc>
        <w:tc>
          <w:tcPr>
            <w:tcW w:w="1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18C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rFonts w:ascii="Tahoma" w:hAnsi="Tahoma" w:cs="Tahoma"/>
      <w:sz w:val="16"/>
      <w:szCs w:val="20"/>
      <w:lang w:val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0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2022-09-16T11:56:11Z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