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6.</w:t>
      </w:r>
      <w:r>
        <w:rPr>
          <w:rFonts w:ascii="Times New Roman" w:hAnsi="Times New Roman" w:eastAsia="宋体" w:cs="Times New Roman"/>
          <w:sz w:val="24"/>
          <w:szCs w:val="32"/>
        </w:rPr>
        <w:t xml:space="preserve"> Factor </w:t>
      </w:r>
      <w:r>
        <w:rPr>
          <w:rFonts w:hint="eastAsia" w:ascii="Times New Roman" w:hAnsi="Times New Roman" w:eastAsia="宋体" w:cs="Times New Roman"/>
          <w:sz w:val="24"/>
          <w:szCs w:val="32"/>
        </w:rPr>
        <w:t>layer</w:t>
      </w:r>
      <w:r>
        <w:rPr>
          <w:rFonts w:ascii="Times New Roman" w:hAnsi="Times New Roman" w:eastAsia="宋体" w:cs="Times New Roman"/>
          <w:sz w:val="24"/>
          <w:szCs w:val="32"/>
        </w:rPr>
        <w:t xml:space="preserve"> judgement matrix </w:t>
      </w:r>
      <w:r>
        <w:rPr>
          <w:rFonts w:hint="eastAsia" w:ascii="Times New Roman" w:hAnsi="Times New Roman" w:eastAsia="宋体" w:cs="Times New Roman"/>
          <w:sz w:val="24"/>
          <w:szCs w:val="32"/>
        </w:rPr>
        <w:t>M</w:t>
      </w:r>
      <w:r>
        <w:rPr>
          <w:rFonts w:ascii="Times New Roman" w:hAnsi="Times New Roman" w:eastAsia="宋体" w:cs="Times New Roman"/>
          <w:sz w:val="24"/>
          <w:szCs w:val="32"/>
        </w:rPr>
        <w:t>1</w:t>
      </w:r>
    </w:p>
    <w:tbl>
      <w:tblPr>
        <w:tblStyle w:val="2"/>
        <w:tblW w:w="8222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066"/>
        <w:gridCol w:w="1187"/>
        <w:gridCol w:w="1760"/>
        <w:gridCol w:w="1121"/>
        <w:gridCol w:w="1357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3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bookmarkStart w:id="0" w:name="_GoBack" w:colFirst="0" w:colLast="5"/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Indicator layer</w:t>
            </w:r>
          </w:p>
        </w:tc>
        <w:tc>
          <w:tcPr>
            <w:tcW w:w="106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Main lithological factors</w:t>
            </w:r>
          </w:p>
        </w:tc>
        <w:tc>
          <w:tcPr>
            <w:tcW w:w="118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Aquifer-related factors</w:t>
            </w:r>
          </w:p>
        </w:tc>
        <w:tc>
          <w:tcPr>
            <w:tcW w:w="17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Potential domestic and industrial pollution sources (1 km area)</w:t>
            </w:r>
          </w:p>
        </w:tc>
        <w:tc>
          <w:tcPr>
            <w:tcW w:w="112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Main pollution sources</w:t>
            </w:r>
          </w:p>
        </w:tc>
        <w:tc>
          <w:tcPr>
            <w:tcW w:w="13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Other impact factors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31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Main lithological factors</w:t>
            </w:r>
          </w:p>
        </w:tc>
        <w:tc>
          <w:tcPr>
            <w:tcW w:w="106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2.7180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0.3679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0.2865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2.7180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Aquifer-related factors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0.3679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0.6064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0.1353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0.6064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Potential domestic and industrial pollution sources (1 km area)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2.7180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1.6490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0.2865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1.6490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Main pollution sources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3.4900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7.3900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3.4900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7.3900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31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Other impact factors</w:t>
            </w:r>
          </w:p>
        </w:tc>
        <w:tc>
          <w:tcPr>
            <w:tcW w:w="106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0.3679</w:t>
            </w:r>
          </w:p>
        </w:tc>
        <w:tc>
          <w:tcPr>
            <w:tcW w:w="118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1.6490</w:t>
            </w:r>
          </w:p>
        </w:tc>
        <w:tc>
          <w:tcPr>
            <w:tcW w:w="17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0.6064</w:t>
            </w:r>
          </w:p>
        </w:tc>
        <w:tc>
          <w:tcPr>
            <w:tcW w:w="112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0.1353</w:t>
            </w:r>
          </w:p>
        </w:tc>
        <w:tc>
          <w:tcPr>
            <w:tcW w:w="135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1.0000</w:t>
            </w:r>
          </w:p>
        </w:tc>
      </w:tr>
      <w:bookmarkEnd w:id="0"/>
    </w:tbl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05A875AD"/>
    <w:rsid w:val="151D068E"/>
    <w:rsid w:val="34D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475</Characters>
  <Lines>6</Lines>
  <Paragraphs>1</Paragraphs>
  <TotalTime>0</TotalTime>
  <ScaleCrop>false</ScaleCrop>
  <LinksUpToDate>false</LinksUpToDate>
  <CharactersWithSpaces>512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2022-09-16T12:07:03Z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