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57C94" w14:textId="77777777" w:rsidR="00647A5B" w:rsidRDefault="000147E7">
      <w:pPr>
        <w:keepNext/>
        <w:spacing w:before="120" w:after="120" w:line="240" w:lineRule="auto"/>
        <w:jc w:val="center"/>
        <w:rPr>
          <w:b/>
          <w:color w:val="000000"/>
          <w:sz w:val="28"/>
          <w:szCs w:val="28"/>
        </w:rPr>
      </w:pPr>
      <w:r>
        <w:rPr>
          <w:b/>
          <w:sz w:val="28"/>
          <w:szCs w:val="28"/>
        </w:rPr>
        <w:t xml:space="preserve">Creation of a Self-Powered, Real-Time Sensor for Therapeutics in Blood: from Protein Engineering to Electronic Integration </w:t>
      </w:r>
    </w:p>
    <w:p w14:paraId="00A921EC" w14:textId="77777777" w:rsidR="00647A5B" w:rsidRDefault="00647A5B">
      <w:pPr>
        <w:keepNext/>
        <w:pBdr>
          <w:top w:val="nil"/>
          <w:left w:val="nil"/>
          <w:bottom w:val="nil"/>
          <w:right w:val="nil"/>
          <w:between w:val="nil"/>
        </w:pBdr>
        <w:spacing w:before="120" w:after="120"/>
        <w:jc w:val="center"/>
        <w:rPr>
          <w:b/>
          <w:color w:val="000000"/>
          <w:sz w:val="28"/>
          <w:szCs w:val="28"/>
        </w:rPr>
      </w:pPr>
    </w:p>
    <w:p w14:paraId="7386FA6D" w14:textId="08B64CEE" w:rsidR="00647A5B" w:rsidRDefault="000147E7">
      <w:pPr>
        <w:pBdr>
          <w:top w:val="nil"/>
          <w:left w:val="nil"/>
          <w:bottom w:val="nil"/>
          <w:right w:val="nil"/>
          <w:between w:val="nil"/>
        </w:pBdr>
        <w:spacing w:before="120" w:after="360"/>
        <w:jc w:val="center"/>
      </w:pPr>
      <w:r>
        <w:rPr>
          <w:b/>
          <w:color w:val="000000"/>
        </w:rPr>
        <w:t>Authors:</w:t>
      </w:r>
      <w:r>
        <w:rPr>
          <w:color w:val="000000"/>
        </w:rPr>
        <w:t xml:space="preserve"> </w:t>
      </w:r>
      <w:r>
        <w:t>Rong Cai</w:t>
      </w:r>
      <w:r>
        <w:rPr>
          <w:vertAlign w:val="superscript"/>
        </w:rPr>
        <w:t>*1</w:t>
      </w:r>
      <w:r>
        <w:t xml:space="preserve">, </w:t>
      </w:r>
      <w:proofErr w:type="spellStart"/>
      <w:r>
        <w:t>Chiagoziem</w:t>
      </w:r>
      <w:proofErr w:type="spellEnd"/>
      <w:r>
        <w:t xml:space="preserve"> Ngwadom</w:t>
      </w:r>
      <w:r>
        <w:rPr>
          <w:vertAlign w:val="superscript"/>
        </w:rPr>
        <w:t>1</w:t>
      </w:r>
      <w:r>
        <w:t>, Ravindra Saxena</w:t>
      </w:r>
      <w:r>
        <w:rPr>
          <w:vertAlign w:val="superscript"/>
        </w:rPr>
        <w:t>2,3</w:t>
      </w:r>
      <w:r>
        <w:t>, Jayashree Soman</w:t>
      </w:r>
      <w:r>
        <w:rPr>
          <w:vertAlign w:val="superscript"/>
        </w:rPr>
        <w:t>1</w:t>
      </w:r>
      <w:r>
        <w:t>, Chase Bruggeman</w:t>
      </w:r>
      <w:r>
        <w:rPr>
          <w:vertAlign w:val="superscript"/>
        </w:rPr>
        <w:t>4</w:t>
      </w:r>
      <w:r>
        <w:t>, David P. Hickey</w:t>
      </w:r>
      <w:r>
        <w:rPr>
          <w:vertAlign w:val="superscript"/>
        </w:rPr>
        <w:t>4</w:t>
      </w:r>
      <w:r>
        <w:t>, Rafael Verduzco</w:t>
      </w:r>
      <w:r>
        <w:rPr>
          <w:vertAlign w:val="superscript"/>
        </w:rPr>
        <w:t>3</w:t>
      </w:r>
      <w:r>
        <w:t>, Caroline M. Ajo-Franklin*</w:t>
      </w:r>
      <w:r>
        <w:rPr>
          <w:vertAlign w:val="superscript"/>
        </w:rPr>
        <w:t>1</w:t>
      </w:r>
      <w:r w:rsidR="00CC6A74">
        <w:rPr>
          <w:vertAlign w:val="superscript"/>
        </w:rPr>
        <w:t>,5</w:t>
      </w:r>
    </w:p>
    <w:p w14:paraId="1C42216F" w14:textId="77777777" w:rsidR="00647A5B" w:rsidRDefault="000147E7">
      <w:pPr>
        <w:pBdr>
          <w:top w:val="nil"/>
          <w:left w:val="nil"/>
          <w:bottom w:val="nil"/>
          <w:right w:val="nil"/>
          <w:between w:val="nil"/>
        </w:pBdr>
        <w:spacing w:before="120" w:after="360"/>
        <w:jc w:val="center"/>
        <w:rPr>
          <w:b/>
          <w:color w:val="000000"/>
        </w:rPr>
      </w:pPr>
      <w:r>
        <w:rPr>
          <w:b/>
          <w:color w:val="000000"/>
        </w:rPr>
        <w:t>Context</w:t>
      </w:r>
    </w:p>
    <w:p w14:paraId="30096BAD" w14:textId="77777777" w:rsidR="00647A5B" w:rsidRDefault="00647A5B">
      <w:pPr>
        <w:pBdr>
          <w:top w:val="nil"/>
          <w:left w:val="nil"/>
          <w:bottom w:val="nil"/>
          <w:right w:val="nil"/>
          <w:between w:val="nil"/>
        </w:pBdr>
        <w:spacing w:before="120"/>
        <w:jc w:val="center"/>
        <w:rPr>
          <w:b/>
          <w:color w:val="000000"/>
        </w:rPr>
      </w:pPr>
    </w:p>
    <w:p w14:paraId="7474A935" w14:textId="77777777" w:rsidR="00647A5B" w:rsidRDefault="000147E7">
      <w:pPr>
        <w:widowControl w:val="0"/>
        <w:tabs>
          <w:tab w:val="right" w:pos="8640"/>
        </w:tabs>
      </w:pPr>
      <w:r>
        <w:t>1.</w:t>
      </w:r>
      <w:r>
        <w:rPr>
          <w:b/>
        </w:rPr>
        <w:t xml:space="preserve"> </w:t>
      </w:r>
      <w:r>
        <w:t>Materials</w:t>
      </w:r>
      <w:r>
        <w:tab/>
        <w:t>1</w:t>
      </w:r>
    </w:p>
    <w:p w14:paraId="3A8C3C88" w14:textId="77777777" w:rsidR="00647A5B" w:rsidRDefault="000147E7">
      <w:pPr>
        <w:widowControl w:val="0"/>
        <w:pBdr>
          <w:top w:val="nil"/>
          <w:left w:val="nil"/>
          <w:bottom w:val="nil"/>
          <w:right w:val="nil"/>
          <w:between w:val="nil"/>
        </w:pBdr>
        <w:tabs>
          <w:tab w:val="right" w:pos="8640"/>
        </w:tabs>
        <w:rPr>
          <w:color w:val="000000"/>
        </w:rPr>
      </w:pPr>
      <w:r>
        <w:rPr>
          <w:color w:val="000000"/>
        </w:rPr>
        <w:t>2.</w:t>
      </w:r>
      <w:r>
        <w:rPr>
          <w:b/>
          <w:color w:val="000000"/>
        </w:rPr>
        <w:t xml:space="preserve"> </w:t>
      </w:r>
      <w:r>
        <w:rPr>
          <w:color w:val="000000"/>
        </w:rPr>
        <w:t>Engineering a switchable GDH using saturated domain-insertion profiling</w:t>
      </w:r>
      <w:r>
        <w:rPr>
          <w:color w:val="000000"/>
        </w:rPr>
        <w:tab/>
        <w:t>1</w:t>
      </w:r>
    </w:p>
    <w:p w14:paraId="30FB0500" w14:textId="1B379E7F" w:rsidR="00647A5B" w:rsidRDefault="000147E7">
      <w:pPr>
        <w:widowControl w:val="0"/>
        <w:pBdr>
          <w:top w:val="nil"/>
          <w:left w:val="nil"/>
          <w:bottom w:val="nil"/>
          <w:right w:val="nil"/>
          <w:between w:val="nil"/>
        </w:pBdr>
        <w:tabs>
          <w:tab w:val="left" w:pos="720"/>
          <w:tab w:val="right" w:pos="8640"/>
        </w:tabs>
        <w:rPr>
          <w:color w:val="000000"/>
        </w:rPr>
      </w:pPr>
      <w:r>
        <w:rPr>
          <w:color w:val="000000"/>
        </w:rPr>
        <w:tab/>
        <w:t>2.1</w:t>
      </w:r>
      <w:r>
        <w:rPr>
          <w:b/>
          <w:color w:val="000000"/>
        </w:rPr>
        <w:t xml:space="preserve"> </w:t>
      </w:r>
      <w:r>
        <w:rPr>
          <w:color w:val="000000"/>
        </w:rPr>
        <w:t>GDH</w:t>
      </w:r>
      <w:r w:rsidR="00693D92">
        <w:rPr>
          <w:color w:val="000000"/>
        </w:rPr>
        <w:t>-LBD</w:t>
      </w:r>
      <w:r>
        <w:rPr>
          <w:color w:val="000000"/>
        </w:rPr>
        <w:t xml:space="preserve"> library construction</w:t>
      </w:r>
      <w:r>
        <w:rPr>
          <w:color w:val="000000"/>
        </w:rPr>
        <w:tab/>
        <w:t>1</w:t>
      </w:r>
    </w:p>
    <w:p w14:paraId="28FB9171" w14:textId="5BC14B2E" w:rsidR="00647A5B" w:rsidRDefault="000147E7">
      <w:pPr>
        <w:widowControl w:val="0"/>
        <w:pBdr>
          <w:top w:val="nil"/>
          <w:left w:val="nil"/>
          <w:bottom w:val="nil"/>
          <w:right w:val="nil"/>
          <w:between w:val="nil"/>
        </w:pBdr>
        <w:tabs>
          <w:tab w:val="left" w:pos="720"/>
          <w:tab w:val="right" w:pos="8640"/>
        </w:tabs>
        <w:rPr>
          <w:color w:val="000000"/>
        </w:rPr>
      </w:pPr>
      <w:r>
        <w:rPr>
          <w:color w:val="000000"/>
        </w:rPr>
        <w:tab/>
        <w:t>2.2</w:t>
      </w:r>
      <w:r>
        <w:rPr>
          <w:b/>
          <w:color w:val="000000"/>
        </w:rPr>
        <w:t xml:space="preserve"> </w:t>
      </w:r>
      <w:r>
        <w:rPr>
          <w:color w:val="000000"/>
        </w:rPr>
        <w:t>Screening</w:t>
      </w:r>
      <w:r w:rsidR="00DC5002">
        <w:rPr>
          <w:color w:val="000000"/>
        </w:rPr>
        <w:t xml:space="preserve"> and mapping</w:t>
      </w:r>
      <w:r>
        <w:rPr>
          <w:color w:val="000000"/>
        </w:rPr>
        <w:t xml:space="preserve"> the GDH</w:t>
      </w:r>
      <w:r w:rsidR="00693D92">
        <w:rPr>
          <w:color w:val="000000"/>
        </w:rPr>
        <w:t>-LBD</w:t>
      </w:r>
      <w:r>
        <w:rPr>
          <w:color w:val="000000"/>
        </w:rPr>
        <w:t xml:space="preserve"> library</w:t>
      </w:r>
      <w:r>
        <w:rPr>
          <w:color w:val="000000"/>
        </w:rPr>
        <w:tab/>
      </w:r>
      <w:r w:rsidR="00DC5002">
        <w:rPr>
          <w:color w:val="000000"/>
        </w:rPr>
        <w:t>3</w:t>
      </w:r>
    </w:p>
    <w:p w14:paraId="72B931BF" w14:textId="5182CBF5" w:rsidR="00647A5B" w:rsidRDefault="000147E7" w:rsidP="00DC5002">
      <w:pPr>
        <w:widowControl w:val="0"/>
        <w:pBdr>
          <w:top w:val="nil"/>
          <w:left w:val="nil"/>
          <w:bottom w:val="nil"/>
          <w:right w:val="nil"/>
          <w:between w:val="nil"/>
        </w:pBdr>
        <w:tabs>
          <w:tab w:val="left" w:pos="720"/>
          <w:tab w:val="right" w:pos="8640"/>
        </w:tabs>
        <w:rPr>
          <w:color w:val="000000"/>
        </w:rPr>
      </w:pPr>
      <w:r>
        <w:rPr>
          <w:color w:val="000000"/>
        </w:rPr>
        <w:t>3.</w:t>
      </w:r>
      <w:r>
        <w:rPr>
          <w:b/>
          <w:color w:val="000000"/>
        </w:rPr>
        <w:t xml:space="preserve"> </w:t>
      </w:r>
      <w:r>
        <w:rPr>
          <w:color w:val="000000"/>
        </w:rPr>
        <w:t>Characterization of allosteric GDH</w:t>
      </w:r>
      <w:r w:rsidR="00693D92">
        <w:rPr>
          <w:color w:val="000000"/>
        </w:rPr>
        <w:t>-LBD</w:t>
      </w:r>
      <w:r>
        <w:rPr>
          <w:color w:val="000000"/>
        </w:rPr>
        <w:tab/>
      </w:r>
      <w:r w:rsidR="00DC5002">
        <w:rPr>
          <w:color w:val="000000"/>
        </w:rPr>
        <w:t>6</w:t>
      </w:r>
    </w:p>
    <w:p w14:paraId="45B65510" w14:textId="19927B88" w:rsidR="00647A5B" w:rsidRDefault="000147E7">
      <w:pPr>
        <w:widowControl w:val="0"/>
        <w:pBdr>
          <w:top w:val="nil"/>
          <w:left w:val="nil"/>
          <w:bottom w:val="nil"/>
          <w:right w:val="nil"/>
          <w:between w:val="nil"/>
        </w:pBdr>
        <w:tabs>
          <w:tab w:val="left" w:pos="720"/>
          <w:tab w:val="right" w:pos="8640"/>
        </w:tabs>
        <w:rPr>
          <w:color w:val="000000"/>
        </w:rPr>
      </w:pPr>
      <w:r>
        <w:rPr>
          <w:color w:val="000000"/>
        </w:rPr>
        <w:tab/>
        <w:t>3.1</w:t>
      </w:r>
      <w:r>
        <w:rPr>
          <w:b/>
          <w:color w:val="000000"/>
        </w:rPr>
        <w:t xml:space="preserve"> </w:t>
      </w:r>
      <w:r w:rsidR="00DC5002">
        <w:rPr>
          <w:color w:val="000000"/>
        </w:rPr>
        <w:t xml:space="preserve">Protein </w:t>
      </w:r>
      <w:proofErr w:type="spellStart"/>
      <w:r w:rsidR="00DC5002">
        <w:rPr>
          <w:color w:val="000000"/>
        </w:rPr>
        <w:t>animo</w:t>
      </w:r>
      <w:proofErr w:type="spellEnd"/>
      <w:r w:rsidR="00DC5002">
        <w:rPr>
          <w:color w:val="000000"/>
        </w:rPr>
        <w:t xml:space="preserve"> acid (AA) sequence</w:t>
      </w:r>
      <w:r>
        <w:rPr>
          <w:color w:val="000000"/>
        </w:rPr>
        <w:tab/>
      </w:r>
      <w:r w:rsidR="009A5F1D">
        <w:rPr>
          <w:color w:val="000000"/>
        </w:rPr>
        <w:t>6</w:t>
      </w:r>
    </w:p>
    <w:p w14:paraId="7EEA1735" w14:textId="7D894B06" w:rsidR="00647A5B" w:rsidRDefault="000147E7">
      <w:pPr>
        <w:widowControl w:val="0"/>
        <w:pBdr>
          <w:top w:val="nil"/>
          <w:left w:val="nil"/>
          <w:bottom w:val="nil"/>
          <w:right w:val="nil"/>
          <w:between w:val="nil"/>
        </w:pBdr>
        <w:tabs>
          <w:tab w:val="left" w:pos="720"/>
          <w:tab w:val="right" w:pos="8640"/>
        </w:tabs>
        <w:rPr>
          <w:color w:val="000000"/>
        </w:rPr>
      </w:pPr>
      <w:r>
        <w:rPr>
          <w:color w:val="000000"/>
        </w:rPr>
        <w:tab/>
        <w:t>3.2</w:t>
      </w:r>
      <w:r w:rsidR="00DC5002">
        <w:rPr>
          <w:color w:val="000000"/>
        </w:rPr>
        <w:t xml:space="preserve"> U</w:t>
      </w:r>
      <w:r w:rsidR="00D817B1">
        <w:rPr>
          <w:color w:val="000000"/>
        </w:rPr>
        <w:t>V</w:t>
      </w:r>
      <w:r w:rsidR="00DC5002">
        <w:rPr>
          <w:color w:val="000000"/>
        </w:rPr>
        <w:t>-vis</w:t>
      </w:r>
      <w:r>
        <w:rPr>
          <w:color w:val="000000"/>
        </w:rPr>
        <w:tab/>
      </w:r>
      <w:r w:rsidR="009A5F1D">
        <w:rPr>
          <w:color w:val="000000"/>
        </w:rPr>
        <w:t>8</w:t>
      </w:r>
    </w:p>
    <w:p w14:paraId="3BFC6361" w14:textId="2399D232" w:rsidR="00DC5002" w:rsidRDefault="00DC5002">
      <w:pPr>
        <w:widowControl w:val="0"/>
        <w:pBdr>
          <w:top w:val="nil"/>
          <w:left w:val="nil"/>
          <w:bottom w:val="nil"/>
          <w:right w:val="nil"/>
          <w:between w:val="nil"/>
        </w:pBdr>
        <w:tabs>
          <w:tab w:val="left" w:pos="720"/>
          <w:tab w:val="right" w:pos="8640"/>
        </w:tabs>
        <w:rPr>
          <w:color w:val="000000"/>
        </w:rPr>
      </w:pPr>
      <w:r>
        <w:rPr>
          <w:color w:val="000000"/>
        </w:rPr>
        <w:tab/>
        <w:t>3.3 Protein activity</w:t>
      </w:r>
      <w:r>
        <w:rPr>
          <w:color w:val="000000"/>
        </w:rPr>
        <w:tab/>
      </w:r>
      <w:r w:rsidR="009A5F1D">
        <w:rPr>
          <w:color w:val="000000"/>
        </w:rPr>
        <w:t>9</w:t>
      </w:r>
    </w:p>
    <w:p w14:paraId="49AC31B1" w14:textId="25543470" w:rsidR="00DC5002" w:rsidRDefault="00DC5002">
      <w:pPr>
        <w:widowControl w:val="0"/>
        <w:pBdr>
          <w:top w:val="nil"/>
          <w:left w:val="nil"/>
          <w:bottom w:val="nil"/>
          <w:right w:val="nil"/>
          <w:between w:val="nil"/>
        </w:pBdr>
        <w:tabs>
          <w:tab w:val="left" w:pos="720"/>
          <w:tab w:val="right" w:pos="8640"/>
        </w:tabs>
        <w:rPr>
          <w:color w:val="000000"/>
        </w:rPr>
      </w:pPr>
      <w:r>
        <w:rPr>
          <w:color w:val="000000"/>
        </w:rPr>
        <w:tab/>
        <w:t>3.4 Allosteric effect</w:t>
      </w:r>
      <w:r>
        <w:rPr>
          <w:color w:val="000000"/>
        </w:rPr>
        <w:tab/>
      </w:r>
      <w:r w:rsidR="009A5F1D">
        <w:rPr>
          <w:color w:val="000000"/>
        </w:rPr>
        <w:t>10</w:t>
      </w:r>
    </w:p>
    <w:p w14:paraId="7F0CAF92" w14:textId="1DEDD7B0" w:rsidR="00DC5002" w:rsidRDefault="00DC5002">
      <w:pPr>
        <w:widowControl w:val="0"/>
        <w:pBdr>
          <w:top w:val="nil"/>
          <w:left w:val="nil"/>
          <w:bottom w:val="nil"/>
          <w:right w:val="nil"/>
          <w:between w:val="nil"/>
        </w:pBdr>
        <w:tabs>
          <w:tab w:val="left" w:pos="720"/>
          <w:tab w:val="right" w:pos="8640"/>
        </w:tabs>
        <w:rPr>
          <w:color w:val="000000"/>
        </w:rPr>
      </w:pPr>
      <w:r>
        <w:rPr>
          <w:color w:val="000000"/>
        </w:rPr>
        <w:tab/>
        <w:t>3.5 Protein stability</w:t>
      </w:r>
      <w:r>
        <w:rPr>
          <w:color w:val="000000"/>
        </w:rPr>
        <w:tab/>
      </w:r>
      <w:r w:rsidR="009A5F1D">
        <w:rPr>
          <w:color w:val="000000"/>
        </w:rPr>
        <w:t>11</w:t>
      </w:r>
    </w:p>
    <w:p w14:paraId="758948A2" w14:textId="39C34552" w:rsidR="00647A5B" w:rsidRDefault="000147E7">
      <w:pPr>
        <w:widowControl w:val="0"/>
        <w:pBdr>
          <w:top w:val="nil"/>
          <w:left w:val="nil"/>
          <w:bottom w:val="nil"/>
          <w:right w:val="nil"/>
          <w:between w:val="nil"/>
        </w:pBdr>
        <w:tabs>
          <w:tab w:val="right" w:pos="8640"/>
        </w:tabs>
        <w:rPr>
          <w:color w:val="000000"/>
        </w:rPr>
      </w:pPr>
      <w:r>
        <w:rPr>
          <w:color w:val="000000"/>
        </w:rPr>
        <w:t xml:space="preserve">4. Creating a 4-HT </w:t>
      </w:r>
      <w:proofErr w:type="spellStart"/>
      <w:r>
        <w:rPr>
          <w:color w:val="000000"/>
        </w:rPr>
        <w:t>amperometric</w:t>
      </w:r>
      <w:proofErr w:type="spellEnd"/>
      <w:r>
        <w:rPr>
          <w:color w:val="000000"/>
        </w:rPr>
        <w:t xml:space="preserve"> sensor with GDH-5E</w:t>
      </w:r>
      <w:r>
        <w:rPr>
          <w:color w:val="000000"/>
          <w:vertAlign w:val="superscript"/>
        </w:rPr>
        <w:t>+</w:t>
      </w:r>
      <w:r>
        <w:rPr>
          <w:color w:val="000000"/>
        </w:rPr>
        <w:tab/>
        <w:t>1</w:t>
      </w:r>
      <w:r w:rsidR="00DC5002">
        <w:rPr>
          <w:color w:val="000000"/>
        </w:rPr>
        <w:t>2</w:t>
      </w:r>
    </w:p>
    <w:p w14:paraId="3DD5076A" w14:textId="17101B7F" w:rsidR="00647A5B" w:rsidRDefault="000147E7">
      <w:pPr>
        <w:widowControl w:val="0"/>
        <w:pBdr>
          <w:top w:val="nil"/>
          <w:left w:val="nil"/>
          <w:bottom w:val="nil"/>
          <w:right w:val="nil"/>
          <w:between w:val="nil"/>
        </w:pBdr>
        <w:tabs>
          <w:tab w:val="left" w:pos="720"/>
          <w:tab w:val="right" w:pos="8640"/>
        </w:tabs>
        <w:rPr>
          <w:color w:val="000000"/>
        </w:rPr>
      </w:pPr>
      <w:r>
        <w:rPr>
          <w:color w:val="000000"/>
        </w:rPr>
        <w:tab/>
        <w:t>4.</w:t>
      </w:r>
      <w:r w:rsidR="001B6EE1">
        <w:rPr>
          <w:color w:val="000000"/>
        </w:rPr>
        <w:t>1</w:t>
      </w:r>
      <w:r>
        <w:rPr>
          <w:b/>
          <w:color w:val="000000"/>
        </w:rPr>
        <w:t xml:space="preserve"> </w:t>
      </w:r>
      <w:r w:rsidR="00D67E66" w:rsidRPr="00D67E66">
        <w:rPr>
          <w:bCs/>
          <w:color w:val="000000"/>
        </w:rPr>
        <w:t>Effect of</w:t>
      </w:r>
      <w:r w:rsidR="00D67E66">
        <w:rPr>
          <w:b/>
          <w:color w:val="000000"/>
        </w:rPr>
        <w:t xml:space="preserve"> </w:t>
      </w:r>
      <w:r w:rsidR="00D67E66">
        <w:rPr>
          <w:bCs/>
        </w:rPr>
        <w:t>4-HT</w:t>
      </w:r>
      <w:r>
        <w:rPr>
          <w:color w:val="000000"/>
        </w:rPr>
        <w:tab/>
        <w:t>1</w:t>
      </w:r>
      <w:r w:rsidR="00820E22">
        <w:rPr>
          <w:color w:val="000000"/>
        </w:rPr>
        <w:t>2</w:t>
      </w:r>
    </w:p>
    <w:p w14:paraId="308A4F4A" w14:textId="3C672DFC" w:rsidR="00647A5B" w:rsidRDefault="000147E7">
      <w:pPr>
        <w:widowControl w:val="0"/>
        <w:pBdr>
          <w:top w:val="nil"/>
          <w:left w:val="nil"/>
          <w:bottom w:val="nil"/>
          <w:right w:val="nil"/>
          <w:between w:val="nil"/>
        </w:pBdr>
        <w:tabs>
          <w:tab w:val="left" w:pos="720"/>
          <w:tab w:val="right" w:pos="8640"/>
        </w:tabs>
        <w:rPr>
          <w:color w:val="000000"/>
        </w:rPr>
      </w:pPr>
      <w:r>
        <w:rPr>
          <w:color w:val="000000"/>
        </w:rPr>
        <w:tab/>
        <w:t>4.</w:t>
      </w:r>
      <w:r w:rsidR="001B6EE1">
        <w:rPr>
          <w:color w:val="000000"/>
        </w:rPr>
        <w:t>2</w:t>
      </w:r>
      <w:r>
        <w:rPr>
          <w:b/>
          <w:color w:val="000000"/>
        </w:rPr>
        <w:t xml:space="preserve"> </w:t>
      </w:r>
      <w:r>
        <w:rPr>
          <w:color w:val="000000"/>
        </w:rPr>
        <w:t>Electrochemistry with human blood sample</w:t>
      </w:r>
      <w:r>
        <w:rPr>
          <w:color w:val="000000"/>
        </w:rPr>
        <w:tab/>
        <w:t>1</w:t>
      </w:r>
      <w:r w:rsidR="00820E22">
        <w:rPr>
          <w:color w:val="000000"/>
        </w:rPr>
        <w:t>2</w:t>
      </w:r>
    </w:p>
    <w:p w14:paraId="4510A54C" w14:textId="77D3F8D6" w:rsidR="00647A5B" w:rsidRDefault="000147E7">
      <w:pPr>
        <w:widowControl w:val="0"/>
        <w:pBdr>
          <w:top w:val="nil"/>
          <w:left w:val="nil"/>
          <w:bottom w:val="nil"/>
          <w:right w:val="nil"/>
          <w:between w:val="nil"/>
        </w:pBdr>
        <w:tabs>
          <w:tab w:val="right" w:pos="8640"/>
        </w:tabs>
        <w:rPr>
          <w:color w:val="000000"/>
        </w:rPr>
      </w:pPr>
      <w:r>
        <w:rPr>
          <w:color w:val="000000"/>
        </w:rPr>
        <w:t>5.</w:t>
      </w:r>
      <w:r>
        <w:rPr>
          <w:b/>
          <w:color w:val="000000"/>
        </w:rPr>
        <w:t xml:space="preserve"> </w:t>
      </w:r>
      <w:r>
        <w:rPr>
          <w:color w:val="000000"/>
        </w:rPr>
        <w:t>Creating a self-powered sensor</w:t>
      </w:r>
      <w:r>
        <w:rPr>
          <w:color w:val="000000"/>
        </w:rPr>
        <w:tab/>
        <w:t>1</w:t>
      </w:r>
      <w:r w:rsidR="00820E22">
        <w:rPr>
          <w:color w:val="000000"/>
        </w:rPr>
        <w:t>4</w:t>
      </w:r>
    </w:p>
    <w:p w14:paraId="2AA21F2A" w14:textId="434920F1" w:rsidR="00647A5B" w:rsidRDefault="000147E7">
      <w:pPr>
        <w:widowControl w:val="0"/>
        <w:pBdr>
          <w:top w:val="nil"/>
          <w:left w:val="nil"/>
          <w:bottom w:val="nil"/>
          <w:right w:val="nil"/>
          <w:between w:val="nil"/>
        </w:pBdr>
        <w:tabs>
          <w:tab w:val="left" w:pos="720"/>
          <w:tab w:val="right" w:pos="8640"/>
        </w:tabs>
        <w:rPr>
          <w:color w:val="000000"/>
        </w:rPr>
      </w:pPr>
      <w:r>
        <w:rPr>
          <w:color w:val="000000"/>
        </w:rPr>
        <w:tab/>
        <w:t>5.1 Laccase electrode preparation</w:t>
      </w:r>
      <w:r>
        <w:rPr>
          <w:color w:val="000000"/>
        </w:rPr>
        <w:tab/>
        <w:t>1</w:t>
      </w:r>
      <w:r w:rsidR="00820E22">
        <w:rPr>
          <w:color w:val="000000"/>
        </w:rPr>
        <w:t>4</w:t>
      </w:r>
    </w:p>
    <w:p w14:paraId="28925DD5" w14:textId="7168CB32" w:rsidR="00647A5B" w:rsidRDefault="000147E7">
      <w:pPr>
        <w:widowControl w:val="0"/>
        <w:pBdr>
          <w:top w:val="nil"/>
          <w:left w:val="nil"/>
          <w:bottom w:val="nil"/>
          <w:right w:val="nil"/>
          <w:between w:val="nil"/>
        </w:pBdr>
        <w:tabs>
          <w:tab w:val="left" w:pos="720"/>
          <w:tab w:val="right" w:pos="8640"/>
        </w:tabs>
        <w:rPr>
          <w:color w:val="000000"/>
        </w:rPr>
      </w:pPr>
      <w:r>
        <w:rPr>
          <w:color w:val="000000"/>
        </w:rPr>
        <w:tab/>
        <w:t>5.2</w:t>
      </w:r>
      <w:r>
        <w:rPr>
          <w:b/>
          <w:color w:val="000000"/>
        </w:rPr>
        <w:t xml:space="preserve"> </w:t>
      </w:r>
      <w:r>
        <w:rPr>
          <w:color w:val="000000"/>
        </w:rPr>
        <w:t>Glucose/O</w:t>
      </w:r>
      <w:r>
        <w:rPr>
          <w:color w:val="000000"/>
          <w:vertAlign w:val="subscript"/>
        </w:rPr>
        <w:t>2</w:t>
      </w:r>
      <w:r>
        <w:rPr>
          <w:color w:val="000000"/>
        </w:rPr>
        <w:t xml:space="preserve"> enzymatic fuel cell (EFC)</w:t>
      </w:r>
      <w:r>
        <w:rPr>
          <w:color w:val="000000"/>
        </w:rPr>
        <w:tab/>
        <w:t>1</w:t>
      </w:r>
      <w:r w:rsidR="00820E22">
        <w:rPr>
          <w:color w:val="000000"/>
        </w:rPr>
        <w:t>4</w:t>
      </w:r>
    </w:p>
    <w:p w14:paraId="12268A7A" w14:textId="56B01B2C" w:rsidR="00647A5B" w:rsidRDefault="000147E7">
      <w:pPr>
        <w:widowControl w:val="0"/>
        <w:pBdr>
          <w:top w:val="nil"/>
          <w:left w:val="nil"/>
          <w:bottom w:val="nil"/>
          <w:right w:val="nil"/>
          <w:between w:val="nil"/>
        </w:pBdr>
        <w:tabs>
          <w:tab w:val="left" w:pos="720"/>
          <w:tab w:val="right" w:pos="8640"/>
        </w:tabs>
        <w:rPr>
          <w:color w:val="000000"/>
        </w:rPr>
      </w:pPr>
      <w:r>
        <w:rPr>
          <w:color w:val="000000"/>
        </w:rPr>
        <w:tab/>
        <w:t>5.3</w:t>
      </w:r>
      <w:r>
        <w:rPr>
          <w:b/>
          <w:color w:val="000000"/>
        </w:rPr>
        <w:t xml:space="preserve"> </w:t>
      </w:r>
      <w:r>
        <w:rPr>
          <w:color w:val="000000"/>
        </w:rPr>
        <w:t>A self-powered 4-HT sensor</w:t>
      </w:r>
      <w:r>
        <w:rPr>
          <w:color w:val="000000"/>
        </w:rPr>
        <w:tab/>
      </w:r>
      <w:r w:rsidR="00820E22">
        <w:rPr>
          <w:color w:val="000000"/>
        </w:rPr>
        <w:t>15</w:t>
      </w:r>
    </w:p>
    <w:p w14:paraId="6B9B127B" w14:textId="18FC0C6D" w:rsidR="00647A5B" w:rsidRDefault="000147E7">
      <w:pPr>
        <w:widowControl w:val="0"/>
        <w:pBdr>
          <w:top w:val="nil"/>
          <w:left w:val="nil"/>
          <w:bottom w:val="nil"/>
          <w:right w:val="nil"/>
          <w:between w:val="nil"/>
        </w:pBdr>
        <w:tabs>
          <w:tab w:val="right" w:pos="8640"/>
        </w:tabs>
        <w:rPr>
          <w:color w:val="000000"/>
        </w:rPr>
      </w:pPr>
      <w:r>
        <w:rPr>
          <w:color w:val="000000"/>
        </w:rPr>
        <w:t>6.</w:t>
      </w:r>
      <w:r>
        <w:rPr>
          <w:b/>
          <w:color w:val="000000"/>
        </w:rPr>
        <w:t xml:space="preserve"> </w:t>
      </w:r>
      <w:r>
        <w:rPr>
          <w:color w:val="000000"/>
        </w:rPr>
        <w:t>Coupling EFC with OECT</w:t>
      </w:r>
      <w:r>
        <w:rPr>
          <w:color w:val="000000"/>
        </w:rPr>
        <w:tab/>
      </w:r>
      <w:r w:rsidR="00820E22">
        <w:rPr>
          <w:color w:val="000000"/>
        </w:rPr>
        <w:t>17</w:t>
      </w:r>
    </w:p>
    <w:p w14:paraId="3720E04F" w14:textId="48680DDD" w:rsidR="00647A5B" w:rsidRDefault="000147E7">
      <w:pPr>
        <w:widowControl w:val="0"/>
        <w:pBdr>
          <w:top w:val="nil"/>
          <w:left w:val="nil"/>
          <w:bottom w:val="nil"/>
          <w:right w:val="nil"/>
          <w:between w:val="nil"/>
        </w:pBdr>
        <w:tabs>
          <w:tab w:val="left" w:pos="720"/>
          <w:tab w:val="right" w:pos="8640"/>
        </w:tabs>
        <w:rPr>
          <w:color w:val="000000"/>
        </w:rPr>
      </w:pPr>
      <w:r>
        <w:rPr>
          <w:color w:val="000000"/>
        </w:rPr>
        <w:tab/>
        <w:t xml:space="preserve">6.1 </w:t>
      </w:r>
      <w:r w:rsidR="00820E22" w:rsidRPr="00820E22">
        <w:rPr>
          <w:bCs/>
        </w:rPr>
        <w:t>Transfer characteristic of OECT</w:t>
      </w:r>
      <w:r>
        <w:rPr>
          <w:color w:val="000000"/>
        </w:rPr>
        <w:tab/>
      </w:r>
      <w:r w:rsidR="00820E22">
        <w:rPr>
          <w:color w:val="000000"/>
        </w:rPr>
        <w:t>17</w:t>
      </w:r>
    </w:p>
    <w:p w14:paraId="034A18A2" w14:textId="5EF647F8" w:rsidR="00647A5B" w:rsidRDefault="000147E7">
      <w:pPr>
        <w:widowControl w:val="0"/>
        <w:pBdr>
          <w:top w:val="nil"/>
          <w:left w:val="nil"/>
          <w:bottom w:val="nil"/>
          <w:right w:val="nil"/>
          <w:between w:val="nil"/>
        </w:pBdr>
        <w:tabs>
          <w:tab w:val="left" w:pos="720"/>
          <w:tab w:val="right" w:pos="8640"/>
        </w:tabs>
        <w:rPr>
          <w:color w:val="000000"/>
        </w:rPr>
      </w:pPr>
      <w:r>
        <w:rPr>
          <w:color w:val="000000"/>
        </w:rPr>
        <w:tab/>
        <w:t>6.2</w:t>
      </w:r>
      <w:r>
        <w:rPr>
          <w:b/>
          <w:color w:val="000000"/>
        </w:rPr>
        <w:t xml:space="preserve"> </w:t>
      </w:r>
      <w:r w:rsidR="00820E22" w:rsidRPr="00820E22">
        <w:rPr>
          <w:bCs/>
        </w:rPr>
        <w:t>OECT coupling with the self-powered sensor</w:t>
      </w:r>
      <w:r>
        <w:rPr>
          <w:color w:val="000000"/>
        </w:rPr>
        <w:tab/>
      </w:r>
      <w:r w:rsidR="00820E22">
        <w:rPr>
          <w:color w:val="000000"/>
        </w:rPr>
        <w:t>17</w:t>
      </w:r>
    </w:p>
    <w:p w14:paraId="553642F4" w14:textId="591FD636" w:rsidR="0097068F" w:rsidRDefault="000147E7">
      <w:pPr>
        <w:widowControl w:val="0"/>
        <w:pBdr>
          <w:top w:val="nil"/>
          <w:left w:val="nil"/>
          <w:bottom w:val="nil"/>
          <w:right w:val="nil"/>
          <w:between w:val="nil"/>
        </w:pBdr>
        <w:tabs>
          <w:tab w:val="left" w:pos="720"/>
          <w:tab w:val="right" w:pos="8640"/>
        </w:tabs>
        <w:rPr>
          <w:color w:val="000000"/>
        </w:rPr>
      </w:pPr>
      <w:r>
        <w:rPr>
          <w:color w:val="000000"/>
        </w:rPr>
        <w:tab/>
        <w:t>6.3</w:t>
      </w:r>
      <w:r>
        <w:rPr>
          <w:b/>
          <w:color w:val="000000"/>
        </w:rPr>
        <w:t xml:space="preserve"> </w:t>
      </w:r>
      <w:r>
        <w:rPr>
          <w:color w:val="000000"/>
        </w:rPr>
        <w:t>EFCs fully powered OECT</w:t>
      </w:r>
      <w:r w:rsidR="0097068F">
        <w:rPr>
          <w:color w:val="000000"/>
        </w:rPr>
        <w:tab/>
        <w:t>19</w:t>
      </w:r>
    </w:p>
    <w:p w14:paraId="4C9FC1D6" w14:textId="0F1C4DD2" w:rsidR="00647A5B" w:rsidRDefault="0097068F">
      <w:pPr>
        <w:widowControl w:val="0"/>
        <w:pBdr>
          <w:top w:val="nil"/>
          <w:left w:val="nil"/>
          <w:bottom w:val="nil"/>
          <w:right w:val="nil"/>
          <w:between w:val="nil"/>
        </w:pBdr>
        <w:tabs>
          <w:tab w:val="left" w:pos="720"/>
          <w:tab w:val="right" w:pos="8640"/>
        </w:tabs>
        <w:rPr>
          <w:color w:val="000000"/>
        </w:rPr>
      </w:pPr>
      <w:r>
        <w:rPr>
          <w:color w:val="000000"/>
        </w:rPr>
        <w:t>Reference</w:t>
      </w:r>
      <w:r>
        <w:rPr>
          <w:color w:val="000000"/>
        </w:rPr>
        <w:tab/>
        <w:t>21</w:t>
      </w:r>
    </w:p>
    <w:p w14:paraId="27DC176C" w14:textId="12AB5A04" w:rsidR="00647A5B" w:rsidRDefault="00647A5B">
      <w:pPr>
        <w:widowControl w:val="0"/>
        <w:pBdr>
          <w:top w:val="nil"/>
          <w:left w:val="nil"/>
          <w:bottom w:val="nil"/>
          <w:right w:val="nil"/>
          <w:between w:val="nil"/>
        </w:pBdr>
        <w:tabs>
          <w:tab w:val="right" w:pos="8640"/>
        </w:tabs>
        <w:rPr>
          <w:color w:val="000000"/>
        </w:rPr>
      </w:pPr>
    </w:p>
    <w:p w14:paraId="417B4B33" w14:textId="77777777" w:rsidR="00647A5B" w:rsidRDefault="00647A5B">
      <w:pPr>
        <w:rPr>
          <w:b/>
        </w:rPr>
        <w:sectPr w:rsidR="00647A5B">
          <w:headerReference w:type="default" r:id="rId7"/>
          <w:footerReference w:type="even" r:id="rId8"/>
          <w:headerReference w:type="first" r:id="rId9"/>
          <w:footerReference w:type="first" r:id="rId10"/>
          <w:pgSz w:w="12240" w:h="15840"/>
          <w:pgMar w:top="1296" w:right="1440" w:bottom="1296" w:left="1440" w:header="432" w:footer="720" w:gutter="0"/>
          <w:pgNumType w:start="1"/>
          <w:cols w:space="720"/>
        </w:sectPr>
      </w:pPr>
    </w:p>
    <w:p w14:paraId="3200A983" w14:textId="77777777" w:rsidR="00647A5B" w:rsidRDefault="000147E7">
      <w:pPr>
        <w:keepLines/>
        <w:widowControl w:val="0"/>
        <w:jc w:val="center"/>
        <w:rPr>
          <w:b/>
        </w:rPr>
      </w:pPr>
      <w:r>
        <w:rPr>
          <w:b/>
        </w:rPr>
        <w:lastRenderedPageBreak/>
        <w:t xml:space="preserve">1. Materials </w:t>
      </w:r>
    </w:p>
    <w:p w14:paraId="5E73D317" w14:textId="77777777" w:rsidR="00647A5B" w:rsidRDefault="00647A5B">
      <w:pPr>
        <w:keepLines/>
        <w:widowControl w:val="0"/>
        <w:jc w:val="center"/>
        <w:rPr>
          <w:b/>
        </w:rPr>
      </w:pPr>
    </w:p>
    <w:p w14:paraId="1C7604A8" w14:textId="1B20CF1F" w:rsidR="00647A5B" w:rsidRDefault="000147E7">
      <w:pPr>
        <w:keepLines/>
        <w:widowControl w:val="0"/>
        <w:jc w:val="both"/>
      </w:pPr>
      <w:r>
        <w:t xml:space="preserve">The original GDH plasmid was synthesized by </w:t>
      </w:r>
      <w:proofErr w:type="spellStart"/>
      <w:r>
        <w:t>GenScript</w:t>
      </w:r>
      <w:proofErr w:type="spellEnd"/>
      <w:r>
        <w:t xml:space="preserve"> with codon optimization. All the derivative GDH plasmids were constructed using Q5 hot start DNA polymerase (New England Biolabs, NEB) to produce amplicons and ligate to the target sequences with Golden Gate DNA assembly. All plasmid sequences were verified with Sanger sequencing. Twist Bioscience synthesized the SPINE-generated oligo pools. Integrated DNA technologies synthesized all the primers. Single donor human whole blood was purchased from Innovative Research</w:t>
      </w:r>
      <w:r w:rsidR="00D67E66">
        <w:t>. The received blood sample has had the FDA-required viral testing and used following universal precautions.</w:t>
      </w:r>
    </w:p>
    <w:p w14:paraId="769D58B3" w14:textId="77777777" w:rsidR="00647A5B" w:rsidRDefault="000147E7">
      <w:pPr>
        <w:keepLines/>
        <w:widowControl w:val="0"/>
        <w:tabs>
          <w:tab w:val="left" w:pos="720"/>
        </w:tabs>
        <w:jc w:val="both"/>
      </w:pPr>
      <w:r>
        <w:tab/>
        <w:t xml:space="preserve">Saturated calomel electrodes (SCE), glassy carbon electrodes (diameter 3mm), and Pt mesh (1cm x 1cm) were purchased from CH Instruments, Inc. </w:t>
      </w:r>
      <w:proofErr w:type="spellStart"/>
      <w:r>
        <w:t>AvCarb</w:t>
      </w:r>
      <w:proofErr w:type="spellEnd"/>
      <w:r>
        <w:t xml:space="preserve"> carbon paper (MGL190, untreated) was purchased from Fuel Cell Earth (USA). Ultra-high purity O</w:t>
      </w:r>
      <w:r>
        <w:rPr>
          <w:vertAlign w:val="subscript"/>
        </w:rPr>
        <w:t>2</w:t>
      </w:r>
      <w:r>
        <w:t xml:space="preserve"> and N</w:t>
      </w:r>
      <w:r>
        <w:rPr>
          <w:vertAlign w:val="subscript"/>
        </w:rPr>
        <w:t>2</w:t>
      </w:r>
      <w:r>
        <w:t xml:space="preserve"> were purchased from Airgas. Ethylene glycol </w:t>
      </w:r>
      <w:proofErr w:type="spellStart"/>
      <w:r>
        <w:t>diglycidyl</w:t>
      </w:r>
      <w:proofErr w:type="spellEnd"/>
      <w:r>
        <w:t xml:space="preserve"> ether (EGDGE) was purchased from </w:t>
      </w:r>
      <w:proofErr w:type="spellStart"/>
      <w:r>
        <w:t>Polysciences</w:t>
      </w:r>
      <w:proofErr w:type="spellEnd"/>
      <w:r>
        <w:t xml:space="preserve"> Inc. </w:t>
      </w:r>
      <w:proofErr w:type="gramStart"/>
      <w:r>
        <w:t>Poly(</w:t>
      </w:r>
      <w:proofErr w:type="gramEnd"/>
      <w:r>
        <w:t xml:space="preserve">3,4 ethylene </w:t>
      </w:r>
      <w:proofErr w:type="spellStart"/>
      <w:r>
        <w:t>dioxythiophene</w:t>
      </w:r>
      <w:proofErr w:type="spellEnd"/>
      <w:r>
        <w:t xml:space="preserve">) doped with poly(styrene sulfonate) (PEDOT:PSS, PH1000) was purchased from Heraeus </w:t>
      </w:r>
      <w:proofErr w:type="spellStart"/>
      <w:r>
        <w:t>Epurio</w:t>
      </w:r>
      <w:proofErr w:type="spellEnd"/>
      <w:r>
        <w:t xml:space="preserve"> Company. Water used in experiments was filtered using an Ultrapure </w:t>
      </w:r>
      <w:proofErr w:type="spellStart"/>
      <w:r>
        <w:t>MilliQ</w:t>
      </w:r>
      <w:proofErr w:type="spellEnd"/>
      <w:r>
        <w:t xml:space="preserve"> system. All other chemicals were purchased from Sigma Aldrich and used as received without further purification.</w:t>
      </w:r>
    </w:p>
    <w:p w14:paraId="0D60C9A9" w14:textId="0C7E21BC" w:rsidR="00647A5B" w:rsidRDefault="000147E7">
      <w:pPr>
        <w:keepLines/>
        <w:widowControl w:val="0"/>
        <w:tabs>
          <w:tab w:val="left" w:pos="720"/>
        </w:tabs>
        <w:jc w:val="both"/>
      </w:pPr>
      <w:r>
        <w:tab/>
        <w:t xml:space="preserve">Electrochemical experiments were performed using a CH Instruments 1242C potentiostat. GC electrodes were polished with a 0.05 </w:t>
      </w:r>
      <w:proofErr w:type="spellStart"/>
      <w:r>
        <w:t>μm</w:t>
      </w:r>
      <w:proofErr w:type="spellEnd"/>
      <w:r>
        <w:t xml:space="preserve"> alumina slurry prior to use. The OECT outputs were recorded using custom-made MATLAB software, which controls the source measure units (SMU, Keithley 2612).</w:t>
      </w:r>
    </w:p>
    <w:p w14:paraId="5DE0D401" w14:textId="77777777" w:rsidR="00CF2683" w:rsidRDefault="00CF2683">
      <w:pPr>
        <w:keepLines/>
        <w:widowControl w:val="0"/>
        <w:tabs>
          <w:tab w:val="left" w:pos="720"/>
        </w:tabs>
        <w:jc w:val="both"/>
      </w:pPr>
    </w:p>
    <w:p w14:paraId="379DF1D9" w14:textId="153218BC" w:rsidR="00773174" w:rsidRDefault="00CF2683" w:rsidP="00CF2683">
      <w:pPr>
        <w:keepLines/>
        <w:widowControl w:val="0"/>
        <w:tabs>
          <w:tab w:val="left" w:pos="720"/>
        </w:tabs>
        <w:jc w:val="center"/>
        <w:rPr>
          <w:b/>
          <w:bCs/>
          <w:color w:val="000000"/>
        </w:rPr>
      </w:pPr>
      <w:r w:rsidRPr="00CF2683">
        <w:rPr>
          <w:b/>
          <w:bCs/>
          <w:color w:val="000000"/>
        </w:rPr>
        <w:t>2. Engineering a switchable GDH using saturated domain-insertion profiling</w:t>
      </w:r>
    </w:p>
    <w:p w14:paraId="3DEBAD21" w14:textId="77777777" w:rsidR="00CF2683" w:rsidRPr="00CF2683" w:rsidRDefault="00CF2683" w:rsidP="00CF2683">
      <w:pPr>
        <w:keepLines/>
        <w:widowControl w:val="0"/>
        <w:tabs>
          <w:tab w:val="left" w:pos="720"/>
        </w:tabs>
        <w:jc w:val="center"/>
        <w:rPr>
          <w:b/>
          <w:bCs/>
        </w:rPr>
      </w:pPr>
    </w:p>
    <w:p w14:paraId="00F8902F" w14:textId="58F34E8B" w:rsidR="006B2F08" w:rsidRDefault="006B2F08" w:rsidP="006B2F08">
      <w:pPr>
        <w:keepNext/>
        <w:tabs>
          <w:tab w:val="left" w:pos="1228"/>
        </w:tabs>
        <w:rPr>
          <w:b/>
        </w:rPr>
      </w:pPr>
      <w:r>
        <w:rPr>
          <w:b/>
        </w:rPr>
        <w:t>2.1 GDH</w:t>
      </w:r>
      <w:r w:rsidR="00693D92">
        <w:rPr>
          <w:b/>
        </w:rPr>
        <w:t>-LBD</w:t>
      </w:r>
      <w:r>
        <w:rPr>
          <w:b/>
        </w:rPr>
        <w:t xml:space="preserve"> library construction.</w:t>
      </w:r>
    </w:p>
    <w:p w14:paraId="3C595BA5" w14:textId="4342A6B1" w:rsidR="00CF2683" w:rsidRPr="00CF2683" w:rsidRDefault="00CF2683" w:rsidP="00CF2683">
      <w:pPr>
        <w:jc w:val="both"/>
      </w:pPr>
      <w:r>
        <w:rPr>
          <w:b/>
        </w:rPr>
        <w:t xml:space="preserve">2.1.1 GDH oligo pools </w:t>
      </w:r>
      <w:r w:rsidRPr="00D817B1">
        <w:rPr>
          <w:b/>
          <w:i/>
          <w:iCs/>
        </w:rPr>
        <w:t>in silico</w:t>
      </w:r>
      <w:r>
        <w:rPr>
          <w:b/>
        </w:rPr>
        <w:t xml:space="preserve"> design.</w:t>
      </w:r>
      <w:r>
        <w:t xml:space="preserve"> </w:t>
      </w:r>
      <w:r w:rsidR="00BA38F7" w:rsidRPr="00BA38F7">
        <w:t xml:space="preserve">Python-GDH plasmid was prepared by performing site-direct mutation on GDH plasmid to remove </w:t>
      </w:r>
      <w:proofErr w:type="spellStart"/>
      <w:r w:rsidR="00BA38F7" w:rsidRPr="00BA38F7">
        <w:t>BsaI</w:t>
      </w:r>
      <w:proofErr w:type="spellEnd"/>
      <w:r w:rsidR="00BA38F7" w:rsidRPr="00BA38F7">
        <w:t xml:space="preserve"> and </w:t>
      </w:r>
      <w:proofErr w:type="spellStart"/>
      <w:r w:rsidR="00BA38F7" w:rsidRPr="00BA38F7">
        <w:t>Bsm</w:t>
      </w:r>
      <w:r w:rsidR="00132AED">
        <w:t>B</w:t>
      </w:r>
      <w:r w:rsidR="00BA38F7" w:rsidRPr="00BA38F7">
        <w:t>I</w:t>
      </w:r>
      <w:proofErr w:type="spellEnd"/>
      <w:r w:rsidR="00BA38F7" w:rsidRPr="00BA38F7">
        <w:t xml:space="preserve"> recognition sites. </w:t>
      </w:r>
      <w:r w:rsidR="00910046">
        <w:t>The resulted python-</w:t>
      </w:r>
      <w:r w:rsidR="00910046">
        <w:rPr>
          <w:color w:val="0E101A"/>
        </w:rPr>
        <w:t>GDH</w:t>
      </w:r>
      <w:r w:rsidR="00910046">
        <w:t xml:space="preserve"> </w:t>
      </w:r>
      <w:r>
        <w:t>w</w:t>
      </w:r>
      <w:r w:rsidR="00BA38F7">
        <w:t>as</w:t>
      </w:r>
      <w:r>
        <w:t xml:space="preserve"> prepared in FASTA format</w:t>
      </w:r>
      <w:r w:rsidR="00910046">
        <w:t xml:space="preserve">, </w:t>
      </w:r>
      <w:r>
        <w:t>then submitted to the custom algorithm (https://github.com/schmidt-lab/SPINE). This program generates oligo sequences, their corresponding primers for amplification, and the target backbone primers for inverse PCR.</w:t>
      </w:r>
    </w:p>
    <w:p w14:paraId="31269394" w14:textId="1F146863" w:rsidR="00647A5B" w:rsidRDefault="000147E7" w:rsidP="007933FE">
      <w:pPr>
        <w:jc w:val="center"/>
      </w:pPr>
      <w:r>
        <w:rPr>
          <w:noProof/>
        </w:rPr>
        <w:drawing>
          <wp:inline distT="0" distB="0" distL="0" distR="0" wp14:anchorId="20F460C5" wp14:editId="6CF55110">
            <wp:extent cx="5690132" cy="2336800"/>
            <wp:effectExtent l="0" t="0" r="0" b="0"/>
            <wp:docPr id="18480" name="image28.png" descr="Graphical user interfac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8.png" descr="Graphical user interface&#10;&#10;Description automatically generated with medium confidence"/>
                    <pic:cNvPicPr preferRelativeResize="0"/>
                  </pic:nvPicPr>
                  <pic:blipFill>
                    <a:blip r:embed="rId11"/>
                    <a:srcRect/>
                    <a:stretch>
                      <a:fillRect/>
                    </a:stretch>
                  </pic:blipFill>
                  <pic:spPr>
                    <a:xfrm>
                      <a:off x="0" y="0"/>
                      <a:ext cx="5722634" cy="2350148"/>
                    </a:xfrm>
                    <a:prstGeom prst="rect">
                      <a:avLst/>
                    </a:prstGeom>
                    <a:ln/>
                  </pic:spPr>
                </pic:pic>
              </a:graphicData>
            </a:graphic>
          </wp:inline>
        </w:drawing>
      </w:r>
    </w:p>
    <w:p w14:paraId="2FF85F2C" w14:textId="77777777" w:rsidR="00647A5B" w:rsidRDefault="000147E7">
      <w:pPr>
        <w:jc w:val="center"/>
      </w:pPr>
      <w:r>
        <w:rPr>
          <w:b/>
        </w:rPr>
        <w:t>Figure S1</w:t>
      </w:r>
      <w:r>
        <w:t xml:space="preserve">. </w:t>
      </w:r>
      <w:r>
        <w:rPr>
          <w:b/>
        </w:rPr>
        <w:t>SPINE workflow.</w:t>
      </w:r>
    </w:p>
    <w:p w14:paraId="2F0F93CD" w14:textId="77777777" w:rsidR="00CF2683" w:rsidRDefault="00CF2683">
      <w:pPr>
        <w:jc w:val="both"/>
        <w:rPr>
          <w:b/>
        </w:rPr>
      </w:pPr>
    </w:p>
    <w:p w14:paraId="1219AA3B" w14:textId="2449DB30" w:rsidR="00647A5B" w:rsidRDefault="000147E7">
      <w:pPr>
        <w:jc w:val="both"/>
      </w:pPr>
      <w:r>
        <w:rPr>
          <w:b/>
        </w:rPr>
        <w:t>2.1.2 Oligo pools amplification.</w:t>
      </w:r>
      <w:r>
        <w:t xml:space="preserve"> The silico-designed gene pool, which contains 454 oligos with a genetic handle</w:t>
      </w:r>
      <w:r w:rsidR="00BA38F7">
        <w:t xml:space="preserve"> </w:t>
      </w:r>
      <w:r w:rsidR="00132AED">
        <w:t>(</w:t>
      </w:r>
      <w:r w:rsidR="00132AED" w:rsidRPr="00132AED">
        <w:t>AGCGGGAGACCGGGGTCTCTGAGC</w:t>
      </w:r>
      <w:r w:rsidR="00132AED">
        <w:t>)</w:t>
      </w:r>
      <w:r>
        <w:t xml:space="preserve"> inserted across GDH, was synthesized by Twist </w:t>
      </w:r>
      <w:proofErr w:type="gramStart"/>
      <w:r>
        <w:t>Bioscience</w:t>
      </w:r>
      <w:proofErr w:type="gramEnd"/>
      <w:r>
        <w:t xml:space="preserve"> and received as ~ 80 ng of lyophilized DNA. This DNA was resuspended in TE buffer with a final concentration of 20 </w:t>
      </w:r>
      <w:proofErr w:type="spellStart"/>
      <w:r>
        <w:t>fmol</w:t>
      </w:r>
      <w:proofErr w:type="spellEnd"/>
      <w:r>
        <w:t>/µL. The eight oligo pools were PCR amplified with their corresponding primers using Q5 hot start polymerase (NEB) in 50 µL reactions with 1 µL template for 20 cycles. The entire PCR reaction was run on 3 % agarose gels, visualized with Gel Green (Bio-Rad). The brightest bands were cut for gel purification (Qiagen).</w:t>
      </w:r>
    </w:p>
    <w:p w14:paraId="7DA457C5" w14:textId="77777777" w:rsidR="00647A5B" w:rsidRDefault="00647A5B"/>
    <w:p w14:paraId="24C82591" w14:textId="79AF9FFD" w:rsidR="00647A5B" w:rsidRDefault="000147E7">
      <w:pPr>
        <w:pBdr>
          <w:top w:val="nil"/>
          <w:left w:val="nil"/>
          <w:bottom w:val="nil"/>
          <w:right w:val="nil"/>
          <w:between w:val="nil"/>
        </w:pBdr>
        <w:jc w:val="both"/>
        <w:rPr>
          <w:color w:val="0E101A"/>
        </w:rPr>
      </w:pPr>
      <w:r>
        <w:rPr>
          <w:b/>
          <w:color w:val="0E101A"/>
        </w:rPr>
        <w:t xml:space="preserve">2.1.3. Combining oligo pool with target gene backbone. </w:t>
      </w:r>
      <w:r>
        <w:rPr>
          <w:color w:val="0E101A"/>
        </w:rPr>
        <w:t xml:space="preserve">We first prepared eight linear backbones franked by complementary </w:t>
      </w:r>
      <w:proofErr w:type="spellStart"/>
      <w:r>
        <w:rPr>
          <w:color w:val="0E101A"/>
        </w:rPr>
        <w:t>BsmBI</w:t>
      </w:r>
      <w:proofErr w:type="spellEnd"/>
      <w:r>
        <w:rPr>
          <w:color w:val="0E101A"/>
        </w:rPr>
        <w:t xml:space="preserve"> sites to their corresponding oligo pools by PCR using Q5 hot start polymerase and python-GDH plasmid as the template. PCR products were run on 1.2 % agarose gels, visualized, and gel purified. The backbone and oligo pools were combined using the Golden Gate assembly kit (BsmBI-v2, from NEB) in a 20 µL reaction with a 2:1 ratio (vector: inserts) at 42 </w:t>
      </w:r>
      <w:r>
        <w:rPr>
          <w:color w:val="0E101A"/>
          <w:vertAlign w:val="superscript"/>
        </w:rPr>
        <w:t>◦</w:t>
      </w:r>
      <w:r>
        <w:rPr>
          <w:color w:val="0E101A"/>
        </w:rPr>
        <w:t xml:space="preserve">C for one hour. The products were directly transformed into </w:t>
      </w:r>
      <w:r>
        <w:rPr>
          <w:i/>
          <w:color w:val="000000"/>
        </w:rPr>
        <w:t>E. coli</w:t>
      </w:r>
      <w:r>
        <w:rPr>
          <w:color w:val="000000"/>
        </w:rPr>
        <w:t xml:space="preserve"> </w:t>
      </w:r>
      <w:r>
        <w:rPr>
          <w:color w:val="0E101A"/>
        </w:rPr>
        <w:t xml:space="preserve">DH5α chemically competent cells (NEB) according to the manufacturer’s instructions. The transformed cells were grown overnight at 37 </w:t>
      </w:r>
      <w:r>
        <w:rPr>
          <w:color w:val="0E101A"/>
          <w:vertAlign w:val="superscript"/>
        </w:rPr>
        <w:t>◦</w:t>
      </w:r>
      <w:r>
        <w:rPr>
          <w:color w:val="0E101A"/>
        </w:rPr>
        <w:t xml:space="preserve">C in 2 mL LB with 50 µg/mL kanamycin shaking at 250 rpm. </w:t>
      </w:r>
    </w:p>
    <w:p w14:paraId="2D55EF0A" w14:textId="77777777" w:rsidR="00647A5B" w:rsidRDefault="000147E7">
      <w:pPr>
        <w:keepNext/>
        <w:pBdr>
          <w:top w:val="nil"/>
          <w:left w:val="nil"/>
          <w:bottom w:val="nil"/>
          <w:right w:val="nil"/>
          <w:between w:val="nil"/>
        </w:pBdr>
        <w:tabs>
          <w:tab w:val="left" w:pos="1228"/>
        </w:tabs>
        <w:spacing w:before="240"/>
        <w:jc w:val="center"/>
        <w:rPr>
          <w:color w:val="000000"/>
        </w:rPr>
      </w:pPr>
      <w:r>
        <w:rPr>
          <w:b/>
          <w:color w:val="000000"/>
        </w:rPr>
        <w:t>Table S1</w:t>
      </w:r>
      <w:r>
        <w:rPr>
          <w:color w:val="000000"/>
        </w:rPr>
        <w:t xml:space="preserve">. </w:t>
      </w:r>
      <w:r>
        <w:rPr>
          <w:b/>
          <w:color w:val="000000"/>
        </w:rPr>
        <w:t xml:space="preserve">Sanger sequencing of </w:t>
      </w:r>
      <w:r>
        <w:rPr>
          <w:b/>
          <w:color w:val="0E101A"/>
        </w:rPr>
        <w:t>libraries</w:t>
      </w:r>
      <w:r>
        <w:rPr>
          <w:color w:val="000000"/>
        </w:rPr>
        <w:t xml:space="preserve"> </w:t>
      </w:r>
    </w:p>
    <w:p w14:paraId="54C0116C" w14:textId="77777777" w:rsidR="00647A5B" w:rsidRDefault="000147E7" w:rsidP="007933FE">
      <w:pPr>
        <w:keepNext/>
        <w:pBdr>
          <w:top w:val="nil"/>
          <w:left w:val="nil"/>
          <w:bottom w:val="nil"/>
          <w:right w:val="nil"/>
          <w:between w:val="nil"/>
        </w:pBdr>
        <w:tabs>
          <w:tab w:val="left" w:pos="1228"/>
        </w:tabs>
        <w:jc w:val="center"/>
        <w:rPr>
          <w:color w:val="000000"/>
        </w:rPr>
      </w:pPr>
      <w:r>
        <w:rPr>
          <w:noProof/>
          <w:color w:val="000000"/>
        </w:rPr>
        <w:drawing>
          <wp:inline distT="0" distB="0" distL="0" distR="0" wp14:anchorId="2DEFEF3D" wp14:editId="34510F10">
            <wp:extent cx="4500394" cy="1976120"/>
            <wp:effectExtent l="0" t="0" r="0" b="5080"/>
            <wp:docPr id="18482" name="image14.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A picture containing text&#10;&#10;Description automatically generated"/>
                    <pic:cNvPicPr preferRelativeResize="0"/>
                  </pic:nvPicPr>
                  <pic:blipFill>
                    <a:blip r:embed="rId12"/>
                    <a:srcRect/>
                    <a:stretch>
                      <a:fillRect/>
                    </a:stretch>
                  </pic:blipFill>
                  <pic:spPr>
                    <a:xfrm>
                      <a:off x="0" y="0"/>
                      <a:ext cx="4568777" cy="2006147"/>
                    </a:xfrm>
                    <a:prstGeom prst="rect">
                      <a:avLst/>
                    </a:prstGeom>
                    <a:ln/>
                  </pic:spPr>
                </pic:pic>
              </a:graphicData>
            </a:graphic>
          </wp:inline>
        </w:drawing>
      </w:r>
    </w:p>
    <w:p w14:paraId="67693E50" w14:textId="77777777" w:rsidR="00647A5B" w:rsidRDefault="00647A5B"/>
    <w:p w14:paraId="4B887A59" w14:textId="08368518" w:rsidR="00647A5B" w:rsidRDefault="000147E7">
      <w:pPr>
        <w:jc w:val="both"/>
        <w:rPr>
          <w:color w:val="0E101A"/>
        </w:rPr>
      </w:pPr>
      <w:r>
        <w:rPr>
          <w:b/>
          <w:color w:val="0E101A"/>
        </w:rPr>
        <w:t>2.1.4. Replacing the genetic handle with ligand binding domain</w:t>
      </w:r>
      <w:r w:rsidR="00C87608">
        <w:rPr>
          <w:b/>
          <w:color w:val="0E101A"/>
        </w:rPr>
        <w:t xml:space="preserve"> (LBD)</w:t>
      </w:r>
      <w:r>
        <w:rPr>
          <w:b/>
          <w:color w:val="0E101A"/>
        </w:rPr>
        <w:t xml:space="preserve"> of estrogen receptor. </w:t>
      </w:r>
      <w:r>
        <w:rPr>
          <w:color w:val="0E101A"/>
        </w:rPr>
        <w:t xml:space="preserve">The LBD was a kind gift from Dr. Jonathan J. </w:t>
      </w:r>
      <w:proofErr w:type="spellStart"/>
      <w:r>
        <w:rPr>
          <w:color w:val="0E101A"/>
        </w:rPr>
        <w:t>Silberg</w:t>
      </w:r>
      <w:proofErr w:type="spellEnd"/>
      <w:r>
        <w:rPr>
          <w:color w:val="0E101A"/>
        </w:rPr>
        <w:t xml:space="preserve"> (Rice University). </w:t>
      </w:r>
      <w:proofErr w:type="spellStart"/>
      <w:r>
        <w:rPr>
          <w:color w:val="0E101A"/>
        </w:rPr>
        <w:t>BsaI</w:t>
      </w:r>
      <w:proofErr w:type="spellEnd"/>
      <w:r>
        <w:rPr>
          <w:color w:val="0E101A"/>
        </w:rPr>
        <w:t xml:space="preserve"> sites</w:t>
      </w:r>
      <w:r w:rsidR="00C87608">
        <w:rPr>
          <w:color w:val="0E101A"/>
        </w:rPr>
        <w:t>,</w:t>
      </w:r>
      <w:r>
        <w:rPr>
          <w:color w:val="0E101A"/>
        </w:rPr>
        <w:t xml:space="preserve"> complementary to those in the inserted genetic handle</w:t>
      </w:r>
      <w:r w:rsidR="00C87608">
        <w:rPr>
          <w:color w:val="0E101A"/>
        </w:rPr>
        <w:t>,</w:t>
      </w:r>
      <w:r>
        <w:rPr>
          <w:color w:val="0E101A"/>
        </w:rPr>
        <w:t xml:space="preserve"> were added to LBD by PCR using Q5 hot start polymerase. To limit the background of the GDH with the genetic handle, we first digested 500 ng intermediate library plasmids with BsaI-HFv2 (NEB) for one hour at 37</w:t>
      </w:r>
      <w:r>
        <w:rPr>
          <w:color w:val="0E101A"/>
          <w:vertAlign w:val="superscript"/>
        </w:rPr>
        <w:t>◦</w:t>
      </w:r>
      <w:r>
        <w:rPr>
          <w:color w:val="0E101A"/>
        </w:rPr>
        <w:t>C. After gel extraction, 80</w:t>
      </w:r>
      <w:r w:rsidR="00C87608">
        <w:rPr>
          <w:color w:val="0E101A"/>
        </w:rPr>
        <w:t xml:space="preserve"> </w:t>
      </w:r>
      <w:r>
        <w:rPr>
          <w:color w:val="0E101A"/>
        </w:rPr>
        <w:t xml:space="preserve">ng of linearized vectors were recycled from 1.2 % agarose gel. The linear vectors were assembled with 23 ng LBD in a 20 µL reaction by Golden Gate assembly kit (BsaI-HFv2, from NEB) at 37 </w:t>
      </w:r>
      <w:r>
        <w:rPr>
          <w:color w:val="0E101A"/>
          <w:vertAlign w:val="superscript"/>
        </w:rPr>
        <w:t>◦</w:t>
      </w:r>
      <w:r>
        <w:rPr>
          <w:color w:val="0E101A"/>
        </w:rPr>
        <w:t xml:space="preserve">C for one hour. The product was directly transformed into </w:t>
      </w:r>
      <w:r>
        <w:rPr>
          <w:i/>
        </w:rPr>
        <w:t>E. coli</w:t>
      </w:r>
      <w:r>
        <w:t xml:space="preserve"> </w:t>
      </w:r>
      <w:r>
        <w:rPr>
          <w:color w:val="0E101A"/>
        </w:rPr>
        <w:t>NEB-10 beta competent cells. Cells were grown in 5 mL LB with 50 µg/mL kanamycin shaking at 250 rpm</w:t>
      </w:r>
      <w:r w:rsidR="00C87608">
        <w:rPr>
          <w:color w:val="0E101A"/>
        </w:rPr>
        <w:t xml:space="preserve">, 37 </w:t>
      </w:r>
      <w:r w:rsidR="00C87608">
        <w:rPr>
          <w:color w:val="0E101A"/>
          <w:vertAlign w:val="superscript"/>
        </w:rPr>
        <w:t>◦</w:t>
      </w:r>
      <w:r w:rsidR="00C87608">
        <w:rPr>
          <w:color w:val="0E101A"/>
        </w:rPr>
        <w:t>C, overnight</w:t>
      </w:r>
      <w:r>
        <w:rPr>
          <w:color w:val="0E101A"/>
        </w:rPr>
        <w:t xml:space="preserve">. </w:t>
      </w:r>
    </w:p>
    <w:p w14:paraId="4DCA88C4" w14:textId="77777777" w:rsidR="00647A5B" w:rsidRDefault="00647A5B">
      <w:pPr>
        <w:rPr>
          <w:color w:val="0E101A"/>
        </w:rPr>
      </w:pPr>
    </w:p>
    <w:p w14:paraId="6DED9846" w14:textId="4BCA0EEB" w:rsidR="00647A5B" w:rsidRDefault="000147E7">
      <w:pPr>
        <w:keepLines/>
        <w:widowControl w:val="0"/>
        <w:jc w:val="both"/>
        <w:rPr>
          <w:color w:val="0E101A"/>
        </w:rPr>
      </w:pPr>
      <w:r>
        <w:rPr>
          <w:b/>
          <w:color w:val="0E101A"/>
        </w:rPr>
        <w:t>2.1.5. Deep sequencing of GDH</w:t>
      </w:r>
      <w:r w:rsidR="00132AED">
        <w:rPr>
          <w:b/>
          <w:color w:val="0E101A"/>
        </w:rPr>
        <w:t>-LBD</w:t>
      </w:r>
      <w:r>
        <w:rPr>
          <w:b/>
          <w:color w:val="0E101A"/>
        </w:rPr>
        <w:t xml:space="preserve"> library. </w:t>
      </w:r>
    </w:p>
    <w:p w14:paraId="0D53B862" w14:textId="77777777" w:rsidR="00647A5B" w:rsidRDefault="000147E7">
      <w:pPr>
        <w:keepLines/>
        <w:widowControl w:val="0"/>
        <w:pBdr>
          <w:top w:val="nil"/>
          <w:left w:val="nil"/>
          <w:bottom w:val="nil"/>
          <w:right w:val="nil"/>
          <w:between w:val="nil"/>
        </w:pBdr>
        <w:tabs>
          <w:tab w:val="left" w:pos="1228"/>
        </w:tabs>
        <w:spacing w:before="240"/>
        <w:jc w:val="center"/>
        <w:rPr>
          <w:color w:val="000000"/>
        </w:rPr>
      </w:pPr>
      <w:r>
        <w:rPr>
          <w:noProof/>
          <w:color w:val="000000"/>
        </w:rPr>
        <w:drawing>
          <wp:inline distT="0" distB="0" distL="0" distR="0" wp14:anchorId="3B5D2121" wp14:editId="5D0FC9E5">
            <wp:extent cx="5110896" cy="1560946"/>
            <wp:effectExtent l="0" t="0" r="0" b="1270"/>
            <wp:docPr id="18481" name="image5.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picture containing chart&#10;&#10;Description automatically generated"/>
                    <pic:cNvPicPr preferRelativeResize="0"/>
                  </pic:nvPicPr>
                  <pic:blipFill>
                    <a:blip r:embed="rId13"/>
                    <a:srcRect/>
                    <a:stretch>
                      <a:fillRect/>
                    </a:stretch>
                  </pic:blipFill>
                  <pic:spPr>
                    <a:xfrm>
                      <a:off x="0" y="0"/>
                      <a:ext cx="5171877" cy="1579571"/>
                    </a:xfrm>
                    <a:prstGeom prst="rect">
                      <a:avLst/>
                    </a:prstGeom>
                    <a:ln/>
                  </pic:spPr>
                </pic:pic>
              </a:graphicData>
            </a:graphic>
          </wp:inline>
        </w:drawing>
      </w:r>
    </w:p>
    <w:p w14:paraId="5FD530F6" w14:textId="6199B281" w:rsidR="00647A5B" w:rsidRDefault="000147E7">
      <w:pPr>
        <w:keepLines/>
        <w:widowControl w:val="0"/>
        <w:pBdr>
          <w:top w:val="nil"/>
          <w:left w:val="nil"/>
          <w:bottom w:val="nil"/>
          <w:right w:val="nil"/>
          <w:between w:val="nil"/>
        </w:pBdr>
        <w:tabs>
          <w:tab w:val="left" w:pos="1228"/>
        </w:tabs>
        <w:jc w:val="both"/>
        <w:rPr>
          <w:color w:val="000000"/>
        </w:rPr>
      </w:pPr>
      <w:r>
        <w:rPr>
          <w:b/>
          <w:color w:val="000000"/>
        </w:rPr>
        <w:t>Figure S2</w:t>
      </w:r>
      <w:r>
        <w:rPr>
          <w:color w:val="000000"/>
        </w:rPr>
        <w:t xml:space="preserve">. </w:t>
      </w:r>
      <w:r>
        <w:rPr>
          <w:b/>
          <w:color w:val="000000"/>
        </w:rPr>
        <w:t>Profile of LBD insertion along GDH.</w:t>
      </w:r>
      <w:r>
        <w:rPr>
          <w:color w:val="000000"/>
        </w:rPr>
        <w:t xml:space="preserve"> LBD was inserted after all the 454 amino acids of GDH. The green dashed line indicates the boundary of eight tiles.</w:t>
      </w:r>
    </w:p>
    <w:p w14:paraId="6061F9F8" w14:textId="77777777" w:rsidR="002E735D" w:rsidRDefault="002E735D">
      <w:pPr>
        <w:keepLines/>
        <w:widowControl w:val="0"/>
        <w:pBdr>
          <w:top w:val="nil"/>
          <w:left w:val="nil"/>
          <w:bottom w:val="nil"/>
          <w:right w:val="nil"/>
          <w:between w:val="nil"/>
        </w:pBdr>
        <w:tabs>
          <w:tab w:val="left" w:pos="1228"/>
        </w:tabs>
        <w:jc w:val="both"/>
        <w:rPr>
          <w:color w:val="000000"/>
        </w:rPr>
      </w:pPr>
    </w:p>
    <w:p w14:paraId="51A7DC56" w14:textId="22DCBD07" w:rsidR="00647A5B" w:rsidRDefault="000147E7">
      <w:pPr>
        <w:widowControl w:val="0"/>
        <w:pBdr>
          <w:top w:val="nil"/>
          <w:left w:val="nil"/>
          <w:bottom w:val="nil"/>
          <w:right w:val="nil"/>
          <w:between w:val="nil"/>
        </w:pBdr>
        <w:tabs>
          <w:tab w:val="left" w:pos="720"/>
          <w:tab w:val="right" w:pos="8640"/>
        </w:tabs>
        <w:jc w:val="both"/>
        <w:rPr>
          <w:color w:val="000000"/>
        </w:rPr>
      </w:pPr>
      <w:r>
        <w:rPr>
          <w:b/>
          <w:color w:val="000000"/>
        </w:rPr>
        <w:t>2.2. Screening the GDH</w:t>
      </w:r>
      <w:r w:rsidR="00020A98">
        <w:rPr>
          <w:b/>
          <w:color w:val="000000"/>
        </w:rPr>
        <w:t>-LBD</w:t>
      </w:r>
      <w:r>
        <w:rPr>
          <w:b/>
          <w:color w:val="000000"/>
        </w:rPr>
        <w:t xml:space="preserve"> library</w:t>
      </w:r>
    </w:p>
    <w:p w14:paraId="2FBCB79E" w14:textId="37F45E32" w:rsidR="00647A5B" w:rsidRDefault="000147E7">
      <w:pPr>
        <w:keepLines/>
        <w:widowControl w:val="0"/>
        <w:pBdr>
          <w:top w:val="nil"/>
          <w:left w:val="nil"/>
          <w:bottom w:val="nil"/>
          <w:right w:val="nil"/>
          <w:between w:val="nil"/>
        </w:pBdr>
        <w:tabs>
          <w:tab w:val="left" w:pos="720"/>
          <w:tab w:val="right" w:pos="8640"/>
        </w:tabs>
        <w:jc w:val="both"/>
        <w:rPr>
          <w:color w:val="000000"/>
        </w:rPr>
      </w:pPr>
      <w:r>
        <w:rPr>
          <w:b/>
          <w:color w:val="000000"/>
        </w:rPr>
        <w:t xml:space="preserve">The probability that the library is complete. </w:t>
      </w:r>
      <w:r>
        <w:rPr>
          <w:color w:val="000000"/>
        </w:rPr>
        <w:t>F</w:t>
      </w:r>
      <w:r w:rsidR="00ED65C8">
        <w:rPr>
          <w:color w:val="000000"/>
        </w:rPr>
        <w:t>or</w:t>
      </w:r>
      <w:r>
        <w:rPr>
          <w:color w:val="000000"/>
        </w:rPr>
        <w:t xml:space="preserve"> statistical analysis</w:t>
      </w:r>
      <w:r w:rsidR="00FC0EF3">
        <w:rPr>
          <w:color w:val="000000"/>
        </w:rPr>
        <w:fldChar w:fldCharType="begin"/>
      </w:r>
      <w:r w:rsidR="00FC0EF3">
        <w:rPr>
          <w:color w:val="000000"/>
        </w:rPr>
        <w:instrText xml:space="preserve"> ADDIN EN.CITE &lt;EndNote&gt;&lt;Cite&gt;&lt;Author&gt;Bosley&lt;/Author&gt;&lt;Year&gt;2005&lt;/Year&gt;&lt;RecNum&gt;370&lt;/RecNum&gt;&lt;DisplayText&gt;&lt;style face="superscript"&gt;1&lt;/style&gt;&lt;/DisplayText&gt;&lt;record&gt;&lt;rec-number&gt;370&lt;/rec-number&gt;&lt;foreign-keys&gt;&lt;key app="EN" db-id="strzfzvvu5wdtueerv3xfxzww9efws2z0ptz" timestamp="1659921890" guid="fe17d2f6-6efe-47d3-8d53-f1d4d889ed90"&gt;370&lt;/key&gt;&lt;/foreign-keys&gt;&lt;ref-type name="Journal Article"&gt;17&lt;/ref-type&gt;&lt;contributors&gt;&lt;authors&gt;&lt;author&gt;Bosley, Allen D&lt;/author&gt;&lt;author&gt;Ostermeier, Marc&lt;/author&gt;&lt;/authors&gt;&lt;/contributors&gt;&lt;titles&gt;&lt;title&gt;Mathematical expressions useful in the construction, description and evaluation of protein libraries&lt;/title&gt;&lt;secondary-title&gt;Biomolecular engineering&lt;/secondary-title&gt;&lt;/titles&gt;&lt;periodical&gt;&lt;full-title&gt;Biomolecular engineering&lt;/full-title&gt;&lt;/periodical&gt;&lt;pages&gt;57-61&lt;/pages&gt;&lt;volume&gt;22&lt;/volume&gt;&lt;number&gt;1-3&lt;/number&gt;&lt;dates&gt;&lt;year&gt;2005&lt;/year&gt;&lt;/dates&gt;&lt;isbn&gt;1389-0344&lt;/isbn&gt;&lt;urls&gt;&lt;/urls&gt;&lt;/record&gt;&lt;/Cite&gt;&lt;/EndNote&gt;</w:instrText>
      </w:r>
      <w:r w:rsidR="00FC0EF3">
        <w:rPr>
          <w:color w:val="000000"/>
        </w:rPr>
        <w:fldChar w:fldCharType="separate"/>
      </w:r>
      <w:r w:rsidR="00FC0EF3" w:rsidRPr="00FC0EF3">
        <w:rPr>
          <w:noProof/>
          <w:color w:val="000000"/>
          <w:vertAlign w:val="superscript"/>
        </w:rPr>
        <w:t>1</w:t>
      </w:r>
      <w:r w:rsidR="00FC0EF3">
        <w:rPr>
          <w:color w:val="000000"/>
        </w:rPr>
        <w:fldChar w:fldCharType="end"/>
      </w:r>
      <w:r>
        <w:rPr>
          <w:color w:val="000000"/>
        </w:rPr>
        <w:t>, the probability</w:t>
      </w:r>
      <w:r>
        <w:rPr>
          <w:rFonts w:ascii="Cambria Math" w:eastAsia="Cambria Math" w:hAnsi="Cambria Math" w:cs="Cambria Math"/>
          <w:i/>
          <w:color w:val="000000"/>
          <w:sz w:val="20"/>
          <w:szCs w:val="20"/>
        </w:rPr>
        <w:t xml:space="preserv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i</m:t>
            </m:r>
          </m:sub>
        </m:sSub>
      </m:oMath>
      <w:r>
        <w:rPr>
          <w:color w:val="000000"/>
        </w:rPr>
        <w:t xml:space="preserve"> that a particular sequence in the library occurs, </w:t>
      </w:r>
      <m:oMath>
        <m:r>
          <w:rPr>
            <w:rFonts w:ascii="Cambria Math" w:eastAsia="Cambria Math" w:hAnsi="Cambria Math" w:cs="Cambria Math"/>
            <w:color w:val="000000"/>
          </w:rPr>
          <m:t>i</m:t>
        </m:r>
      </m:oMath>
      <w:r>
        <w:rPr>
          <w:color w:val="000000"/>
        </w:rPr>
        <w:t>, is calculated as:</w:t>
      </w:r>
    </w:p>
    <w:p w14:paraId="75DD0335" w14:textId="77777777" w:rsidR="00647A5B" w:rsidRDefault="00510892">
      <w:pPr>
        <w:jc w:val="center"/>
        <w:rPr>
          <w:rFonts w:ascii="Cambria Math" w:eastAsia="Cambria Math" w:hAnsi="Cambria Math" w:cs="Cambria Math"/>
          <w:color w:val="000000"/>
          <w:sz w:val="20"/>
          <w:szCs w:val="20"/>
        </w:rPr>
      </w:pPr>
      <m:oMathPara>
        <m:oMath>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P</m:t>
              </m:r>
            </m:e>
            <m:sub>
              <m:r>
                <w:rPr>
                  <w:rFonts w:ascii="Cambria Math" w:eastAsia="Cambria Math" w:hAnsi="Cambria Math" w:cs="Cambria Math"/>
                  <w:color w:val="000000"/>
                  <w:sz w:val="20"/>
                  <w:szCs w:val="20"/>
                </w:rPr>
                <m:t>i</m:t>
              </m:r>
            </m:sub>
          </m:sSub>
          <m:r>
            <w:rPr>
              <w:rFonts w:ascii="Cambria Math" w:eastAsia="Cambria Math" w:hAnsi="Cambria Math" w:cs="Cambria Math"/>
              <w:color w:val="000000"/>
              <w:sz w:val="20"/>
              <w:szCs w:val="20"/>
            </w:rPr>
            <m:t>=1-</m:t>
          </m:r>
          <m:sSup>
            <m:sSupPr>
              <m:ctrlPr>
                <w:rPr>
                  <w:rFonts w:ascii="Cambria Math" w:eastAsia="Cambria Math" w:hAnsi="Cambria Math" w:cs="Cambria Math"/>
                  <w:color w:val="000000"/>
                  <w:sz w:val="20"/>
                  <w:szCs w:val="20"/>
                </w:rPr>
              </m:ctrlPr>
            </m:sSupPr>
            <m:e>
              <m:r>
                <w:rPr>
                  <w:rFonts w:ascii="Cambria Math" w:eastAsia="Cambria Math" w:hAnsi="Cambria Math" w:cs="Cambria Math"/>
                  <w:color w:val="000000"/>
                  <w:sz w:val="20"/>
                  <w:szCs w:val="20"/>
                </w:rPr>
                <m:t>(1-</m:t>
              </m:r>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F</m:t>
                  </m:r>
                </m:e>
                <m:sub>
                  <m:r>
                    <w:rPr>
                      <w:rFonts w:ascii="Cambria Math" w:eastAsia="Cambria Math" w:hAnsi="Cambria Math" w:cs="Cambria Math"/>
                      <w:color w:val="000000"/>
                      <w:sz w:val="20"/>
                      <w:szCs w:val="20"/>
                    </w:rPr>
                    <m:t>i</m:t>
                  </m:r>
                </m:sub>
              </m:sSub>
              <m:r>
                <w:rPr>
                  <w:rFonts w:ascii="Cambria Math" w:eastAsia="Cambria Math" w:hAnsi="Cambria Math" w:cs="Cambria Math"/>
                  <w:color w:val="000000"/>
                  <w:sz w:val="20"/>
                  <w:szCs w:val="20"/>
                </w:rPr>
                <m:t>)</m:t>
              </m:r>
            </m:e>
            <m:sup>
              <m:r>
                <w:rPr>
                  <w:rFonts w:ascii="Cambria Math" w:eastAsia="Cambria Math" w:hAnsi="Cambria Math" w:cs="Cambria Math"/>
                  <w:color w:val="000000"/>
                  <w:sz w:val="20"/>
                  <w:szCs w:val="20"/>
                </w:rPr>
                <m:t>T</m:t>
              </m:r>
            </m:sup>
          </m:sSup>
        </m:oMath>
      </m:oMathPara>
    </w:p>
    <w:p w14:paraId="3AD10E27" w14:textId="77777777" w:rsidR="00647A5B" w:rsidRDefault="000147E7">
      <w:pPr>
        <w:keepLines/>
        <w:widowControl w:val="0"/>
        <w:pBdr>
          <w:top w:val="nil"/>
          <w:left w:val="nil"/>
          <w:bottom w:val="nil"/>
          <w:right w:val="nil"/>
          <w:between w:val="nil"/>
        </w:pBdr>
        <w:tabs>
          <w:tab w:val="left" w:pos="1228"/>
        </w:tabs>
        <w:jc w:val="both"/>
        <w:rPr>
          <w:color w:val="000000"/>
        </w:rPr>
      </w:pPr>
      <w:r>
        <w:rPr>
          <w:color w:val="000000"/>
        </w:rPr>
        <w:t xml:space="preserve">Where </w:t>
      </w:r>
      <w:r>
        <w:rPr>
          <w:i/>
          <w:color w:val="000000"/>
        </w:rPr>
        <w:t>T</w:t>
      </w:r>
      <w:r>
        <w:rPr>
          <w:color w:val="000000"/>
        </w:rPr>
        <w:t xml:space="preserve"> is the number of transformants or screen candidates;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F</m:t>
            </m:r>
          </m:e>
          <m:sub>
            <m:r>
              <w:rPr>
                <w:rFonts w:ascii="Cambria Math" w:eastAsia="Cambria Math" w:hAnsi="Cambria Math" w:cs="Cambria Math"/>
                <w:color w:val="000000"/>
              </w:rPr>
              <m:t>i</m:t>
            </m:r>
          </m:sub>
        </m:sSub>
      </m:oMath>
      <w:r>
        <w:rPr>
          <w:color w:val="000000"/>
        </w:rPr>
        <w:t xml:space="preserve"> is the product of the frequency that </w:t>
      </w:r>
      <w:proofErr w:type="spellStart"/>
      <w:r>
        <w:rPr>
          <w:i/>
          <w:color w:val="000000"/>
        </w:rPr>
        <w:t>i</w:t>
      </w:r>
      <w:proofErr w:type="spellEnd"/>
      <w:r>
        <w:rPr>
          <w:color w:val="000000"/>
        </w:rPr>
        <w:t xml:space="preserve"> is expected to be present considering the methods used to create the library and the frequency of “meaningful” library member, for example, the perfect colony capable of expressing targeting protein.</w:t>
      </w:r>
    </w:p>
    <w:p w14:paraId="0118B86D" w14:textId="77777777" w:rsidR="00647A5B" w:rsidRDefault="000147E7">
      <w:pPr>
        <w:keepLines/>
        <w:widowControl w:val="0"/>
        <w:pBdr>
          <w:top w:val="nil"/>
          <w:left w:val="nil"/>
          <w:bottom w:val="nil"/>
          <w:right w:val="nil"/>
          <w:between w:val="nil"/>
        </w:pBdr>
        <w:tabs>
          <w:tab w:val="left" w:pos="720"/>
        </w:tabs>
        <w:jc w:val="both"/>
        <w:rPr>
          <w:color w:val="000000"/>
        </w:rPr>
      </w:pPr>
      <w:r>
        <w:rPr>
          <w:color w:val="000000"/>
        </w:rPr>
        <w:tab/>
        <w:t xml:space="preserve">If the chance of occurrence for each member of the library is equal, the probability of each </w:t>
      </w:r>
      <w:proofErr w:type="gramStart"/>
      <w:r>
        <w:rPr>
          <w:color w:val="000000"/>
        </w:rPr>
        <w:t>particular member</w:t>
      </w:r>
      <w:proofErr w:type="gramEnd"/>
      <w:r>
        <w:rPr>
          <w:color w:val="000000"/>
        </w:rPr>
        <w:t xml:space="preserve"> being present in a library can be calculated as </w:t>
      </w:r>
    </w:p>
    <w:p w14:paraId="2C67E14D" w14:textId="170934C6" w:rsidR="00647A5B" w:rsidRDefault="00510892">
      <w:pPr>
        <w:jc w:val="center"/>
        <w:rPr>
          <w:rFonts w:ascii="Cambria Math" w:eastAsia="Cambria Math" w:hAnsi="Cambria Math" w:cs="Cambria Math"/>
          <w:color w:val="000000"/>
          <w:sz w:val="20"/>
          <w:szCs w:val="20"/>
        </w:rPr>
      </w:pPr>
      <m:oMathPara>
        <m:oMath>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P</m:t>
              </m:r>
            </m:e>
            <m:sub>
              <m:r>
                <w:rPr>
                  <w:rFonts w:ascii="Cambria Math" w:eastAsia="Cambria Math" w:hAnsi="Cambria Math" w:cs="Cambria Math"/>
                  <w:color w:val="000000"/>
                  <w:sz w:val="20"/>
                  <w:szCs w:val="20"/>
                </w:rPr>
                <m:t>c</m:t>
              </m:r>
            </m:sub>
          </m:sSub>
          <m:r>
            <w:rPr>
              <w:rFonts w:ascii="Cambria Math" w:eastAsia="Cambria Math" w:hAnsi="Cambria Math" w:cs="Cambria Math"/>
              <w:color w:val="000000"/>
              <w:sz w:val="20"/>
              <w:szCs w:val="20"/>
            </w:rPr>
            <m:t>=</m:t>
          </m:r>
          <m:nary>
            <m:naryPr>
              <m:chr m:val="∏"/>
              <m:ctrlPr>
                <w:rPr>
                  <w:rFonts w:ascii="Cambria Math" w:eastAsia="Cambria Math" w:hAnsi="Cambria Math" w:cs="Cambria Math"/>
                  <w:color w:val="000000"/>
                  <w:sz w:val="20"/>
                  <w:szCs w:val="20"/>
                </w:rPr>
              </m:ctrlPr>
            </m:naryPr>
            <m:sub>
              <m:r>
                <w:rPr>
                  <w:rFonts w:ascii="Cambria Math" w:eastAsia="Cambria Math" w:hAnsi="Cambria Math" w:cs="Cambria Math"/>
                  <w:color w:val="000000"/>
                  <w:sz w:val="20"/>
                  <w:szCs w:val="20"/>
                </w:rPr>
                <m:t>i=1</m:t>
              </m:r>
            </m:sub>
            <m:sup>
              <m:r>
                <w:rPr>
                  <w:rFonts w:ascii="Cambria Math" w:eastAsia="Cambria Math" w:hAnsi="Cambria Math" w:cs="Cambria Math"/>
                  <w:color w:val="000000"/>
                  <w:sz w:val="20"/>
                  <w:szCs w:val="20"/>
                </w:rPr>
                <m:t>D</m:t>
              </m:r>
            </m:sup>
            <m:e>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P</m:t>
                  </m:r>
                </m:e>
                <m:sub>
                  <m:r>
                    <w:rPr>
                      <w:rFonts w:ascii="Cambria Math" w:eastAsia="Cambria Math" w:hAnsi="Cambria Math" w:cs="Cambria Math"/>
                      <w:color w:val="000000"/>
                      <w:sz w:val="20"/>
                      <w:szCs w:val="20"/>
                    </w:rPr>
                    <m:t>i</m:t>
                  </m:r>
                </m:sub>
              </m:sSub>
            </m:e>
          </m:nary>
        </m:oMath>
      </m:oMathPara>
    </w:p>
    <w:p w14:paraId="283B0730" w14:textId="34CE6640" w:rsidR="00647A5B" w:rsidRDefault="000147E7">
      <w:pPr>
        <w:keepLines/>
        <w:widowControl w:val="0"/>
        <w:pBdr>
          <w:top w:val="nil"/>
          <w:left w:val="nil"/>
          <w:bottom w:val="nil"/>
          <w:right w:val="nil"/>
          <w:between w:val="nil"/>
        </w:pBdr>
        <w:tabs>
          <w:tab w:val="left" w:pos="1228"/>
        </w:tabs>
        <w:jc w:val="both"/>
        <w:rPr>
          <w:color w:val="000000"/>
        </w:rPr>
      </w:pPr>
      <w:r>
        <w:rPr>
          <w:color w:val="000000"/>
        </w:rPr>
        <w:t>Where D is the degeneracy of a library (number of distinct sequences).</w:t>
      </w:r>
    </w:p>
    <w:p w14:paraId="7B8F94F6" w14:textId="5617C13F" w:rsidR="00647A5B" w:rsidRDefault="000147E7">
      <w:pPr>
        <w:keepLines/>
        <w:widowControl w:val="0"/>
        <w:pBdr>
          <w:top w:val="nil"/>
          <w:left w:val="nil"/>
          <w:bottom w:val="nil"/>
          <w:right w:val="nil"/>
          <w:between w:val="nil"/>
        </w:pBdr>
        <w:tabs>
          <w:tab w:val="left" w:pos="720"/>
        </w:tabs>
        <w:jc w:val="both"/>
        <w:rPr>
          <w:color w:val="000000"/>
        </w:rPr>
      </w:pPr>
      <w:r>
        <w:rPr>
          <w:color w:val="000000"/>
        </w:rPr>
        <w:tab/>
        <w:t>Here, we assume each of the 454 sequences has an equal chance of being picked (It is not true because of the bias of the library in Fig. S2). Given the perfect variants in the GDH</w:t>
      </w:r>
      <w:r w:rsidR="004C442D">
        <w:rPr>
          <w:color w:val="000000"/>
        </w:rPr>
        <w:t>-LBD</w:t>
      </w:r>
      <w:r>
        <w:rPr>
          <w:color w:val="000000"/>
        </w:rPr>
        <w:t xml:space="preserve"> library is 81.5% (Table S1), we must screen at least 7249 colonies to complete the entire GDH</w:t>
      </w:r>
      <w:r w:rsidR="004C442D">
        <w:rPr>
          <w:color w:val="000000"/>
        </w:rPr>
        <w:t>-LBD</w:t>
      </w:r>
      <w:r>
        <w:rPr>
          <w:color w:val="000000"/>
        </w:rPr>
        <w:t xml:space="preserve"> library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c</m:t>
            </m:r>
          </m:sub>
        </m:sSub>
      </m:oMath>
      <w:r>
        <w:rPr>
          <w:color w:val="000000"/>
        </w:rPr>
        <w:t xml:space="preserve"> &gt; 99.9) according to the following calculation.</w:t>
      </w:r>
    </w:p>
    <w:p w14:paraId="4E52A5BA" w14:textId="77777777" w:rsidR="00647A5B" w:rsidRDefault="00510892">
      <w:pPr>
        <w:jc w:val="center"/>
        <w:rPr>
          <w:rFonts w:ascii="Cambria Math" w:eastAsia="Cambria Math" w:hAnsi="Cambria Math" w:cs="Cambria Math"/>
          <w:color w:val="000000"/>
          <w:sz w:val="20"/>
          <w:szCs w:val="20"/>
        </w:rPr>
      </w:pPr>
      <m:oMathPara>
        <m:oMath>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P</m:t>
              </m:r>
            </m:e>
            <m:sub>
              <m:r>
                <w:rPr>
                  <w:rFonts w:ascii="Cambria Math" w:eastAsia="Cambria Math" w:hAnsi="Cambria Math" w:cs="Cambria Math"/>
                  <w:color w:val="000000"/>
                  <w:sz w:val="20"/>
                  <w:szCs w:val="20"/>
                </w:rPr>
                <m:t>c</m:t>
              </m:r>
            </m:sub>
          </m:sSub>
          <m:r>
            <w:rPr>
              <w:rFonts w:ascii="Cambria Math" w:eastAsia="Cambria Math" w:hAnsi="Cambria Math" w:cs="Cambria Math"/>
              <w:color w:val="000000"/>
              <w:sz w:val="20"/>
              <w:szCs w:val="20"/>
            </w:rPr>
            <m:t>=</m:t>
          </m:r>
          <m:sSup>
            <m:sSupPr>
              <m:ctrlPr>
                <w:rPr>
                  <w:rFonts w:ascii="Cambria Math" w:eastAsia="Cambria Math" w:hAnsi="Cambria Math" w:cs="Cambria Math"/>
                  <w:color w:val="000000"/>
                  <w:sz w:val="20"/>
                  <w:szCs w:val="20"/>
                </w:rPr>
              </m:ctrlPr>
            </m:sSupPr>
            <m:e>
              <m:d>
                <m:dPr>
                  <m:begChr m:val="["/>
                  <m:endChr m:val="]"/>
                  <m:ctrlPr>
                    <w:rPr>
                      <w:rFonts w:ascii="Cambria Math" w:eastAsia="Cambria Math" w:hAnsi="Cambria Math" w:cs="Cambria Math"/>
                      <w:color w:val="000000"/>
                      <w:sz w:val="20"/>
                      <w:szCs w:val="20"/>
                    </w:rPr>
                  </m:ctrlPr>
                </m:dPr>
                <m:e>
                  <m:r>
                    <w:rPr>
                      <w:rFonts w:ascii="Cambria Math" w:eastAsia="Cambria Math" w:hAnsi="Cambria Math" w:cs="Cambria Math"/>
                      <w:color w:val="000000"/>
                      <w:sz w:val="20"/>
                      <w:szCs w:val="20"/>
                    </w:rPr>
                    <m:t>1-</m:t>
                  </m:r>
                  <m:sSup>
                    <m:sSupPr>
                      <m:ctrlPr>
                        <w:rPr>
                          <w:rFonts w:ascii="Cambria Math" w:eastAsia="Cambria Math" w:hAnsi="Cambria Math" w:cs="Cambria Math"/>
                          <w:color w:val="000000"/>
                          <w:sz w:val="20"/>
                          <w:szCs w:val="20"/>
                        </w:rPr>
                      </m:ctrlPr>
                    </m:sSupPr>
                    <m:e>
                      <m:r>
                        <w:rPr>
                          <w:rFonts w:ascii="Cambria Math" w:eastAsia="Cambria Math" w:hAnsi="Cambria Math" w:cs="Cambria Math"/>
                          <w:color w:val="000000"/>
                          <w:sz w:val="20"/>
                          <w:szCs w:val="20"/>
                        </w:rPr>
                        <m:t>(1-</m:t>
                      </m:r>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F</m:t>
                          </m:r>
                        </m:e>
                        <m:sub>
                          <m:r>
                            <w:rPr>
                              <w:rFonts w:ascii="Cambria Math" w:eastAsia="Cambria Math" w:hAnsi="Cambria Math" w:cs="Cambria Math"/>
                              <w:color w:val="000000"/>
                              <w:sz w:val="20"/>
                              <w:szCs w:val="20"/>
                            </w:rPr>
                            <m:t>i</m:t>
                          </m:r>
                        </m:sub>
                      </m:sSub>
                      <m:r>
                        <w:rPr>
                          <w:rFonts w:ascii="Cambria Math" w:eastAsia="Cambria Math" w:hAnsi="Cambria Math" w:cs="Cambria Math"/>
                          <w:color w:val="000000"/>
                          <w:sz w:val="20"/>
                          <w:szCs w:val="20"/>
                        </w:rPr>
                        <m:t>)</m:t>
                      </m:r>
                    </m:e>
                    <m:sup>
                      <m:r>
                        <w:rPr>
                          <w:rFonts w:ascii="Cambria Math" w:eastAsia="Cambria Math" w:hAnsi="Cambria Math" w:cs="Cambria Math"/>
                          <w:color w:val="000000"/>
                          <w:sz w:val="20"/>
                          <w:szCs w:val="20"/>
                        </w:rPr>
                        <m:t>T</m:t>
                      </m:r>
                    </m:sup>
                  </m:sSup>
                </m:e>
              </m:d>
            </m:e>
            <m:sup>
              <m:r>
                <w:rPr>
                  <w:rFonts w:ascii="Cambria Math" w:eastAsia="Cambria Math" w:hAnsi="Cambria Math" w:cs="Cambria Math"/>
                  <w:color w:val="000000"/>
                  <w:sz w:val="20"/>
                  <w:szCs w:val="20"/>
                </w:rPr>
                <m:t>D</m:t>
              </m:r>
            </m:sup>
          </m:sSup>
        </m:oMath>
      </m:oMathPara>
    </w:p>
    <w:p w14:paraId="53ACB8A5" w14:textId="77777777" w:rsidR="00647A5B" w:rsidRDefault="00510892">
      <w:pPr>
        <w:jc w:val="center"/>
        <w:rPr>
          <w:rFonts w:ascii="Cambria Math" w:eastAsia="Cambria Math" w:hAnsi="Cambria Math" w:cs="Cambria Math"/>
          <w:color w:val="000000"/>
          <w:sz w:val="20"/>
          <w:szCs w:val="20"/>
        </w:rPr>
      </w:pPr>
      <m:oMathPara>
        <m:oMath>
          <m:sSub>
            <m:sSubPr>
              <m:ctrlPr>
                <w:rPr>
                  <w:rFonts w:ascii="Cambria Math" w:eastAsia="Cambria Math" w:hAnsi="Cambria Math" w:cs="Cambria Math"/>
                  <w:color w:val="000000"/>
                  <w:sz w:val="20"/>
                  <w:szCs w:val="20"/>
                </w:rPr>
              </m:ctrlPr>
            </m:sSubPr>
            <m:e>
              <m:r>
                <w:rPr>
                  <w:rFonts w:ascii="Cambria Math" w:eastAsia="Cambria Math" w:hAnsi="Cambria Math" w:cs="Cambria Math"/>
                  <w:color w:val="000000"/>
                  <w:sz w:val="20"/>
                  <w:szCs w:val="20"/>
                </w:rPr>
                <m:t>P</m:t>
              </m:r>
            </m:e>
            <m:sub>
              <m:r>
                <w:rPr>
                  <w:rFonts w:ascii="Cambria Math" w:eastAsia="Cambria Math" w:hAnsi="Cambria Math" w:cs="Cambria Math"/>
                  <w:color w:val="000000"/>
                  <w:sz w:val="20"/>
                  <w:szCs w:val="20"/>
                </w:rPr>
                <m:t>c</m:t>
              </m:r>
            </m:sub>
          </m:sSub>
          <m:r>
            <w:rPr>
              <w:rFonts w:ascii="Cambria Math" w:eastAsia="Cambria Math" w:hAnsi="Cambria Math" w:cs="Cambria Math"/>
              <w:color w:val="000000"/>
              <w:sz w:val="20"/>
              <w:szCs w:val="20"/>
            </w:rPr>
            <m:t>=</m:t>
          </m:r>
          <m:sSup>
            <m:sSupPr>
              <m:ctrlPr>
                <w:rPr>
                  <w:rFonts w:ascii="Cambria Math" w:eastAsia="Cambria Math" w:hAnsi="Cambria Math" w:cs="Cambria Math"/>
                  <w:color w:val="000000"/>
                  <w:sz w:val="20"/>
                  <w:szCs w:val="20"/>
                </w:rPr>
              </m:ctrlPr>
            </m:sSupPr>
            <m:e>
              <m:d>
                <m:dPr>
                  <m:begChr m:val="["/>
                  <m:endChr m:val="]"/>
                  <m:ctrlPr>
                    <w:rPr>
                      <w:rFonts w:ascii="Cambria Math" w:eastAsia="Cambria Math" w:hAnsi="Cambria Math" w:cs="Cambria Math"/>
                      <w:color w:val="000000"/>
                      <w:sz w:val="20"/>
                      <w:szCs w:val="20"/>
                    </w:rPr>
                  </m:ctrlPr>
                </m:dPr>
                <m:e>
                  <m:r>
                    <w:rPr>
                      <w:rFonts w:ascii="Cambria Math" w:eastAsia="Cambria Math" w:hAnsi="Cambria Math" w:cs="Cambria Math"/>
                      <w:color w:val="000000"/>
                      <w:sz w:val="20"/>
                      <w:szCs w:val="20"/>
                    </w:rPr>
                    <m:t>1-</m:t>
                  </m:r>
                  <m:sSup>
                    <m:sSupPr>
                      <m:ctrlPr>
                        <w:rPr>
                          <w:rFonts w:ascii="Cambria Math" w:eastAsia="Cambria Math" w:hAnsi="Cambria Math" w:cs="Cambria Math"/>
                          <w:color w:val="000000"/>
                          <w:sz w:val="20"/>
                          <w:szCs w:val="20"/>
                        </w:rPr>
                      </m:ctrlPr>
                    </m:sSupPr>
                    <m:e>
                      <m:r>
                        <w:rPr>
                          <w:rFonts w:ascii="Cambria Math" w:eastAsia="Cambria Math" w:hAnsi="Cambria Math" w:cs="Cambria Math"/>
                          <w:color w:val="000000"/>
                          <w:sz w:val="20"/>
                          <w:szCs w:val="20"/>
                        </w:rPr>
                        <m:t>(1-</m:t>
                      </m:r>
                      <m:f>
                        <m:fPr>
                          <m:ctrlPr>
                            <w:rPr>
                              <w:rFonts w:ascii="Cambria Math" w:eastAsia="Cambria Math" w:hAnsi="Cambria Math" w:cs="Cambria Math"/>
                              <w:color w:val="000000"/>
                              <w:sz w:val="20"/>
                              <w:szCs w:val="20"/>
                            </w:rPr>
                          </m:ctrlPr>
                        </m:fPr>
                        <m:num>
                          <m:r>
                            <w:rPr>
                              <w:rFonts w:ascii="Cambria Math" w:eastAsia="Cambria Math" w:hAnsi="Cambria Math" w:cs="Cambria Math"/>
                              <w:color w:val="000000"/>
                              <w:sz w:val="20"/>
                              <w:szCs w:val="20"/>
                            </w:rPr>
                            <m:t>1</m:t>
                          </m:r>
                        </m:num>
                        <m:den>
                          <m:f>
                            <m:fPr>
                              <m:ctrlPr>
                                <w:rPr>
                                  <w:rFonts w:ascii="Cambria Math" w:eastAsia="Cambria Math" w:hAnsi="Cambria Math" w:cs="Cambria Math"/>
                                  <w:color w:val="000000"/>
                                  <w:sz w:val="20"/>
                                  <w:szCs w:val="20"/>
                                </w:rPr>
                              </m:ctrlPr>
                            </m:fPr>
                            <m:num>
                              <m:r>
                                <w:rPr>
                                  <w:rFonts w:ascii="Cambria Math" w:eastAsia="Cambria Math" w:hAnsi="Cambria Math" w:cs="Cambria Math"/>
                                  <w:color w:val="000000"/>
                                  <w:sz w:val="20"/>
                                  <w:szCs w:val="20"/>
                                </w:rPr>
                                <m:t>454</m:t>
                              </m:r>
                            </m:num>
                            <m:den>
                              <m:r>
                                <w:rPr>
                                  <w:rFonts w:ascii="Cambria Math" w:eastAsia="Cambria Math" w:hAnsi="Cambria Math" w:cs="Cambria Math"/>
                                  <w:color w:val="000000"/>
                                  <w:sz w:val="20"/>
                                  <w:szCs w:val="20"/>
                                </w:rPr>
                                <m:t>81.5%</m:t>
                              </m:r>
                            </m:den>
                          </m:f>
                        </m:den>
                      </m:f>
                      <m:r>
                        <w:rPr>
                          <w:rFonts w:ascii="Cambria Math" w:eastAsia="Cambria Math" w:hAnsi="Cambria Math" w:cs="Cambria Math"/>
                          <w:color w:val="000000"/>
                          <w:sz w:val="20"/>
                          <w:szCs w:val="20"/>
                        </w:rPr>
                        <m:t>)</m:t>
                      </m:r>
                    </m:e>
                    <m:sup>
                      <m:r>
                        <w:rPr>
                          <w:rFonts w:ascii="Cambria Math" w:eastAsia="Cambria Math" w:hAnsi="Cambria Math" w:cs="Cambria Math"/>
                          <w:color w:val="000000"/>
                          <w:sz w:val="20"/>
                          <w:szCs w:val="20"/>
                        </w:rPr>
                        <m:t>T</m:t>
                      </m:r>
                    </m:sup>
                  </m:sSup>
                </m:e>
              </m:d>
            </m:e>
            <m:sup>
              <m:r>
                <w:rPr>
                  <w:rFonts w:ascii="Cambria Math" w:eastAsia="Cambria Math" w:hAnsi="Cambria Math" w:cs="Cambria Math"/>
                  <w:color w:val="000000"/>
                  <w:sz w:val="20"/>
                  <w:szCs w:val="20"/>
                </w:rPr>
                <m:t>454</m:t>
              </m:r>
            </m:sup>
          </m:sSup>
        </m:oMath>
      </m:oMathPara>
    </w:p>
    <w:p w14:paraId="301899D9" w14:textId="28DA94A7" w:rsidR="00647A5B" w:rsidRDefault="00647A5B">
      <w:pPr>
        <w:keepLines/>
        <w:widowControl w:val="0"/>
        <w:pBdr>
          <w:top w:val="nil"/>
          <w:left w:val="nil"/>
          <w:bottom w:val="nil"/>
          <w:right w:val="nil"/>
          <w:between w:val="nil"/>
        </w:pBdr>
        <w:tabs>
          <w:tab w:val="left" w:pos="1228"/>
        </w:tabs>
        <w:jc w:val="both"/>
        <w:rPr>
          <w:color w:val="000000"/>
        </w:rPr>
      </w:pPr>
    </w:p>
    <w:p w14:paraId="648591C6" w14:textId="7336413A" w:rsidR="00CF2683" w:rsidRDefault="00CF2683">
      <w:pPr>
        <w:keepLines/>
        <w:widowControl w:val="0"/>
        <w:pBdr>
          <w:top w:val="nil"/>
          <w:left w:val="nil"/>
          <w:bottom w:val="nil"/>
          <w:right w:val="nil"/>
          <w:between w:val="nil"/>
        </w:pBdr>
        <w:tabs>
          <w:tab w:val="left" w:pos="1228"/>
        </w:tabs>
        <w:jc w:val="both"/>
        <w:rPr>
          <w:color w:val="000000"/>
        </w:rPr>
      </w:pPr>
    </w:p>
    <w:p w14:paraId="3AD2E669" w14:textId="77777777" w:rsidR="00647A5B" w:rsidRDefault="000147E7">
      <w:pPr>
        <w:keepLines/>
        <w:widowControl w:val="0"/>
        <w:pBdr>
          <w:top w:val="nil"/>
          <w:left w:val="nil"/>
          <w:bottom w:val="nil"/>
          <w:right w:val="nil"/>
          <w:between w:val="nil"/>
        </w:pBdr>
        <w:tabs>
          <w:tab w:val="left" w:pos="1228"/>
        </w:tabs>
        <w:jc w:val="center"/>
        <w:rPr>
          <w:color w:val="000000"/>
        </w:rPr>
      </w:pPr>
      <w:r>
        <w:rPr>
          <w:noProof/>
          <w:color w:val="000000"/>
        </w:rPr>
        <w:drawing>
          <wp:inline distT="0" distB="0" distL="0" distR="0" wp14:anchorId="116C5CC0" wp14:editId="052EF3C4">
            <wp:extent cx="4777160" cy="1700836"/>
            <wp:effectExtent l="0" t="0" r="0" b="0"/>
            <wp:docPr id="18484" name="image3.png" descr="Background patter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Background pattern&#10;&#10;Description automatically generated"/>
                    <pic:cNvPicPr preferRelativeResize="0"/>
                  </pic:nvPicPr>
                  <pic:blipFill>
                    <a:blip r:embed="rId14"/>
                    <a:srcRect/>
                    <a:stretch>
                      <a:fillRect/>
                    </a:stretch>
                  </pic:blipFill>
                  <pic:spPr>
                    <a:xfrm>
                      <a:off x="0" y="0"/>
                      <a:ext cx="4777160" cy="1700836"/>
                    </a:xfrm>
                    <a:prstGeom prst="rect">
                      <a:avLst/>
                    </a:prstGeom>
                    <a:ln/>
                  </pic:spPr>
                </pic:pic>
              </a:graphicData>
            </a:graphic>
          </wp:inline>
        </w:drawing>
      </w:r>
    </w:p>
    <w:p w14:paraId="66B0EA94" w14:textId="77777777" w:rsidR="004C442D" w:rsidRDefault="004C442D">
      <w:pPr>
        <w:keepLines/>
        <w:widowControl w:val="0"/>
        <w:pBdr>
          <w:top w:val="nil"/>
          <w:left w:val="nil"/>
          <w:bottom w:val="nil"/>
          <w:right w:val="nil"/>
          <w:between w:val="nil"/>
        </w:pBdr>
        <w:tabs>
          <w:tab w:val="left" w:pos="1228"/>
        </w:tabs>
        <w:jc w:val="center"/>
        <w:rPr>
          <w:b/>
          <w:color w:val="000000"/>
        </w:rPr>
      </w:pPr>
    </w:p>
    <w:p w14:paraId="47DE160C" w14:textId="685D847F" w:rsidR="00647A5B" w:rsidRDefault="000147E7">
      <w:pPr>
        <w:keepLines/>
        <w:widowControl w:val="0"/>
        <w:pBdr>
          <w:top w:val="nil"/>
          <w:left w:val="nil"/>
          <w:bottom w:val="nil"/>
          <w:right w:val="nil"/>
          <w:between w:val="nil"/>
        </w:pBdr>
        <w:tabs>
          <w:tab w:val="left" w:pos="1228"/>
        </w:tabs>
        <w:jc w:val="center"/>
        <w:rPr>
          <w:b/>
          <w:color w:val="000000"/>
        </w:rPr>
      </w:pPr>
      <w:r>
        <w:rPr>
          <w:b/>
          <w:color w:val="000000"/>
        </w:rPr>
        <w:t>Figure S3</w:t>
      </w:r>
      <w:r>
        <w:rPr>
          <w:color w:val="000000"/>
        </w:rPr>
        <w:t xml:space="preserve">. </w:t>
      </w:r>
      <w:r>
        <w:rPr>
          <w:b/>
          <w:color w:val="000000"/>
        </w:rPr>
        <w:t>GDH activity assay reaction.</w:t>
      </w:r>
    </w:p>
    <w:p w14:paraId="69AAEA11" w14:textId="6E1A3124" w:rsidR="00647A5B" w:rsidRDefault="00647A5B" w:rsidP="002E735D">
      <w:pPr>
        <w:keepLines/>
        <w:widowControl w:val="0"/>
        <w:pBdr>
          <w:top w:val="nil"/>
          <w:left w:val="nil"/>
          <w:bottom w:val="nil"/>
          <w:right w:val="nil"/>
          <w:between w:val="nil"/>
        </w:pBdr>
        <w:tabs>
          <w:tab w:val="left" w:pos="1228"/>
        </w:tabs>
        <w:rPr>
          <w:color w:val="000000"/>
        </w:rPr>
      </w:pPr>
    </w:p>
    <w:p w14:paraId="5CE289CE" w14:textId="77777777" w:rsidR="00647A5B" w:rsidRDefault="00647A5B">
      <w:pPr>
        <w:keepLines/>
        <w:widowControl w:val="0"/>
        <w:pBdr>
          <w:top w:val="nil"/>
          <w:left w:val="nil"/>
          <w:bottom w:val="nil"/>
          <w:right w:val="nil"/>
          <w:between w:val="nil"/>
        </w:pBdr>
        <w:tabs>
          <w:tab w:val="left" w:pos="1228"/>
        </w:tabs>
        <w:jc w:val="center"/>
        <w:rPr>
          <w:color w:val="000000"/>
        </w:rPr>
      </w:pPr>
    </w:p>
    <w:p w14:paraId="79CD98CC" w14:textId="77777777" w:rsidR="00647A5B" w:rsidRDefault="000147E7">
      <w:pPr>
        <w:keepLines/>
        <w:widowControl w:val="0"/>
        <w:pBdr>
          <w:top w:val="nil"/>
          <w:left w:val="nil"/>
          <w:bottom w:val="nil"/>
          <w:right w:val="nil"/>
          <w:between w:val="nil"/>
        </w:pBdr>
        <w:tabs>
          <w:tab w:val="left" w:pos="1228"/>
        </w:tabs>
        <w:jc w:val="center"/>
        <w:rPr>
          <w:color w:val="000000"/>
        </w:rPr>
      </w:pPr>
      <w:r>
        <w:rPr>
          <w:noProof/>
          <w:color w:val="000000"/>
        </w:rPr>
        <w:drawing>
          <wp:inline distT="0" distB="0" distL="0" distR="0" wp14:anchorId="754A5AA6" wp14:editId="40849834">
            <wp:extent cx="4561641" cy="2231084"/>
            <wp:effectExtent l="0" t="0" r="0" b="0"/>
            <wp:docPr id="18483" name="image10.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Chart, histogram&#10;&#10;Description automatically generated"/>
                    <pic:cNvPicPr preferRelativeResize="0"/>
                  </pic:nvPicPr>
                  <pic:blipFill>
                    <a:blip r:embed="rId15"/>
                    <a:srcRect/>
                    <a:stretch>
                      <a:fillRect/>
                    </a:stretch>
                  </pic:blipFill>
                  <pic:spPr>
                    <a:xfrm>
                      <a:off x="0" y="0"/>
                      <a:ext cx="4561641" cy="2231084"/>
                    </a:xfrm>
                    <a:prstGeom prst="rect">
                      <a:avLst/>
                    </a:prstGeom>
                    <a:ln/>
                  </pic:spPr>
                </pic:pic>
              </a:graphicData>
            </a:graphic>
          </wp:inline>
        </w:drawing>
      </w:r>
    </w:p>
    <w:p w14:paraId="3A68B405" w14:textId="43895905" w:rsidR="007933FE" w:rsidRDefault="000147E7" w:rsidP="002E735D">
      <w:pPr>
        <w:keepLines/>
        <w:widowControl w:val="0"/>
        <w:jc w:val="both"/>
      </w:pPr>
      <w:r>
        <w:rPr>
          <w:b/>
        </w:rPr>
        <w:t>Figure S4</w:t>
      </w:r>
      <w:r>
        <w:t xml:space="preserve">. </w:t>
      </w:r>
      <w:r>
        <w:rPr>
          <w:b/>
        </w:rPr>
        <w:t xml:space="preserve">Evaluating the </w:t>
      </w:r>
      <w:r w:rsidR="004C442D">
        <w:rPr>
          <w:b/>
        </w:rPr>
        <w:t xml:space="preserve">whole cell </w:t>
      </w:r>
      <w:r>
        <w:rPr>
          <w:b/>
        </w:rPr>
        <w:t>screen method.</w:t>
      </w:r>
      <w:r>
        <w:t xml:space="preserve"> The GDH activity in the whole cell expressing wild-type GDH is plotted versus their well location in 96 plates.</w:t>
      </w:r>
    </w:p>
    <w:p w14:paraId="7ED07873" w14:textId="1EA9CCA4" w:rsidR="00CF2683" w:rsidRDefault="00CF2683" w:rsidP="002E735D">
      <w:pPr>
        <w:keepLines/>
        <w:widowControl w:val="0"/>
        <w:jc w:val="both"/>
      </w:pPr>
    </w:p>
    <w:p w14:paraId="731C629A" w14:textId="22FFA289" w:rsidR="00CF2683" w:rsidRDefault="00CF2683" w:rsidP="002E735D">
      <w:pPr>
        <w:keepLines/>
        <w:widowControl w:val="0"/>
        <w:jc w:val="both"/>
      </w:pPr>
    </w:p>
    <w:p w14:paraId="440B2D86" w14:textId="7BDE39A7" w:rsidR="00CF2683" w:rsidRDefault="00CF2683" w:rsidP="002E735D">
      <w:pPr>
        <w:keepLines/>
        <w:widowControl w:val="0"/>
        <w:jc w:val="both"/>
      </w:pPr>
    </w:p>
    <w:p w14:paraId="1756C2EB" w14:textId="77777777" w:rsidR="00CF2683" w:rsidRDefault="00CF2683" w:rsidP="002E735D">
      <w:pPr>
        <w:keepLines/>
        <w:widowControl w:val="0"/>
        <w:jc w:val="both"/>
      </w:pPr>
    </w:p>
    <w:p w14:paraId="4214F64C" w14:textId="77777777" w:rsidR="00647A5B" w:rsidRDefault="000147E7">
      <w:pPr>
        <w:keepLines/>
        <w:widowControl w:val="0"/>
        <w:pBdr>
          <w:top w:val="nil"/>
          <w:left w:val="nil"/>
          <w:bottom w:val="nil"/>
          <w:right w:val="nil"/>
          <w:between w:val="nil"/>
        </w:pBdr>
        <w:tabs>
          <w:tab w:val="left" w:pos="1228"/>
        </w:tabs>
        <w:jc w:val="center"/>
        <w:rPr>
          <w:color w:val="000000"/>
        </w:rPr>
      </w:pPr>
      <w:r>
        <w:rPr>
          <w:noProof/>
          <w:color w:val="000000"/>
        </w:rPr>
        <w:drawing>
          <wp:inline distT="0" distB="0" distL="0" distR="0" wp14:anchorId="39CFCD25" wp14:editId="69D56992">
            <wp:extent cx="5533446" cy="3888509"/>
            <wp:effectExtent l="0" t="2858" r="953" b="952"/>
            <wp:docPr id="18487" name="image20.png" descr="Diagram, schematic&#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descr="Diagram, schematic&#10;&#10;Description automatically generated"/>
                    <pic:cNvPicPr preferRelativeResize="0"/>
                  </pic:nvPicPr>
                  <pic:blipFill>
                    <a:blip r:embed="rId16"/>
                    <a:srcRect/>
                    <a:stretch>
                      <a:fillRect/>
                    </a:stretch>
                  </pic:blipFill>
                  <pic:spPr>
                    <a:xfrm>
                      <a:off x="0" y="0"/>
                      <a:ext cx="5537950" cy="3891674"/>
                    </a:xfrm>
                    <a:prstGeom prst="rect">
                      <a:avLst/>
                    </a:prstGeom>
                    <a:ln/>
                  </pic:spPr>
                </pic:pic>
              </a:graphicData>
            </a:graphic>
          </wp:inline>
        </w:drawing>
      </w:r>
    </w:p>
    <w:p w14:paraId="3939960E" w14:textId="02C9CE2F" w:rsidR="00647A5B" w:rsidRDefault="000147E7">
      <w:pPr>
        <w:keepLines/>
        <w:widowControl w:val="0"/>
        <w:jc w:val="center"/>
      </w:pPr>
      <w:r>
        <w:rPr>
          <w:b/>
        </w:rPr>
        <w:t>Figure S5</w:t>
      </w:r>
      <w:r>
        <w:t xml:space="preserve">. </w:t>
      </w:r>
      <w:r>
        <w:rPr>
          <w:b/>
        </w:rPr>
        <w:t>Screen workflow, plate layout and sample data.</w:t>
      </w:r>
      <w:r>
        <w:t xml:space="preserve"> Created with BioRender.com</w:t>
      </w:r>
    </w:p>
    <w:p w14:paraId="12F7965A" w14:textId="3F4FB3CB" w:rsidR="002E735D" w:rsidRDefault="002E735D">
      <w:pPr>
        <w:keepLines/>
        <w:widowControl w:val="0"/>
        <w:jc w:val="center"/>
      </w:pPr>
    </w:p>
    <w:p w14:paraId="713E65C2" w14:textId="77777777" w:rsidR="00647A5B" w:rsidRDefault="000147E7">
      <w:pPr>
        <w:keepLines/>
        <w:widowControl w:val="0"/>
        <w:jc w:val="center"/>
      </w:pPr>
      <w:r>
        <w:rPr>
          <w:b/>
          <w:noProof/>
        </w:rPr>
        <w:drawing>
          <wp:inline distT="0" distB="0" distL="0" distR="0" wp14:anchorId="6D4DE170" wp14:editId="5FCE7926">
            <wp:extent cx="5686701" cy="2212972"/>
            <wp:effectExtent l="0" t="0" r="0" b="0"/>
            <wp:docPr id="1848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a:stretch>
                      <a:fillRect/>
                    </a:stretch>
                  </pic:blipFill>
                  <pic:spPr>
                    <a:xfrm>
                      <a:off x="0" y="0"/>
                      <a:ext cx="5686701" cy="2212972"/>
                    </a:xfrm>
                    <a:prstGeom prst="rect">
                      <a:avLst/>
                    </a:prstGeom>
                    <a:ln/>
                  </pic:spPr>
                </pic:pic>
              </a:graphicData>
            </a:graphic>
          </wp:inline>
        </w:drawing>
      </w:r>
    </w:p>
    <w:p w14:paraId="01D2B90B" w14:textId="2602F5E0" w:rsidR="00647A5B" w:rsidRPr="00773174" w:rsidRDefault="000147E7">
      <w:pPr>
        <w:keepLines/>
        <w:widowControl w:val="0"/>
        <w:jc w:val="both"/>
        <w:rPr>
          <w:bCs/>
        </w:rPr>
      </w:pPr>
      <w:r>
        <w:rPr>
          <w:b/>
        </w:rPr>
        <w:t>Figure S6</w:t>
      </w:r>
      <w:r>
        <w:t xml:space="preserve">. </w:t>
      </w:r>
      <w:r>
        <w:rPr>
          <w:b/>
        </w:rPr>
        <w:t xml:space="preserve">Profile of allosteric values (change degree) for LBD inserted GDH variants. </w:t>
      </w:r>
      <w:r w:rsidR="00773174" w:rsidRPr="00773174">
        <w:rPr>
          <w:bCs/>
        </w:rPr>
        <w:t xml:space="preserve">Values are shown in mean ± </w:t>
      </w:r>
      <w:proofErr w:type="spellStart"/>
      <w:r w:rsidR="00773174" w:rsidRPr="00773174">
        <w:rPr>
          <w:bCs/>
        </w:rPr>
        <w:t>sem</w:t>
      </w:r>
      <w:proofErr w:type="spellEnd"/>
      <w:r w:rsidR="00773174" w:rsidRPr="00773174">
        <w:rPr>
          <w:bCs/>
        </w:rPr>
        <w:t xml:space="preserve"> with independent biological experiments (n ≥ 3).</w:t>
      </w:r>
    </w:p>
    <w:p w14:paraId="12870218" w14:textId="77777777" w:rsidR="00647A5B" w:rsidRDefault="000147E7">
      <w:pPr>
        <w:keepLines/>
        <w:widowControl w:val="0"/>
        <w:jc w:val="center"/>
      </w:pPr>
      <w:r>
        <w:rPr>
          <w:noProof/>
        </w:rPr>
        <w:drawing>
          <wp:inline distT="0" distB="0" distL="0" distR="0" wp14:anchorId="0F0AA390" wp14:editId="26318F59">
            <wp:extent cx="3453723" cy="2801674"/>
            <wp:effectExtent l="0" t="0" r="0" b="0"/>
            <wp:docPr id="18490" name="image11.png" descr="A picture containing text, device, gaug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picture containing text, device, gauge&#10;&#10;Description automatically generated"/>
                    <pic:cNvPicPr preferRelativeResize="0"/>
                  </pic:nvPicPr>
                  <pic:blipFill>
                    <a:blip r:embed="rId18"/>
                    <a:srcRect l="33183" t="24579" r="32707" b="27808"/>
                    <a:stretch>
                      <a:fillRect/>
                    </a:stretch>
                  </pic:blipFill>
                  <pic:spPr>
                    <a:xfrm>
                      <a:off x="0" y="0"/>
                      <a:ext cx="3453723" cy="2801674"/>
                    </a:xfrm>
                    <a:prstGeom prst="rect">
                      <a:avLst/>
                    </a:prstGeom>
                    <a:ln/>
                  </pic:spPr>
                </pic:pic>
              </a:graphicData>
            </a:graphic>
          </wp:inline>
        </w:drawing>
      </w:r>
    </w:p>
    <w:p w14:paraId="606807E1" w14:textId="13A8DBF5" w:rsidR="00647A5B" w:rsidRDefault="000147E7">
      <w:pPr>
        <w:keepLines/>
        <w:widowControl w:val="0"/>
        <w:jc w:val="both"/>
        <w:rPr>
          <w:color w:val="2E2E2E"/>
        </w:rPr>
      </w:pPr>
      <w:r>
        <w:rPr>
          <w:b/>
        </w:rPr>
        <w:t>Figure S7</w:t>
      </w:r>
      <w:r>
        <w:t xml:space="preserve">. </w:t>
      </w:r>
      <w:r>
        <w:rPr>
          <w:b/>
        </w:rPr>
        <w:t xml:space="preserve">Mapping the </w:t>
      </w:r>
      <w:proofErr w:type="spellStart"/>
      <w:r>
        <w:rPr>
          <w:b/>
        </w:rPr>
        <w:t>alloteric</w:t>
      </w:r>
      <w:proofErr w:type="spellEnd"/>
      <w:r>
        <w:rPr>
          <w:b/>
        </w:rPr>
        <w:t xml:space="preserve"> sites in </w:t>
      </w:r>
      <w:r>
        <w:rPr>
          <w:b/>
          <w:color w:val="2E2E2E"/>
        </w:rPr>
        <w:t>topology diagram of GDH secondary structure</w:t>
      </w:r>
      <w:r>
        <w:rPr>
          <w:b/>
        </w:rPr>
        <w:t>.</w:t>
      </w:r>
      <w:r>
        <w:t xml:space="preserve"> </w:t>
      </w:r>
      <w:r>
        <w:rPr>
          <w:color w:val="2E2E2E"/>
        </w:rPr>
        <w:t xml:space="preserve">showing the arrangement of the secondary structure elements of GDH. β-strands are shown as arrows, α-helices as </w:t>
      </w:r>
      <w:proofErr w:type="spellStart"/>
      <w:r>
        <w:rPr>
          <w:color w:val="2E2E2E"/>
        </w:rPr>
        <w:t>rectangulars</w:t>
      </w:r>
      <w:proofErr w:type="spellEnd"/>
      <w:r>
        <w:rPr>
          <w:color w:val="2E2E2E"/>
        </w:rPr>
        <w:t xml:space="preserve">, and the calcium ions as circles. </w:t>
      </w:r>
    </w:p>
    <w:p w14:paraId="500B0CA9" w14:textId="77777777" w:rsidR="00773174" w:rsidRDefault="00773174">
      <w:pPr>
        <w:keepLines/>
        <w:widowControl w:val="0"/>
        <w:jc w:val="both"/>
        <w:rPr>
          <w:color w:val="2E2E2E"/>
        </w:rPr>
      </w:pPr>
    </w:p>
    <w:p w14:paraId="12032AEE" w14:textId="799829D8" w:rsidR="00647A5B" w:rsidRDefault="000147E7">
      <w:pPr>
        <w:keepLines/>
        <w:widowControl w:val="0"/>
        <w:jc w:val="center"/>
        <w:rPr>
          <w:b/>
        </w:rPr>
      </w:pPr>
      <w:r>
        <w:rPr>
          <w:b/>
        </w:rPr>
        <w:t>3. Characterization of allosteric GDH</w:t>
      </w:r>
      <w:r w:rsidR="00693D92">
        <w:rPr>
          <w:b/>
        </w:rPr>
        <w:t>-LBD</w:t>
      </w:r>
    </w:p>
    <w:p w14:paraId="1E92A2B6" w14:textId="77777777" w:rsidR="00647A5B" w:rsidRDefault="00647A5B">
      <w:pPr>
        <w:keepLines/>
        <w:widowControl w:val="0"/>
        <w:jc w:val="center"/>
        <w:rPr>
          <w:b/>
        </w:rPr>
      </w:pPr>
    </w:p>
    <w:p w14:paraId="0B459E45" w14:textId="2046C674" w:rsidR="00647A5B" w:rsidRDefault="000147E7">
      <w:pPr>
        <w:keepLines/>
        <w:widowControl w:val="0"/>
        <w:jc w:val="both"/>
      </w:pPr>
      <w:r>
        <w:rPr>
          <w:b/>
        </w:rPr>
        <w:t>3.1</w:t>
      </w:r>
      <w:r w:rsidR="00427BC5">
        <w:rPr>
          <w:b/>
        </w:rPr>
        <w:t xml:space="preserve"> </w:t>
      </w:r>
      <w:r>
        <w:rPr>
          <w:b/>
        </w:rPr>
        <w:t xml:space="preserve">Protein amino acids (AA) sequence. </w:t>
      </w:r>
      <w:r>
        <w:t>Wild type-GDH, GDH-5E and GDH-5E</w:t>
      </w:r>
      <w:r>
        <w:rPr>
          <w:vertAlign w:val="superscript"/>
        </w:rPr>
        <w:t>+</w:t>
      </w:r>
      <w:r>
        <w:t xml:space="preserve"> were shown here. The black letters represent the GDH AA sequence, the green letters represent the LBD AA sequence, and the pink letters represent linkers</w:t>
      </w:r>
      <w:r w:rsidR="00492F16">
        <w:t xml:space="preserve"> AA sequence</w:t>
      </w:r>
      <w:r>
        <w:t>.</w:t>
      </w:r>
    </w:p>
    <w:p w14:paraId="08D572F2" w14:textId="77777777" w:rsidR="00647A5B" w:rsidRDefault="000147E7">
      <w:pPr>
        <w:keepLines/>
        <w:widowControl w:val="0"/>
      </w:pPr>
      <w:r>
        <w:rPr>
          <w:b/>
          <w:u w:val="single"/>
        </w:rPr>
        <w:t>Wild-type GDH</w:t>
      </w:r>
      <w:r>
        <w:rPr>
          <w:b/>
        </w:rPr>
        <w:t xml:space="preserve"> </w:t>
      </w:r>
      <w:r>
        <w:t>HHHHHHDVPLTPSQFAKAKSENFDKKVILSNLNKPHALLWGPDNQIWLTERATGKILRVNPESGSVKTVFQVPEIVNDADGQNGLLGFAFHPDFKNNPYIYISGTFKNPKSTDKELPNQTIIRRYTYNKSTDTLEKPVDLLAGLPSSKDHQSGRLVIGPDQKIYYTIGDQGRNQLAYLFLPNQAQHTPTQQELNGKDYHTYMGKVLRLNLDGSIPKDNPSFNGVVSHIYTLGHRNPQGLAFTPNGKLLQSEQGPNSDDEINLIVKGGNYGWPNVAGYKDDSGYAYANYSAAANKSIKDLAQNGVKVAAGVPVTKESEWTGKNFVPPLKTLYTVQDTYNYNDPTCGEMTYICWPTVAPSSAYVYKGGKKAITGWENTLLVPSLKRGVIFRIKLDPTYSTTYDDAVPMFKSNNRYRDVIASPDGNVLYVLTDTAGNVQKDDGSVTNTLENPGSLIKFTYKAK</w:t>
      </w:r>
    </w:p>
    <w:p w14:paraId="7FA75207" w14:textId="77777777" w:rsidR="00647A5B" w:rsidRDefault="00647A5B">
      <w:pPr>
        <w:keepLines/>
        <w:widowControl w:val="0"/>
      </w:pPr>
    </w:p>
    <w:p w14:paraId="5102C583" w14:textId="77777777" w:rsidR="00647A5B" w:rsidRDefault="000147E7">
      <w:pPr>
        <w:keepLines/>
        <w:widowControl w:val="0"/>
        <w:rPr>
          <w:b/>
          <w:u w:val="single"/>
        </w:rPr>
      </w:pPr>
      <w:r>
        <w:rPr>
          <w:b/>
          <w:u w:val="single"/>
        </w:rPr>
        <w:t>GDH-5E</w:t>
      </w:r>
    </w:p>
    <w:p w14:paraId="72600CE0" w14:textId="77777777" w:rsidR="00647A5B" w:rsidRDefault="000147E7">
      <w:pPr>
        <w:keepLines/>
        <w:widowControl w:val="0"/>
      </w:pPr>
      <w:r>
        <w:t>HHHHHHDVPLT</w:t>
      </w:r>
      <w:r>
        <w:rPr>
          <w:color w:val="FF40FF"/>
        </w:rPr>
        <w:t>SG</w:t>
      </w:r>
      <w:r>
        <w:rPr>
          <w:color w:val="00B050"/>
        </w:rPr>
        <w:t>KKNSLALSLTADQMVSALLDAEPPILYSEYDPTRPFSEASMMGLLTNLADRELVHMINWAKRVPGFVDLTLHDQVHLLECAWLEILMIGLVWRSMEHPGKLLFAPNLLLDRNQGKCVEGMVEIFDMLLATSSRFRMMNLQGEEFVCLKSIILLNSGVYTFLSSTLKSLEEKDHIHRVLDKITDTLIHLMAKAGLTLQQQHQRLAQLLLILSHIRHMSNKGMEHLYSMKCKNVVPLYDLLLEMLDAHRLHAP</w:t>
      </w:r>
      <w:r>
        <w:rPr>
          <w:color w:val="FF40FF"/>
        </w:rPr>
        <w:t>LS</w:t>
      </w:r>
      <w:r>
        <w:t>PSQFAKAKSENFDKKVILSNLNKPHALLWGPDNQIWLTERATGKILRVNPESGSVKTVFQVPEIVNDADGQNGLLGFAFHPDFKNNPYIYISGTFKNPKSTDKELPNQTIIRRYTYNKSTDTLEKPVDLLAGLPSSKDHQSGRLVIGPDQKIYYTIGDQGRNQLAYLFLPNQAQHTPTQQELNGKDYHTYMGKVLRLNLDGSIPKDNPSFNGVVSHIYTLGHRNPQGLAFTPNGKLLQSEQGPNSDDEINLIVKGGNYGWPNVAGYKDDSGYAYANYSAAANKSIKDLAQNGVKVAAGVPVTKESEWTGKNFVPPLKTLYTVQDTYNYNDPTCGEMTYICWPTVAPSSAYVYKGGKKAITGWENTLLVPSLKRGVIFRIKLDPTYSTTYDDAVPMFKSNNRYRDVIASPDGNVLYVLTDTAGNVQKDDGSVTNTLENPGSLIKFTYKAK</w:t>
      </w:r>
    </w:p>
    <w:p w14:paraId="69DAE8DB" w14:textId="77777777" w:rsidR="00647A5B" w:rsidRDefault="00647A5B">
      <w:pPr>
        <w:keepLines/>
        <w:widowControl w:val="0"/>
      </w:pPr>
    </w:p>
    <w:p w14:paraId="0E240097" w14:textId="77777777" w:rsidR="00647A5B" w:rsidRDefault="000147E7">
      <w:pPr>
        <w:keepLines/>
        <w:widowControl w:val="0"/>
        <w:rPr>
          <w:b/>
          <w:u w:val="single"/>
        </w:rPr>
      </w:pPr>
      <w:r>
        <w:rPr>
          <w:b/>
          <w:u w:val="single"/>
        </w:rPr>
        <w:t>GDH-5E</w:t>
      </w:r>
      <w:r>
        <w:rPr>
          <w:b/>
          <w:u w:val="single"/>
          <w:vertAlign w:val="superscript"/>
        </w:rPr>
        <w:t>+</w:t>
      </w:r>
    </w:p>
    <w:p w14:paraId="16374AF8" w14:textId="77777777" w:rsidR="00647A5B" w:rsidRDefault="000147E7">
      <w:pPr>
        <w:keepLines/>
        <w:widowControl w:val="0"/>
        <w:jc w:val="both"/>
      </w:pPr>
      <w:r>
        <w:t>HHHHHHDVPLT</w:t>
      </w:r>
      <w:r>
        <w:rPr>
          <w:color w:val="FF40FF"/>
        </w:rPr>
        <w:t>SG</w:t>
      </w:r>
      <w:r>
        <w:rPr>
          <w:color w:val="00B050"/>
        </w:rPr>
        <w:t>KKNSLALSLTADQMVSALLDAEPPILYSEYDPTRPFSEASMMGLLTNLADRELVHMINWAKRVPGFVDLTLHDQVHLLECAWLEILMIGLVWRSMEHPGKLLFAPNLLLDRNQGKCVEGMVEIFDMLLATSSRFRMMNLQGEEFVCLKSIILLNSGVYTFLSSTLKSLEEKDHIHRVLDKITDTLIHLMAKAGLTLQQQHQRLAQLLLILSHIRHMSNKGMEHLYSMKCKNVVPLYDLLLEMLDAHRLHAP</w:t>
      </w:r>
      <w:r>
        <w:rPr>
          <w:color w:val="FF40FF"/>
        </w:rPr>
        <w:t>LS</w:t>
      </w:r>
      <w:r>
        <w:t>PSQFAKAKSENFDKKVILSNLNKPHALLWGPDNQIWLTERATGKILRVNPESGSVKTVFQVPEIVNDADGQNGLLGFAFHPDFKNNPYIYISGTFKNPK</w:t>
      </w:r>
      <w:r>
        <w:rPr>
          <w:color w:val="FF40FF"/>
        </w:rPr>
        <w:t>SGRPGSLS</w:t>
      </w:r>
      <w:r>
        <w:t>STDKELPNQTIIRRYTYNKSTDTLEKPVDLLAGLPSSKDHQSGRLVIGPDQKIYYTIGDQGRNQLAYLFLPNQAQHTPTQQELNGKDYHTYMGKVLRLNLDGSIPKDNPSFNGVVSHIYTLGHRNPQGLAFTPNGKLLQSEQGPNSDDEINLIVKGGNYGWPNVAGYKDDSGYAYANYSAAANKSIKDLAQNGVKVAAGVPVTKESEWTGKNFV</w:t>
      </w:r>
    </w:p>
    <w:p w14:paraId="6243C2B7" w14:textId="77777777" w:rsidR="00647A5B" w:rsidRDefault="000147E7">
      <w:pPr>
        <w:keepLines/>
        <w:widowControl w:val="0"/>
        <w:jc w:val="both"/>
      </w:pPr>
      <w:r>
        <w:t>PPLKTLYTVQDTYNYNDPTCGEMTYICWPTVAPSSAYVYKGGKKAITGWENTLLVPSLKRGVIFRIKLDPTYSTTYDDAVPMFKSNNRYRDVIASPDGNVLYVLTDTAGNVQKDDGSVTNTLENPGSLIKFTYKAK</w:t>
      </w:r>
    </w:p>
    <w:p w14:paraId="5C91D047" w14:textId="77777777" w:rsidR="00647A5B" w:rsidRDefault="00647A5B">
      <w:pPr>
        <w:keepLines/>
        <w:widowControl w:val="0"/>
      </w:pPr>
    </w:p>
    <w:p w14:paraId="3EC68151" w14:textId="5080DA38" w:rsidR="00647A5B" w:rsidRDefault="006E6BFE">
      <w:pPr>
        <w:keepLines/>
        <w:widowControl w:val="0"/>
        <w:jc w:val="center"/>
      </w:pPr>
      <w:r>
        <w:rPr>
          <w:noProof/>
        </w:rPr>
        <w:drawing>
          <wp:inline distT="0" distB="0" distL="0" distR="0" wp14:anchorId="7A4069A9" wp14:editId="6E41926F">
            <wp:extent cx="2473036" cy="2420986"/>
            <wp:effectExtent l="0" t="0" r="3810" b="508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96564" cy="2444018"/>
                    </a:xfrm>
                    <a:prstGeom prst="rect">
                      <a:avLst/>
                    </a:prstGeom>
                  </pic:spPr>
                </pic:pic>
              </a:graphicData>
            </a:graphic>
          </wp:inline>
        </w:drawing>
      </w:r>
    </w:p>
    <w:p w14:paraId="605BC3DC" w14:textId="77777777" w:rsidR="00647A5B" w:rsidRDefault="000147E7">
      <w:pPr>
        <w:keepLines/>
        <w:widowControl w:val="0"/>
      </w:pPr>
      <w:r>
        <w:rPr>
          <w:b/>
        </w:rPr>
        <w:t>Figure S8.</w:t>
      </w:r>
      <w:r>
        <w:t xml:space="preserve"> </w:t>
      </w:r>
      <w:r>
        <w:rPr>
          <w:b/>
        </w:rPr>
        <w:t>SDS</w:t>
      </w:r>
      <w:r>
        <w:t>–</w:t>
      </w:r>
      <w:r>
        <w:rPr>
          <w:b/>
        </w:rPr>
        <w:t>PAGE analysis of proteins.</w:t>
      </w:r>
      <w:r>
        <w:t xml:space="preserve"> Each line contains ~1 </w:t>
      </w:r>
      <w:proofErr w:type="spellStart"/>
      <w:r>
        <w:t>μg</w:t>
      </w:r>
      <w:proofErr w:type="spellEnd"/>
      <w:r>
        <w:t xml:space="preserve"> protein sample.</w:t>
      </w:r>
    </w:p>
    <w:p w14:paraId="3B75BB0B" w14:textId="77777777" w:rsidR="00647A5B" w:rsidRDefault="00647A5B">
      <w:pPr>
        <w:keepLines/>
        <w:widowControl w:val="0"/>
      </w:pPr>
    </w:p>
    <w:p w14:paraId="3667F24D" w14:textId="68FE97AF" w:rsidR="00647A5B" w:rsidRDefault="000147E7">
      <w:pPr>
        <w:keepLines/>
        <w:widowControl w:val="0"/>
        <w:jc w:val="both"/>
      </w:pPr>
      <w:r>
        <w:rPr>
          <w:b/>
        </w:rPr>
        <w:t>3.2 UV</w:t>
      </w:r>
      <w:r>
        <w:t>–</w:t>
      </w:r>
      <w:r>
        <w:rPr>
          <w:b/>
        </w:rPr>
        <w:t>vis.</w:t>
      </w:r>
      <w:r>
        <w:t xml:space="preserve"> Protein absorption spectra were taken in 50 mM potassium phosphate buffer, pH 7.0, with 10 nmol/mL protein. Compared with </w:t>
      </w:r>
      <w:proofErr w:type="spellStart"/>
      <w:r>
        <w:t>holo</w:t>
      </w:r>
      <w:proofErr w:type="spellEnd"/>
      <w:r>
        <w:t xml:space="preserve"> GDH, the PQQ absorption peak blue-shifted to 330 nm in </w:t>
      </w:r>
      <w:proofErr w:type="spellStart"/>
      <w:r>
        <w:t>holo</w:t>
      </w:r>
      <w:proofErr w:type="spellEnd"/>
      <w:r>
        <w:t xml:space="preserve"> GDH-5E (Fig. S9). After adding 5 mM glucose, this peak barely shifts (Fig.S10). In contrast, glucose reduction caused a sharp peak at 338 nm, which aligned well with the previous report</w:t>
      </w:r>
      <w:r w:rsidR="00BF1B44">
        <w:t>.</w:t>
      </w:r>
      <w:r w:rsidR="00F04697">
        <w:fldChar w:fldCharType="begin"/>
      </w:r>
      <w:r w:rsidR="00F04697">
        <w:instrText xml:space="preserve"> ADDIN EN.CITE &lt;EndNote&gt;&lt;Cite&gt;&lt;Author&gt;Olsthoorn&lt;/Author&gt;&lt;Year&gt;1996&lt;/Year&gt;&lt;RecNum&gt;371&lt;/RecNum&gt;&lt;DisplayText&gt;&lt;style face="superscript"&gt;2&lt;/style&gt;&lt;/DisplayText&gt;&lt;record&gt;&lt;rec-number&gt;371&lt;/rec-number&gt;&lt;foreign-keys&gt;&lt;key app="EN" db-id="strzfzvvu5wdtueerv3xfxzww9efws2z0ptz" timestamp="1659927111" guid="42366285-e3c1-46fd-a747-5c1114c3d75c"&gt;371&lt;/key&gt;&lt;/foreign-keys&gt;&lt;ref-type name="Journal Article"&gt;17&lt;/ref-type&gt;&lt;contributors&gt;&lt;authors&gt;&lt;author&gt;Olsthoorn, Arjen JJ&lt;/author&gt;&lt;author&gt;Duine, Johannis A&lt;/author&gt;&lt;/authors&gt;&lt;/contributors&gt;&lt;titles&gt;&lt;title&gt;Production, Characterization, and Reconstitution of Recombinant Quinoprotein Glucose Dehydrogenase (Soluble Type; EC 1.1. 99.17) Apoenzyme ofAcinetobacter calcoaceticus&lt;/title&gt;&lt;secondary-title&gt;Archives of biochemistry and biophysics&lt;/secondary-title&gt;&lt;/titles&gt;&lt;periodical&gt;&lt;full-title&gt;Archives of biochemistry and biophysics&lt;/full-title&gt;&lt;/periodical&gt;&lt;pages&gt;42-48&lt;/pages&gt;&lt;volume&gt;336&lt;/volume&gt;&lt;number&gt;1&lt;/number&gt;&lt;dates&gt;&lt;year&gt;1996&lt;/year&gt;&lt;/dates&gt;&lt;isbn&gt;0003-9861&lt;/isbn&gt;&lt;urls&gt;&lt;/urls&gt;&lt;/record&gt;&lt;/Cite&gt;&lt;/EndNote&gt;</w:instrText>
      </w:r>
      <w:r w:rsidR="00F04697">
        <w:fldChar w:fldCharType="separate"/>
      </w:r>
      <w:r w:rsidR="00F04697" w:rsidRPr="00F04697">
        <w:rPr>
          <w:noProof/>
          <w:vertAlign w:val="superscript"/>
        </w:rPr>
        <w:t>2</w:t>
      </w:r>
      <w:r w:rsidR="00F04697">
        <w:fldChar w:fldCharType="end"/>
      </w:r>
      <w:r>
        <w:t xml:space="preserve"> Adding 4-HT (1 µM) didn’t shift the PQQ peak, which indicated that the 4-HT does not affect the redox potential of GDH-5E.</w:t>
      </w:r>
    </w:p>
    <w:p w14:paraId="4CC750E2" w14:textId="77777777" w:rsidR="00647A5B" w:rsidRDefault="000147E7">
      <w:pPr>
        <w:keepLines/>
        <w:widowControl w:val="0"/>
        <w:jc w:val="center"/>
      </w:pPr>
      <w:r>
        <w:rPr>
          <w:b/>
          <w:noProof/>
        </w:rPr>
        <w:drawing>
          <wp:inline distT="0" distB="0" distL="0" distR="0" wp14:anchorId="1191C25C" wp14:editId="1FDA042A">
            <wp:extent cx="2607258" cy="2010682"/>
            <wp:effectExtent l="0" t="0" r="0" b="0"/>
            <wp:docPr id="18493" name="image29.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9.png" descr="Chart&#10;&#10;Description automatically generated"/>
                    <pic:cNvPicPr preferRelativeResize="0"/>
                  </pic:nvPicPr>
                  <pic:blipFill>
                    <a:blip r:embed="rId20"/>
                    <a:srcRect/>
                    <a:stretch>
                      <a:fillRect/>
                    </a:stretch>
                  </pic:blipFill>
                  <pic:spPr>
                    <a:xfrm>
                      <a:off x="0" y="0"/>
                      <a:ext cx="2607258" cy="2010682"/>
                    </a:xfrm>
                    <a:prstGeom prst="rect">
                      <a:avLst/>
                    </a:prstGeom>
                    <a:ln/>
                  </pic:spPr>
                </pic:pic>
              </a:graphicData>
            </a:graphic>
          </wp:inline>
        </w:drawing>
      </w:r>
    </w:p>
    <w:p w14:paraId="1576D0EF" w14:textId="13C86051" w:rsidR="00647A5B" w:rsidRDefault="000147E7">
      <w:pPr>
        <w:keepLines/>
        <w:widowControl w:val="0"/>
      </w:pPr>
      <w:r>
        <w:rPr>
          <w:b/>
        </w:rPr>
        <w:t>Figure S9</w:t>
      </w:r>
      <w:r>
        <w:t xml:space="preserve">. </w:t>
      </w:r>
      <w:r>
        <w:rPr>
          <w:b/>
        </w:rPr>
        <w:t>Absorption spectra of GDH and GDH-5E.</w:t>
      </w:r>
      <w:r>
        <w:t xml:space="preserve"> 10 nmol protein was </w:t>
      </w:r>
      <w:proofErr w:type="spellStart"/>
      <w:r>
        <w:t>dissoved</w:t>
      </w:r>
      <w:proofErr w:type="spellEnd"/>
      <w:r>
        <w:t xml:space="preserve"> in 1 mL 50 mM potassium phosphate buffer, pH 7.0 in cuvette. </w:t>
      </w:r>
    </w:p>
    <w:p w14:paraId="0A3A2AB5" w14:textId="62BA6C80" w:rsidR="00647A5B" w:rsidRDefault="000147E7">
      <w:pPr>
        <w:keepLines/>
        <w:widowControl w:val="0"/>
        <w:jc w:val="center"/>
      </w:pPr>
      <w:r>
        <w:rPr>
          <w:noProof/>
        </w:rPr>
        <w:drawing>
          <wp:inline distT="0" distB="0" distL="0" distR="0" wp14:anchorId="09DE7057" wp14:editId="772CEACC">
            <wp:extent cx="4139922" cy="3931759"/>
            <wp:effectExtent l="0" t="0" r="635" b="5715"/>
            <wp:docPr id="18491" name="image23.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png" descr="Chart&#10;&#10;Description automatically generated"/>
                    <pic:cNvPicPr preferRelativeResize="0"/>
                  </pic:nvPicPr>
                  <pic:blipFill>
                    <a:blip r:embed="rId21"/>
                    <a:srcRect/>
                    <a:stretch>
                      <a:fillRect/>
                    </a:stretch>
                  </pic:blipFill>
                  <pic:spPr>
                    <a:xfrm>
                      <a:off x="0" y="0"/>
                      <a:ext cx="4166993" cy="3957469"/>
                    </a:xfrm>
                    <a:prstGeom prst="rect">
                      <a:avLst/>
                    </a:prstGeom>
                    <a:ln/>
                  </pic:spPr>
                </pic:pic>
              </a:graphicData>
            </a:graphic>
          </wp:inline>
        </w:drawing>
      </w:r>
    </w:p>
    <w:p w14:paraId="24E14DB5" w14:textId="77777777" w:rsidR="00F04697" w:rsidRDefault="00F04697">
      <w:pPr>
        <w:keepLines/>
        <w:widowControl w:val="0"/>
        <w:jc w:val="center"/>
      </w:pPr>
    </w:p>
    <w:p w14:paraId="311C03A4" w14:textId="77777777" w:rsidR="00647A5B" w:rsidRDefault="000147E7">
      <w:pPr>
        <w:keepLines/>
        <w:widowControl w:val="0"/>
        <w:jc w:val="both"/>
      </w:pPr>
      <w:r>
        <w:rPr>
          <w:b/>
        </w:rPr>
        <w:t>Figure S10. Absorption spectra of GDH-5E with glucose and 4-HT.</w:t>
      </w:r>
      <w:r>
        <w:t xml:space="preserve"> 10 nmol protein was dissolved in 1 mL 50 mM potassium phosphate buffer, pH 7.0, in a cuvette. (a) GDH-5E</w:t>
      </w:r>
      <w:r>
        <w:rPr>
          <w:b/>
        </w:rPr>
        <w:t xml:space="preserve"> </w:t>
      </w:r>
      <w:r>
        <w:t>sequentially added glucose, then 4-HT. (b) GDH-5E sequentially added 4-HT, then glucose. Control experiments were prepared with GDH (c) and apo GDH-5E (d).</w:t>
      </w:r>
    </w:p>
    <w:p w14:paraId="1AC475BC" w14:textId="358BC98E" w:rsidR="00647A5B" w:rsidRDefault="000147E7">
      <w:pPr>
        <w:keepLines/>
        <w:widowControl w:val="0"/>
        <w:pBdr>
          <w:top w:val="nil"/>
          <w:left w:val="nil"/>
          <w:bottom w:val="nil"/>
          <w:right w:val="nil"/>
          <w:between w:val="nil"/>
        </w:pBdr>
        <w:tabs>
          <w:tab w:val="left" w:pos="1228"/>
        </w:tabs>
        <w:spacing w:before="240"/>
        <w:jc w:val="both"/>
        <w:rPr>
          <w:color w:val="000000"/>
        </w:rPr>
      </w:pPr>
      <w:r>
        <w:rPr>
          <w:b/>
          <w:color w:val="000000"/>
        </w:rPr>
        <w:t>3.</w:t>
      </w:r>
      <w:r w:rsidR="00427BC5">
        <w:rPr>
          <w:b/>
          <w:color w:val="000000"/>
        </w:rPr>
        <w:t>3</w:t>
      </w:r>
      <w:r>
        <w:rPr>
          <w:b/>
          <w:color w:val="000000"/>
        </w:rPr>
        <w:t xml:space="preserve"> Protein activity. </w:t>
      </w:r>
    </w:p>
    <w:p w14:paraId="7DE567E3" w14:textId="0F155A8E" w:rsidR="00647A5B" w:rsidRDefault="000147E7">
      <w:pPr>
        <w:keepLines/>
        <w:widowControl w:val="0"/>
        <w:tabs>
          <w:tab w:val="left" w:pos="720"/>
        </w:tabs>
        <w:jc w:val="both"/>
      </w:pPr>
      <w:r>
        <w:tab/>
        <w:t>We characterized the proteins’ activities with various glucose concentrations, ranging from 0 mM to 80 mM, and fitted them into the Michaelis–Menten kinetics curves (Fig. S11). The fitted K</w:t>
      </w:r>
      <w:r>
        <w:rPr>
          <w:vertAlign w:val="subscript"/>
        </w:rPr>
        <w:t>m</w:t>
      </w:r>
      <w:r>
        <w:t xml:space="preserve"> and </w:t>
      </w:r>
      <w:proofErr w:type="spellStart"/>
      <w:r>
        <w:t>V</w:t>
      </w:r>
      <w:r>
        <w:rPr>
          <w:vertAlign w:val="subscript"/>
        </w:rPr>
        <w:t>m</w:t>
      </w:r>
      <w:proofErr w:type="spellEnd"/>
      <w:r>
        <w:t xml:space="preserve"> were summarized in Table S2.</w:t>
      </w:r>
    </w:p>
    <w:p w14:paraId="64CF7150" w14:textId="77777777" w:rsidR="00647A5B" w:rsidRDefault="000147E7">
      <w:pPr>
        <w:keepLines/>
        <w:widowControl w:val="0"/>
        <w:tabs>
          <w:tab w:val="left" w:pos="720"/>
        </w:tabs>
        <w:jc w:val="center"/>
      </w:pPr>
      <w:r>
        <w:rPr>
          <w:noProof/>
        </w:rPr>
        <w:drawing>
          <wp:inline distT="0" distB="0" distL="0" distR="0" wp14:anchorId="4DA831FB" wp14:editId="3E573C13">
            <wp:extent cx="2321169" cy="2048423"/>
            <wp:effectExtent l="0" t="0" r="0" b="0"/>
            <wp:docPr id="1849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2"/>
                    <a:srcRect/>
                    <a:stretch>
                      <a:fillRect/>
                    </a:stretch>
                  </pic:blipFill>
                  <pic:spPr>
                    <a:xfrm>
                      <a:off x="0" y="0"/>
                      <a:ext cx="2369272" cy="2090873"/>
                    </a:xfrm>
                    <a:prstGeom prst="rect">
                      <a:avLst/>
                    </a:prstGeom>
                    <a:ln/>
                  </pic:spPr>
                </pic:pic>
              </a:graphicData>
            </a:graphic>
          </wp:inline>
        </w:drawing>
      </w:r>
    </w:p>
    <w:p w14:paraId="053B0207" w14:textId="04D8DFFB" w:rsidR="00647A5B" w:rsidRDefault="000147E7" w:rsidP="007933FE">
      <w:pPr>
        <w:keepLines/>
        <w:widowControl w:val="0"/>
        <w:tabs>
          <w:tab w:val="left" w:pos="720"/>
        </w:tabs>
        <w:jc w:val="center"/>
        <w:rPr>
          <w:b/>
        </w:rPr>
      </w:pPr>
      <w:proofErr w:type="spellStart"/>
      <w:r>
        <w:rPr>
          <w:b/>
        </w:rPr>
        <w:t>Figture</w:t>
      </w:r>
      <w:proofErr w:type="spellEnd"/>
      <w:r>
        <w:rPr>
          <w:b/>
        </w:rPr>
        <w:t xml:space="preserve"> S11. </w:t>
      </w:r>
      <w:r w:rsidR="00BF1B44" w:rsidRPr="00BF1B44">
        <w:rPr>
          <w:b/>
          <w:bCs/>
        </w:rPr>
        <w:t>Michaelis–Menten</w:t>
      </w:r>
      <w:r>
        <w:rPr>
          <w:b/>
        </w:rPr>
        <w:t xml:space="preserve"> curves with GDH-5E</w:t>
      </w:r>
      <w:r>
        <w:rPr>
          <w:b/>
          <w:vertAlign w:val="superscript"/>
        </w:rPr>
        <w:t>+</w:t>
      </w:r>
      <w:r>
        <w:rPr>
          <w:b/>
        </w:rPr>
        <w:t>, GDH-5E and GDH.</w:t>
      </w:r>
    </w:p>
    <w:p w14:paraId="43C9729A" w14:textId="77777777" w:rsidR="00647A5B" w:rsidRDefault="00647A5B">
      <w:pPr>
        <w:keepLines/>
        <w:widowControl w:val="0"/>
        <w:jc w:val="center"/>
      </w:pPr>
    </w:p>
    <w:p w14:paraId="223E504B" w14:textId="77777777" w:rsidR="00647A5B" w:rsidRDefault="000147E7">
      <w:pPr>
        <w:keepLines/>
        <w:widowControl w:val="0"/>
        <w:jc w:val="center"/>
      </w:pPr>
      <w:r>
        <w:t>Table S2. Summary of MMK</w:t>
      </w:r>
    </w:p>
    <w:p w14:paraId="4B9B18A0" w14:textId="77777777" w:rsidR="00647A5B" w:rsidRDefault="000147E7">
      <w:pPr>
        <w:keepLines/>
        <w:widowControl w:val="0"/>
        <w:jc w:val="center"/>
      </w:pPr>
      <w:r>
        <w:rPr>
          <w:noProof/>
        </w:rPr>
        <w:drawing>
          <wp:inline distT="0" distB="0" distL="0" distR="0" wp14:anchorId="307EB260" wp14:editId="1234AC73">
            <wp:extent cx="4335737" cy="1059716"/>
            <wp:effectExtent l="0" t="0" r="0" b="0"/>
            <wp:docPr id="18494" name="image22.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2.png" descr="Shape&#10;&#10;Description automatically generated with medium confidence"/>
                    <pic:cNvPicPr preferRelativeResize="0"/>
                  </pic:nvPicPr>
                  <pic:blipFill rotWithShape="1">
                    <a:blip r:embed="rId23"/>
                    <a:srcRect l="6337"/>
                    <a:stretch/>
                  </pic:blipFill>
                  <pic:spPr bwMode="auto">
                    <a:xfrm>
                      <a:off x="0" y="0"/>
                      <a:ext cx="4605117" cy="1125556"/>
                    </a:xfrm>
                    <a:prstGeom prst="rect">
                      <a:avLst/>
                    </a:prstGeom>
                    <a:ln>
                      <a:noFill/>
                    </a:ln>
                    <a:extLst>
                      <a:ext uri="{53640926-AAD7-44D8-BBD7-CCE9431645EC}">
                        <a14:shadowObscured xmlns:a14="http://schemas.microsoft.com/office/drawing/2010/main"/>
                      </a:ext>
                    </a:extLst>
                  </pic:spPr>
                </pic:pic>
              </a:graphicData>
            </a:graphic>
          </wp:inline>
        </w:drawing>
      </w:r>
    </w:p>
    <w:p w14:paraId="30E77571" w14:textId="0C19D409" w:rsidR="00CF2683" w:rsidRDefault="000147E7">
      <w:pPr>
        <w:keepLines/>
        <w:widowControl w:val="0"/>
        <w:jc w:val="both"/>
      </w:pPr>
      <w:r>
        <w:rPr>
          <w:b/>
        </w:rPr>
        <w:t>3.</w:t>
      </w:r>
      <w:r w:rsidR="00427BC5">
        <w:rPr>
          <w:b/>
        </w:rPr>
        <w:t>4</w:t>
      </w:r>
      <w:r>
        <w:rPr>
          <w:b/>
        </w:rPr>
        <w:t xml:space="preserve"> Allosteric effect. </w:t>
      </w:r>
      <w:r>
        <w:t xml:space="preserve">According to LBD crystal structure, LBD’s ligand-dependent conformational change is mainly mediated by helix 12 (orange colored). When LBD harbors ES (17β-estradiol), the N-C termini distance is ~33 Å. While 4-HT binding moves the helix 12 away from the binding pocket, resulting in a shorter termini distance of ~23 Å (Fig. S12). </w:t>
      </w:r>
    </w:p>
    <w:p w14:paraId="32D5A640" w14:textId="7ABCEE0C" w:rsidR="00647A5B" w:rsidRDefault="000147E7">
      <w:pPr>
        <w:keepLines/>
        <w:widowControl w:val="0"/>
        <w:jc w:val="center"/>
      </w:pPr>
      <w:r>
        <w:rPr>
          <w:noProof/>
        </w:rPr>
        <w:drawing>
          <wp:inline distT="0" distB="0" distL="0" distR="0" wp14:anchorId="68D8F7A9" wp14:editId="41A1D4F3">
            <wp:extent cx="5198724" cy="1952090"/>
            <wp:effectExtent l="0" t="0" r="0" b="3810"/>
            <wp:docPr id="18495" name="image24.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4.png" descr="A picture containing diagram&#10;&#10;Description automatically generated"/>
                    <pic:cNvPicPr preferRelativeResize="0"/>
                  </pic:nvPicPr>
                  <pic:blipFill>
                    <a:blip r:embed="rId24"/>
                    <a:srcRect t="13869"/>
                    <a:stretch>
                      <a:fillRect/>
                    </a:stretch>
                  </pic:blipFill>
                  <pic:spPr>
                    <a:xfrm>
                      <a:off x="0" y="0"/>
                      <a:ext cx="5446441" cy="2045106"/>
                    </a:xfrm>
                    <a:prstGeom prst="rect">
                      <a:avLst/>
                    </a:prstGeom>
                    <a:ln/>
                  </pic:spPr>
                </pic:pic>
              </a:graphicData>
            </a:graphic>
          </wp:inline>
        </w:drawing>
      </w:r>
      <w:r>
        <w:t xml:space="preserve"> </w:t>
      </w:r>
    </w:p>
    <w:p w14:paraId="4957B7E5" w14:textId="77777777" w:rsidR="00647A5B" w:rsidRDefault="000147E7">
      <w:pPr>
        <w:keepLines/>
        <w:widowControl w:val="0"/>
        <w:jc w:val="both"/>
      </w:pPr>
      <w:r>
        <w:rPr>
          <w:b/>
        </w:rPr>
        <w:t>Figure S12</w:t>
      </w:r>
      <w:r>
        <w:t xml:space="preserve">. </w:t>
      </w:r>
      <w:r>
        <w:rPr>
          <w:b/>
        </w:rPr>
        <w:t xml:space="preserve">Crystal structure of LBD with ES or 4-HT. </w:t>
      </w:r>
      <w:r>
        <w:t xml:space="preserve">ER-LBD with ES (PDB: 1ERE); ER-LBD with 4-HT (PDB: 3ERT). The chemical structure of ES and 4-HT were also shown. </w:t>
      </w:r>
    </w:p>
    <w:p w14:paraId="2984DB96" w14:textId="3A9145FF" w:rsidR="00647A5B" w:rsidRDefault="000147E7" w:rsidP="00CF2683">
      <w:pPr>
        <w:keepLines/>
        <w:widowControl w:val="0"/>
        <w:tabs>
          <w:tab w:val="left" w:pos="720"/>
        </w:tabs>
        <w:jc w:val="both"/>
      </w:pPr>
      <w:r>
        <w:tab/>
      </w:r>
      <w:r>
        <w:rPr>
          <w:noProof/>
        </w:rPr>
        <w:drawing>
          <wp:inline distT="0" distB="0" distL="0" distR="0" wp14:anchorId="6F7ED320" wp14:editId="5D534093">
            <wp:extent cx="5030334" cy="3949148"/>
            <wp:effectExtent l="0" t="0" r="0" b="635"/>
            <wp:docPr id="18496" name="image30.png" descr="A picture containing night, laser, light, wa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0.png" descr="A picture containing night, laser, light, way&#10;&#10;Description automatically generated"/>
                    <pic:cNvPicPr preferRelativeResize="0"/>
                  </pic:nvPicPr>
                  <pic:blipFill>
                    <a:blip r:embed="rId25"/>
                    <a:srcRect/>
                    <a:stretch>
                      <a:fillRect/>
                    </a:stretch>
                  </pic:blipFill>
                  <pic:spPr>
                    <a:xfrm>
                      <a:off x="0" y="0"/>
                      <a:ext cx="5125422" cy="4023799"/>
                    </a:xfrm>
                    <a:prstGeom prst="rect">
                      <a:avLst/>
                    </a:prstGeom>
                    <a:ln/>
                  </pic:spPr>
                </pic:pic>
              </a:graphicData>
            </a:graphic>
          </wp:inline>
        </w:drawing>
      </w:r>
    </w:p>
    <w:p w14:paraId="68E8CE0D" w14:textId="566EF472" w:rsidR="00647A5B" w:rsidRDefault="000147E7">
      <w:pPr>
        <w:keepLines/>
        <w:widowControl w:val="0"/>
        <w:jc w:val="both"/>
      </w:pPr>
      <w:r>
        <w:rPr>
          <w:b/>
        </w:rPr>
        <w:t>Figure S13</w:t>
      </w:r>
      <w:r>
        <w:t xml:space="preserve">. </w:t>
      </w:r>
      <w:r>
        <w:rPr>
          <w:b/>
        </w:rPr>
        <w:t>4-HT allosteric effect on GDH-LBD.</w:t>
      </w:r>
      <w:r>
        <w:t xml:space="preserve"> The reaction were performed with 10 ng GDH (a), GDH-5E (b) or GDH-5E</w:t>
      </w:r>
      <w:r>
        <w:rPr>
          <w:vertAlign w:val="superscript"/>
        </w:rPr>
        <w:t>+</w:t>
      </w:r>
      <w:r>
        <w:t xml:space="preserve"> (c) in 200 </w:t>
      </w:r>
      <w:proofErr w:type="spellStart"/>
      <w:r>
        <w:t>μL</w:t>
      </w:r>
      <w:proofErr w:type="spellEnd"/>
      <w:r>
        <w:t xml:space="preserve"> solution with DCPIP, PMS and glucose in 10 mM </w:t>
      </w:r>
      <w:proofErr w:type="gramStart"/>
      <w:r>
        <w:t>MOPS ,</w:t>
      </w:r>
      <w:proofErr w:type="gramEnd"/>
      <w:r>
        <w:t xml:space="preserve"> pH 7. Values are shown in mean ± </w:t>
      </w:r>
      <w:proofErr w:type="spellStart"/>
      <w:r>
        <w:t>sem</w:t>
      </w:r>
      <w:proofErr w:type="spellEnd"/>
      <w:r>
        <w:t xml:space="preserve"> with independent biological experiments (n = 3).</w:t>
      </w:r>
    </w:p>
    <w:p w14:paraId="6DD851E2" w14:textId="77777777" w:rsidR="001414F2" w:rsidRDefault="001414F2">
      <w:pPr>
        <w:keepLines/>
        <w:widowControl w:val="0"/>
        <w:rPr>
          <w:b/>
        </w:rPr>
      </w:pPr>
    </w:p>
    <w:p w14:paraId="4635AA47" w14:textId="7EFD7A01" w:rsidR="00647A5B" w:rsidRDefault="000147E7" w:rsidP="006632F6">
      <w:pPr>
        <w:keepLines/>
        <w:widowControl w:val="0"/>
        <w:jc w:val="both"/>
      </w:pPr>
      <w:r>
        <w:rPr>
          <w:b/>
        </w:rPr>
        <w:t>3.</w:t>
      </w:r>
      <w:r w:rsidR="00427BC5">
        <w:rPr>
          <w:b/>
        </w:rPr>
        <w:t>5</w:t>
      </w:r>
      <w:r>
        <w:rPr>
          <w:b/>
        </w:rPr>
        <w:t xml:space="preserve"> Protein stability. </w:t>
      </w:r>
      <w:r>
        <w:t xml:space="preserve">The protein stability was evaluated by comparing the remaining activity after being stored at – 80 </w:t>
      </w:r>
      <w:r>
        <w:rPr>
          <w:vertAlign w:val="superscript"/>
        </w:rPr>
        <w:t>◦</w:t>
      </w:r>
      <w:r>
        <w:t xml:space="preserve">C for three months. The protein was thawed on ice and tested </w:t>
      </w:r>
      <w:r w:rsidR="006632F6">
        <w:t xml:space="preserve">for </w:t>
      </w:r>
      <w:r w:rsidR="00410C5F">
        <w:t>protein activity.</w:t>
      </w:r>
    </w:p>
    <w:p w14:paraId="13D252AB" w14:textId="5D3E6622" w:rsidR="00647A5B" w:rsidRDefault="000147E7">
      <w:pPr>
        <w:keepLines/>
        <w:widowControl w:val="0"/>
        <w:jc w:val="center"/>
      </w:pPr>
      <w:r>
        <w:rPr>
          <w:noProof/>
        </w:rPr>
        <w:drawing>
          <wp:inline distT="0" distB="0" distL="0" distR="0" wp14:anchorId="2CFDADE7" wp14:editId="37A94492">
            <wp:extent cx="2130697" cy="2037805"/>
            <wp:effectExtent l="0" t="0" r="0" b="0"/>
            <wp:docPr id="18497"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6"/>
                    <a:srcRect b="38874"/>
                    <a:stretch>
                      <a:fillRect/>
                    </a:stretch>
                  </pic:blipFill>
                  <pic:spPr>
                    <a:xfrm>
                      <a:off x="0" y="0"/>
                      <a:ext cx="2167001" cy="2072526"/>
                    </a:xfrm>
                    <a:prstGeom prst="rect">
                      <a:avLst/>
                    </a:prstGeom>
                    <a:ln/>
                  </pic:spPr>
                </pic:pic>
              </a:graphicData>
            </a:graphic>
          </wp:inline>
        </w:drawing>
      </w:r>
    </w:p>
    <w:p w14:paraId="06BA1AAE" w14:textId="1B1E741A" w:rsidR="00647A5B" w:rsidRDefault="000147E7" w:rsidP="00427BC5">
      <w:pPr>
        <w:keepLines/>
        <w:widowControl w:val="0"/>
        <w:jc w:val="center"/>
        <w:rPr>
          <w:b/>
        </w:rPr>
      </w:pPr>
      <w:r>
        <w:rPr>
          <w:b/>
        </w:rPr>
        <w:t>Figure S14</w:t>
      </w:r>
      <w:r>
        <w:t xml:space="preserve">. </w:t>
      </w:r>
      <w:r>
        <w:rPr>
          <w:b/>
        </w:rPr>
        <w:t>The remaining activity of GDH-LBD.</w:t>
      </w:r>
    </w:p>
    <w:p w14:paraId="4B3C9D44" w14:textId="4F4E035E" w:rsidR="00647A5B" w:rsidRDefault="000147E7">
      <w:pPr>
        <w:keepLines/>
        <w:widowControl w:val="0"/>
        <w:jc w:val="center"/>
        <w:rPr>
          <w:b/>
        </w:rPr>
      </w:pPr>
      <w:r>
        <w:rPr>
          <w:b/>
        </w:rPr>
        <w:t xml:space="preserve">4. Creating a 4-HT </w:t>
      </w:r>
      <w:proofErr w:type="spellStart"/>
      <w:r>
        <w:rPr>
          <w:b/>
        </w:rPr>
        <w:t>amperometric</w:t>
      </w:r>
      <w:proofErr w:type="spellEnd"/>
      <w:r>
        <w:rPr>
          <w:b/>
        </w:rPr>
        <w:t xml:space="preserve"> sensor with GDH-5E</w:t>
      </w:r>
      <w:r>
        <w:rPr>
          <w:b/>
          <w:vertAlign w:val="superscript"/>
        </w:rPr>
        <w:t>+</w:t>
      </w:r>
    </w:p>
    <w:p w14:paraId="7EE40D34" w14:textId="77777777" w:rsidR="00602961" w:rsidRPr="00602961" w:rsidRDefault="00602961">
      <w:pPr>
        <w:keepLines/>
        <w:widowControl w:val="0"/>
        <w:jc w:val="center"/>
        <w:rPr>
          <w:b/>
        </w:rPr>
      </w:pPr>
    </w:p>
    <w:p w14:paraId="4C4F761C" w14:textId="5FFB836B" w:rsidR="00FA0ACF" w:rsidRPr="00D67E66" w:rsidRDefault="00602961" w:rsidP="00602961">
      <w:pPr>
        <w:keepLines/>
        <w:rPr>
          <w:b/>
        </w:rPr>
      </w:pPr>
      <w:r>
        <w:rPr>
          <w:b/>
        </w:rPr>
        <w:t xml:space="preserve">4.1 </w:t>
      </w:r>
      <w:r w:rsidR="00D67E66" w:rsidRPr="00D67E66">
        <w:rPr>
          <w:b/>
          <w:color w:val="000000"/>
        </w:rPr>
        <w:t xml:space="preserve">Effect of </w:t>
      </w:r>
      <w:r w:rsidR="00D67E66" w:rsidRPr="00D67E66">
        <w:rPr>
          <w:b/>
        </w:rPr>
        <w:t xml:space="preserve">4-HT </w:t>
      </w:r>
    </w:p>
    <w:p w14:paraId="5FB8CBCF" w14:textId="5AC17B4C" w:rsidR="00647A5B" w:rsidRDefault="00256D3C">
      <w:pPr>
        <w:keepLines/>
        <w:widowControl w:val="0"/>
        <w:tabs>
          <w:tab w:val="left" w:pos="720"/>
        </w:tabs>
        <w:jc w:val="both"/>
      </w:pPr>
      <w:r w:rsidRPr="00256D3C">
        <w:t xml:space="preserve">The proposed working model was that LBD undergoes a conformational change following 4-HT binding. The resulted structure had a lower glucose oxidation capacity. To validate this hypothesis, we first added 10 </w:t>
      </w:r>
      <w:proofErr w:type="spellStart"/>
      <w:r w:rsidRPr="00256D3C">
        <w:t>nM</w:t>
      </w:r>
      <w:proofErr w:type="spellEnd"/>
      <w:r w:rsidRPr="00256D3C">
        <w:t xml:space="preserve"> 4-HT into electrolytes. Electrodes were soaked in electrolyte for 3 minutes prior we sequentially spiked glucose (Fig. S15a). Compared to the electrodes with ES, the electrodes in the 4-HT</w:t>
      </w:r>
      <w:r w:rsidR="001B6EE1">
        <w:t xml:space="preserve"> </w:t>
      </w:r>
      <w:r w:rsidRPr="00256D3C">
        <w:t xml:space="preserve">containing system showed ~ 22 % decreased current at each glucose spiking. Although we observed the current difference at initial injections, significant differences were achieved when glucose ≥150 </w:t>
      </w:r>
      <w:proofErr w:type="spellStart"/>
      <w:r w:rsidRPr="00256D3C">
        <w:t>μM</w:t>
      </w:r>
      <w:proofErr w:type="spellEnd"/>
      <w:r w:rsidRPr="00256D3C">
        <w:t xml:space="preserve">. Further increasing the 4-HT concentration to 12.5 </w:t>
      </w:r>
      <w:proofErr w:type="spellStart"/>
      <w:r w:rsidRPr="00256D3C">
        <w:t>μM</w:t>
      </w:r>
      <w:proofErr w:type="spellEnd"/>
      <w:r w:rsidRPr="00256D3C">
        <w:t>, we observed similar electrochemical current repression from 4-HT. This result aligned with the previous assay results in Figure 3B that the GDH-5E</w:t>
      </w:r>
      <w:r w:rsidRPr="00256D3C">
        <w:rPr>
          <w:vertAlign w:val="superscript"/>
        </w:rPr>
        <w:t>+</w:t>
      </w:r>
      <w:r>
        <w:t xml:space="preserve"> </w:t>
      </w:r>
      <w:r w:rsidR="000147E7">
        <w:t>lacks dynamic range for 4-HT concentration.</w:t>
      </w:r>
    </w:p>
    <w:p w14:paraId="69264A04" w14:textId="77777777" w:rsidR="006632F6" w:rsidRDefault="006632F6">
      <w:pPr>
        <w:keepLines/>
        <w:widowControl w:val="0"/>
        <w:tabs>
          <w:tab w:val="left" w:pos="720"/>
        </w:tabs>
        <w:jc w:val="both"/>
      </w:pPr>
    </w:p>
    <w:p w14:paraId="0CD46058" w14:textId="28DBB605" w:rsidR="00647A5B" w:rsidRDefault="000147E7" w:rsidP="00602961">
      <w:pPr>
        <w:keepLines/>
        <w:widowControl w:val="0"/>
        <w:tabs>
          <w:tab w:val="left" w:pos="720"/>
        </w:tabs>
        <w:jc w:val="both"/>
        <w:rPr>
          <w:b/>
        </w:rPr>
      </w:pPr>
      <w:r>
        <w:rPr>
          <w:b/>
          <w:noProof/>
        </w:rPr>
        <w:drawing>
          <wp:inline distT="0" distB="0" distL="0" distR="0" wp14:anchorId="316328EA" wp14:editId="44256BCE">
            <wp:extent cx="5943600" cy="1898650"/>
            <wp:effectExtent l="0" t="0" r="0" b="0"/>
            <wp:docPr id="18498" name="image26.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6.png" descr="Chart, scatter chart&#10;&#10;Description automatically generated"/>
                    <pic:cNvPicPr preferRelativeResize="0"/>
                  </pic:nvPicPr>
                  <pic:blipFill>
                    <a:blip r:embed="rId27"/>
                    <a:srcRect b="13110"/>
                    <a:stretch>
                      <a:fillRect/>
                    </a:stretch>
                  </pic:blipFill>
                  <pic:spPr>
                    <a:xfrm>
                      <a:off x="0" y="0"/>
                      <a:ext cx="5943600" cy="1898650"/>
                    </a:xfrm>
                    <a:prstGeom prst="rect">
                      <a:avLst/>
                    </a:prstGeom>
                    <a:ln/>
                  </pic:spPr>
                </pic:pic>
              </a:graphicData>
            </a:graphic>
          </wp:inline>
        </w:drawing>
      </w:r>
    </w:p>
    <w:p w14:paraId="0FE29963" w14:textId="77777777" w:rsidR="00CD4B6E" w:rsidRDefault="00CD4B6E" w:rsidP="00602961">
      <w:pPr>
        <w:keepLines/>
        <w:widowControl w:val="0"/>
        <w:tabs>
          <w:tab w:val="left" w:pos="720"/>
        </w:tabs>
        <w:jc w:val="both"/>
        <w:rPr>
          <w:b/>
        </w:rPr>
      </w:pPr>
    </w:p>
    <w:p w14:paraId="4A80D042" w14:textId="77777777" w:rsidR="00647A5B" w:rsidRDefault="000147E7">
      <w:pPr>
        <w:keepLines/>
        <w:widowControl w:val="0"/>
        <w:contextualSpacing/>
        <w:jc w:val="both"/>
      </w:pPr>
      <w:r>
        <w:rPr>
          <w:b/>
        </w:rPr>
        <w:t xml:space="preserve">Figure S15. </w:t>
      </w:r>
      <w:proofErr w:type="spellStart"/>
      <w:r>
        <w:rPr>
          <w:b/>
        </w:rPr>
        <w:t>Amperometric</w:t>
      </w:r>
      <w:proofErr w:type="spellEnd"/>
      <w:r>
        <w:rPr>
          <w:b/>
        </w:rPr>
        <w:t xml:space="preserve"> </w:t>
      </w:r>
      <w:proofErr w:type="spellStart"/>
      <w:r>
        <w:rPr>
          <w:b/>
        </w:rPr>
        <w:t>i</w:t>
      </w:r>
      <w:proofErr w:type="spellEnd"/>
      <w:r>
        <w:rPr>
          <w:b/>
        </w:rPr>
        <w:t>–t curves of GDH-5E</w:t>
      </w:r>
      <w:r>
        <w:rPr>
          <w:b/>
          <w:vertAlign w:val="superscript"/>
        </w:rPr>
        <w:t>+</w:t>
      </w:r>
      <w:r>
        <w:rPr>
          <w:b/>
        </w:rPr>
        <w:t>.</w:t>
      </w:r>
      <w:r>
        <w:t xml:space="preserve"> Electrodes were pre-soaked in 100 mM MOPS electrolytes containing 4-HT or ES. Experiments were performed by adding glucose stepwise at an applied potential of 300 mV vs SCE. Values are shown in mean ± </w:t>
      </w:r>
      <w:proofErr w:type="spellStart"/>
      <w:r>
        <w:t>sem</w:t>
      </w:r>
      <w:proofErr w:type="spellEnd"/>
      <w:r>
        <w:t xml:space="preserve"> with independent biological experiments (n = 3). * </w:t>
      </w:r>
      <w:proofErr w:type="gramStart"/>
      <w:r>
        <w:t>represents</w:t>
      </w:r>
      <w:proofErr w:type="gramEnd"/>
      <w:r>
        <w:t xml:space="preserve"> P &lt; 0.05, ** represents P &lt; 0.01, two-tailed t-test analysis.</w:t>
      </w:r>
    </w:p>
    <w:p w14:paraId="4AC247F9" w14:textId="77777777" w:rsidR="00647A5B" w:rsidRDefault="00647A5B">
      <w:pPr>
        <w:keepLines/>
        <w:widowControl w:val="0"/>
        <w:contextualSpacing/>
      </w:pPr>
    </w:p>
    <w:p w14:paraId="65A22122" w14:textId="77777777" w:rsidR="00846CDE" w:rsidRDefault="000147E7" w:rsidP="00846CDE">
      <w:pPr>
        <w:keepLines/>
        <w:contextualSpacing/>
        <w:rPr>
          <w:b/>
        </w:rPr>
      </w:pPr>
      <w:r>
        <w:rPr>
          <w:b/>
        </w:rPr>
        <w:t>4.</w:t>
      </w:r>
      <w:r w:rsidR="00410C5F">
        <w:rPr>
          <w:b/>
        </w:rPr>
        <w:t>2</w:t>
      </w:r>
      <w:r>
        <w:rPr>
          <w:b/>
        </w:rPr>
        <w:t xml:space="preserve"> Electrochemistry with human blood sample. </w:t>
      </w:r>
    </w:p>
    <w:p w14:paraId="67C31364" w14:textId="77777777" w:rsidR="00846CDE" w:rsidRDefault="000147E7" w:rsidP="00846CDE">
      <w:pPr>
        <w:keepLines/>
        <w:contextualSpacing/>
        <w:jc w:val="both"/>
      </w:pPr>
      <w:r>
        <w:t xml:space="preserve">CVs were performed with </w:t>
      </w:r>
      <w:proofErr w:type="spellStart"/>
      <w:r>
        <w:t>AvCarb</w:t>
      </w:r>
      <w:proofErr w:type="spellEnd"/>
      <w:r>
        <w:t xml:space="preserve"> electrodes coated with GDH-5E</w:t>
      </w:r>
      <w:r>
        <w:rPr>
          <w:vertAlign w:val="superscript"/>
        </w:rPr>
        <w:t>+</w:t>
      </w:r>
      <w:r>
        <w:t xml:space="preserve">/Fc–LPEI. After adding 200 </w:t>
      </w:r>
      <w:proofErr w:type="spellStart"/>
      <w:r>
        <w:t>μL</w:t>
      </w:r>
      <w:proofErr w:type="spellEnd"/>
      <w:r>
        <w:t xml:space="preserve"> whole blood to 5 mL MOPS buffer (100 mM, pH 7.0) under stationary condition, we observed oxidative current appearing on GDH-5E</w:t>
      </w:r>
      <w:r>
        <w:rPr>
          <w:vertAlign w:val="superscript"/>
        </w:rPr>
        <w:t>+</w:t>
      </w:r>
      <w:r>
        <w:t xml:space="preserve"> electrodes (Fig. S16a). This oxidative response was less</w:t>
      </w:r>
    </w:p>
    <w:p w14:paraId="509F830F" w14:textId="24610BD3" w:rsidR="00846CDE" w:rsidRDefault="000147E7" w:rsidP="00846CDE">
      <w:pPr>
        <w:keepLines/>
        <w:contextualSpacing/>
        <w:jc w:val="both"/>
      </w:pPr>
      <w:r>
        <w:t xml:space="preserve"> apparent than on the glassy carbon electrodes because of the high capacity natural of the </w:t>
      </w:r>
      <w:proofErr w:type="spellStart"/>
      <w:r>
        <w:t>AvCarb</w:t>
      </w:r>
      <w:proofErr w:type="spellEnd"/>
      <w:r>
        <w:t>.</w:t>
      </w:r>
      <w:r w:rsidR="006E6DDF">
        <w:t xml:space="preserve"> </w:t>
      </w:r>
      <w:r>
        <w:t xml:space="preserve">The blank control electrodes were prepared by immobilizing bovine serum albumin (BSA, 20 mg/mL) with Fc–LPEI. The current decreased after adding blood (Fig. S16b), which might result from the conductivity decline caused by blood cells </w:t>
      </w:r>
      <w:proofErr w:type="spellStart"/>
      <w:r>
        <w:t>precitipated</w:t>
      </w:r>
      <w:proofErr w:type="spellEnd"/>
      <w:r>
        <w:t xml:space="preserve"> on electrode.</w:t>
      </w:r>
    </w:p>
    <w:p w14:paraId="3A0F673C" w14:textId="77777777" w:rsidR="00016983" w:rsidRDefault="00016983" w:rsidP="00846CDE">
      <w:pPr>
        <w:keepLines/>
        <w:contextualSpacing/>
        <w:jc w:val="both"/>
      </w:pPr>
    </w:p>
    <w:p w14:paraId="0BE34E8C" w14:textId="489BAD9D" w:rsidR="00647A5B" w:rsidRDefault="000147E7">
      <w:pPr>
        <w:keepLines/>
        <w:widowControl w:val="0"/>
        <w:tabs>
          <w:tab w:val="left" w:pos="720"/>
        </w:tabs>
        <w:jc w:val="both"/>
      </w:pPr>
      <w:r>
        <w:t xml:space="preserve">In amperometry, we stirred the solution </w:t>
      </w:r>
      <w:proofErr w:type="spellStart"/>
      <w:r>
        <w:t>vigours</w:t>
      </w:r>
      <w:proofErr w:type="spellEnd"/>
      <w:r>
        <w:t xml:space="preserve"> (1100 rpm) to mix blood samples into electrolytes quickly. At the applied potential of 300 mV vs SCE, the GDH-5E</w:t>
      </w:r>
      <w:r>
        <w:rPr>
          <w:vertAlign w:val="superscript"/>
        </w:rPr>
        <w:t>+</w:t>
      </w:r>
      <w:r>
        <w:t xml:space="preserve"> showed a stepwise current increase after each spiking of blood (Fig. S16c), while that BSA electrode had no response to the blood (Fig. S16d). These controls claimed that although whole human blood contains complex species, our electrochemical system is specific to glucose.</w:t>
      </w:r>
    </w:p>
    <w:p w14:paraId="17603575" w14:textId="77777777" w:rsidR="00016983" w:rsidRDefault="00016983">
      <w:pPr>
        <w:keepLines/>
        <w:widowControl w:val="0"/>
        <w:tabs>
          <w:tab w:val="left" w:pos="720"/>
        </w:tabs>
        <w:jc w:val="both"/>
      </w:pPr>
    </w:p>
    <w:p w14:paraId="2A4918CB" w14:textId="1503DD91" w:rsidR="00647A5B" w:rsidRDefault="000147E7">
      <w:pPr>
        <w:keepLines/>
        <w:widowControl w:val="0"/>
        <w:tabs>
          <w:tab w:val="left" w:pos="720"/>
        </w:tabs>
        <w:jc w:val="center"/>
      </w:pPr>
      <w:r>
        <w:rPr>
          <w:noProof/>
        </w:rPr>
        <w:drawing>
          <wp:inline distT="0" distB="0" distL="0" distR="0" wp14:anchorId="6AA58CA9" wp14:editId="4D9872C8">
            <wp:extent cx="3643746" cy="4724400"/>
            <wp:effectExtent l="0" t="0" r="1270" b="0"/>
            <wp:docPr id="18499" name="image25.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5.png" descr="Chart&#10;&#10;Description automatically generated"/>
                    <pic:cNvPicPr preferRelativeResize="0"/>
                  </pic:nvPicPr>
                  <pic:blipFill>
                    <a:blip r:embed="rId28"/>
                    <a:srcRect/>
                    <a:stretch>
                      <a:fillRect/>
                    </a:stretch>
                  </pic:blipFill>
                  <pic:spPr>
                    <a:xfrm>
                      <a:off x="0" y="0"/>
                      <a:ext cx="3690482" cy="4784997"/>
                    </a:xfrm>
                    <a:prstGeom prst="rect">
                      <a:avLst/>
                    </a:prstGeom>
                    <a:ln/>
                  </pic:spPr>
                </pic:pic>
              </a:graphicData>
            </a:graphic>
          </wp:inline>
        </w:drawing>
      </w:r>
    </w:p>
    <w:p w14:paraId="5148E59B" w14:textId="77777777" w:rsidR="00647A5B" w:rsidRDefault="000147E7">
      <w:pPr>
        <w:keepLines/>
        <w:widowControl w:val="0"/>
        <w:jc w:val="both"/>
      </w:pPr>
      <w:r>
        <w:rPr>
          <w:b/>
        </w:rPr>
        <w:t>Figure S16. Electrochemistry of GDH-5E</w:t>
      </w:r>
      <w:r>
        <w:rPr>
          <w:b/>
          <w:vertAlign w:val="superscript"/>
        </w:rPr>
        <w:t>+</w:t>
      </w:r>
      <w:r>
        <w:rPr>
          <w:b/>
        </w:rPr>
        <w:t xml:space="preserve"> with whole human blood. </w:t>
      </w:r>
      <w:r>
        <w:t>CV of GDH-5E</w:t>
      </w:r>
      <w:r>
        <w:rPr>
          <w:vertAlign w:val="superscript"/>
        </w:rPr>
        <w:t>+</w:t>
      </w:r>
      <w:r>
        <w:t xml:space="preserve"> (a) and BSA (b) with scan rate of 10 mV/s in a stationary solution.</w:t>
      </w:r>
      <w:r>
        <w:rPr>
          <w:b/>
        </w:rPr>
        <w:t xml:space="preserve"> </w:t>
      </w:r>
      <w:proofErr w:type="spellStart"/>
      <w:r>
        <w:t>Amperometric</w:t>
      </w:r>
      <w:proofErr w:type="spellEnd"/>
      <w:r>
        <w:t xml:space="preserve"> </w:t>
      </w:r>
      <w:proofErr w:type="spellStart"/>
      <w:r>
        <w:t>i</w:t>
      </w:r>
      <w:proofErr w:type="spellEnd"/>
      <w:r>
        <w:t>–t of GDH-5E</w:t>
      </w:r>
      <w:r>
        <w:rPr>
          <w:vertAlign w:val="superscript"/>
        </w:rPr>
        <w:t>+</w:t>
      </w:r>
      <w:r>
        <w:t xml:space="preserve"> (c) and BSA (d) with an applied potential of 544 mV vs. SHE with stirring. 100 mM MOPS buffer.</w:t>
      </w:r>
    </w:p>
    <w:p w14:paraId="544108A2" w14:textId="77777777" w:rsidR="00647A5B" w:rsidRDefault="000147E7">
      <w:pPr>
        <w:keepLines/>
        <w:widowControl w:val="0"/>
        <w:jc w:val="center"/>
        <w:rPr>
          <w:b/>
        </w:rPr>
      </w:pPr>
      <w:r>
        <w:rPr>
          <w:b/>
        </w:rPr>
        <w:t>5. Creating a self-powered sensor</w:t>
      </w:r>
    </w:p>
    <w:p w14:paraId="5DF51EB8" w14:textId="77777777" w:rsidR="00647A5B" w:rsidRDefault="00647A5B">
      <w:pPr>
        <w:keepLines/>
        <w:widowControl w:val="0"/>
        <w:jc w:val="center"/>
        <w:rPr>
          <w:b/>
        </w:rPr>
      </w:pPr>
    </w:p>
    <w:p w14:paraId="1FA859F4" w14:textId="77777777" w:rsidR="00647A5B" w:rsidRDefault="000147E7">
      <w:pPr>
        <w:keepLines/>
        <w:widowControl w:val="0"/>
        <w:rPr>
          <w:b/>
        </w:rPr>
      </w:pPr>
      <w:r>
        <w:rPr>
          <w:b/>
        </w:rPr>
        <w:t>5.1 Laccase cathode</w:t>
      </w:r>
    </w:p>
    <w:p w14:paraId="5A47CAAB" w14:textId="1509DFDF" w:rsidR="00647A5B" w:rsidRDefault="000147E7">
      <w:pPr>
        <w:keepLines/>
        <w:widowControl w:val="0"/>
        <w:jc w:val="both"/>
      </w:pPr>
      <w:r>
        <w:t>CVs of laccase biocathodes were performed in 200 mM citrate–phosphate buffer (pH 4.5) at 10 mV/s, showing in Fig. S17. These catalytic currents under O</w:t>
      </w:r>
      <w:r>
        <w:rPr>
          <w:vertAlign w:val="subscript"/>
        </w:rPr>
        <w:t>2</w:t>
      </w:r>
      <w:r>
        <w:t xml:space="preserve"> or air reflect the turnover of the copper centers in the laccase.</w:t>
      </w:r>
      <w:r w:rsidR="00846CDE">
        <w:fldChar w:fldCharType="begin"/>
      </w:r>
      <w:r w:rsidR="00846CDE">
        <w:instrText xml:space="preserve"> ADDIN EN.CITE &lt;EndNote&gt;&lt;Cite&gt;&lt;Author&gt;Hickey&lt;/Author&gt;&lt;Year&gt;2018&lt;/Year&gt;&lt;RecNum&gt;48&lt;/RecNum&gt;&lt;DisplayText&gt;&lt;style face="superscript"&gt;3&lt;/style&gt;&lt;/DisplayText&gt;&lt;record&gt;&lt;rec-number&gt;48&lt;/rec-number&gt;&lt;foreign-keys&gt;&lt;key app="EN" db-id="strzfzvvu5wdtueerv3xfxzww9efws2z0ptz" timestamp="1526744835" guid="e29f260b-7116-4801-80aa-955f01fa8460"&gt;48&lt;/key&gt;&lt;/foreign-keys&gt;&lt;ref-type name="Journal Article"&gt;17&lt;/ref-type&gt;&lt;contributors&gt;&lt;authors&gt;&lt;author&gt;Hickey, David P&lt;/author&gt;&lt;author&gt;Lim, Koun&lt;/author&gt;&lt;author&gt;Cai, Rong&lt;/author&gt;&lt;author&gt;Patterson, Ashlea&lt;/author&gt;&lt;author&gt;Yuan, Mengwei&lt;/author&gt;&lt;author&gt;Sahin, Selmihan&lt;/author&gt;&lt;author&gt;Abdellaoui, Sofiene&lt;/author&gt;&lt;author&gt;Minteer, Shelley&lt;/author&gt;&lt;/authors&gt;&lt;/contributors&gt;&lt;titles&gt;&lt;title&gt;Pyrene Hydrogel for Promoting Direct Bioelectrochemistry: ATP-Independent Electroenzymatic Reduction of N2&lt;/title&gt;&lt;secondary-title&gt;Chemical Science&lt;/secondary-title&gt;&lt;/titles&gt;&lt;periodical&gt;&lt;full-title&gt;Chemical Science&lt;/full-title&gt;&lt;/periodical&gt;&lt;dates&gt;&lt;year&gt;2018&lt;/year&gt;&lt;/dates&gt;&lt;urls&gt;&lt;/urls&gt;&lt;/record&gt;&lt;/Cite&gt;&lt;/EndNote&gt;</w:instrText>
      </w:r>
      <w:r w:rsidR="00846CDE">
        <w:fldChar w:fldCharType="separate"/>
      </w:r>
      <w:r w:rsidR="00846CDE" w:rsidRPr="00846CDE">
        <w:rPr>
          <w:noProof/>
          <w:vertAlign w:val="superscript"/>
        </w:rPr>
        <w:t>3</w:t>
      </w:r>
      <w:r w:rsidR="00846CDE">
        <w:fldChar w:fldCharType="end"/>
      </w:r>
      <w:r>
        <w:t xml:space="preserve"> During O</w:t>
      </w:r>
      <w:r>
        <w:rPr>
          <w:vertAlign w:val="subscript"/>
        </w:rPr>
        <w:t>2</w:t>
      </w:r>
      <w:r>
        <w:t xml:space="preserve"> reduction, the electrode supplies electrons to cycle the copper redox states in the laccase. Anthracene served as a docking site for the copper redox center, enabling electrons to directly transfer between the electrode and the laccase.</w:t>
      </w:r>
      <w:r w:rsidR="00265493">
        <w:fldChar w:fldCharType="begin"/>
      </w:r>
      <w:r w:rsidR="00265493">
        <w:instrText xml:space="preserve"> ADDIN EN.CITE &lt;EndNote&gt;&lt;Cite&gt;&lt;Author&gt;Meredith&lt;/Author&gt;&lt;Year&gt;2011&lt;/Year&gt;&lt;RecNum&gt;463&lt;/RecNum&gt;&lt;DisplayText&gt;&lt;style face="superscript"&gt;4&lt;/style&gt;&lt;/DisplayText&gt;&lt;record&gt;&lt;rec-number&gt;463&lt;/rec-number&gt;&lt;foreign-keys&gt;&lt;key app="EN" db-id="strzfzvvu5wdtueerv3xfxzww9efws2z0ptz" timestamp="1679347583"&gt;463&lt;/key&gt;&lt;/foreign-keys&gt;&lt;ref-type name="Journal Article"&gt;17&lt;/ref-type&gt;&lt;contributors&gt;&lt;authors&gt;&lt;author&gt;Meredith, Matthew T&lt;/author&gt;&lt;author&gt;Minson, Michael&lt;/author&gt;&lt;author&gt;Hickey, David&lt;/author&gt;&lt;author&gt;Artyushkova, Kateryna&lt;/author&gt;&lt;author&gt;Glatzhofer, Daniel T&lt;/author&gt;&lt;author&gt;Minteer, Shelley D&lt;/author&gt;&lt;/authors&gt;&lt;/contributors&gt;&lt;titles&gt;&lt;title&gt;Anthracene-modified multi-walled carbon nanotubes as direct electron transfer scaffolds for enzymatic oxygen reduction&lt;/title&gt;&lt;secondary-title&gt;Acs Catalysis&lt;/secondary-title&gt;&lt;/titles&gt;&lt;periodical&gt;&lt;full-title&gt;ACS Catalysis&lt;/full-title&gt;&lt;/periodical&gt;&lt;pages&gt;1683-1690&lt;/pages&gt;&lt;volume&gt;1&lt;/volume&gt;&lt;number&gt;12&lt;/number&gt;&lt;dates&gt;&lt;year&gt;2011&lt;/year&gt;&lt;/dates&gt;&lt;isbn&gt;2155-5435&lt;/isbn&gt;&lt;urls&gt;&lt;/urls&gt;&lt;/record&gt;&lt;/Cite&gt;&lt;/EndNote&gt;</w:instrText>
      </w:r>
      <w:r w:rsidR="00265493">
        <w:fldChar w:fldCharType="separate"/>
      </w:r>
      <w:r w:rsidR="00265493" w:rsidRPr="00265493">
        <w:rPr>
          <w:noProof/>
          <w:vertAlign w:val="superscript"/>
        </w:rPr>
        <w:t>4</w:t>
      </w:r>
      <w:r w:rsidR="00265493">
        <w:fldChar w:fldCharType="end"/>
      </w:r>
      <w:r>
        <w:t xml:space="preserve"> The responses under N</w:t>
      </w:r>
      <w:r>
        <w:rPr>
          <w:vertAlign w:val="subscript"/>
        </w:rPr>
        <w:t>2</w:t>
      </w:r>
      <w:r>
        <w:t xml:space="preserve"> lack catalytic signals for O</w:t>
      </w:r>
      <w:r>
        <w:rPr>
          <w:vertAlign w:val="subscript"/>
        </w:rPr>
        <w:t>2</w:t>
      </w:r>
      <w:r>
        <w:t xml:space="preserve"> reduction, showing only the background capacitive charging current with laccase redox center ~725 mV vs SHE.</w:t>
      </w:r>
    </w:p>
    <w:p w14:paraId="0F36F4B1" w14:textId="77777777" w:rsidR="00647A5B" w:rsidRDefault="00647A5B">
      <w:pPr>
        <w:keepLines/>
        <w:widowControl w:val="0"/>
      </w:pPr>
    </w:p>
    <w:p w14:paraId="4A55D35C" w14:textId="77777777" w:rsidR="00647A5B" w:rsidRDefault="000147E7">
      <w:pPr>
        <w:keepLines/>
        <w:widowControl w:val="0"/>
        <w:jc w:val="center"/>
      </w:pPr>
      <w:r>
        <w:rPr>
          <w:noProof/>
        </w:rPr>
        <w:drawing>
          <wp:inline distT="0" distB="0" distL="0" distR="0" wp14:anchorId="0B778EC8" wp14:editId="3C72D20D">
            <wp:extent cx="2356770" cy="1788795"/>
            <wp:effectExtent l="0" t="0" r="5715" b="1905"/>
            <wp:docPr id="18500" name="image19.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9.png" descr="Chart, line chart&#10;&#10;Description automatically generated"/>
                    <pic:cNvPicPr preferRelativeResize="0"/>
                  </pic:nvPicPr>
                  <pic:blipFill>
                    <a:blip r:embed="rId29"/>
                    <a:srcRect/>
                    <a:stretch>
                      <a:fillRect/>
                    </a:stretch>
                  </pic:blipFill>
                  <pic:spPr>
                    <a:xfrm>
                      <a:off x="0" y="0"/>
                      <a:ext cx="2380222" cy="1806595"/>
                    </a:xfrm>
                    <a:prstGeom prst="rect">
                      <a:avLst/>
                    </a:prstGeom>
                    <a:ln/>
                  </pic:spPr>
                </pic:pic>
              </a:graphicData>
            </a:graphic>
          </wp:inline>
        </w:drawing>
      </w:r>
    </w:p>
    <w:p w14:paraId="12391A52" w14:textId="77777777" w:rsidR="00647A5B" w:rsidRDefault="000147E7">
      <w:pPr>
        <w:keepLines/>
        <w:widowControl w:val="0"/>
        <w:pBdr>
          <w:top w:val="nil"/>
          <w:left w:val="nil"/>
          <w:bottom w:val="nil"/>
          <w:right w:val="nil"/>
          <w:between w:val="nil"/>
        </w:pBdr>
        <w:jc w:val="both"/>
        <w:rPr>
          <w:color w:val="000000"/>
        </w:rPr>
      </w:pPr>
      <w:r>
        <w:rPr>
          <w:b/>
          <w:color w:val="000000"/>
        </w:rPr>
        <w:t>Figure S17</w:t>
      </w:r>
      <w:r>
        <w:rPr>
          <w:color w:val="000000"/>
        </w:rPr>
        <w:t xml:space="preserve">. </w:t>
      </w:r>
      <w:r>
        <w:rPr>
          <w:b/>
          <w:color w:val="000000"/>
        </w:rPr>
        <w:t>Representative CV of laccase biocathodes.</w:t>
      </w:r>
      <w:r>
        <w:rPr>
          <w:color w:val="000000"/>
        </w:rPr>
        <w:t xml:space="preserve"> Recorded in 200 mM citrate</w:t>
      </w:r>
      <w:r>
        <w:rPr>
          <w:rFonts w:ascii="Helvetica Neue" w:eastAsia="Helvetica Neue" w:hAnsi="Helvetica Neue" w:cs="Helvetica Neue"/>
          <w:color w:val="000000"/>
          <w:sz w:val="18"/>
          <w:szCs w:val="18"/>
        </w:rPr>
        <w:t>–</w:t>
      </w:r>
      <w:r>
        <w:rPr>
          <w:color w:val="000000"/>
        </w:rPr>
        <w:t>phosphate buffer (pH 4.5) with 10 mV/s scan rate. Blank were performed under N</w:t>
      </w:r>
      <w:r>
        <w:rPr>
          <w:color w:val="000000"/>
          <w:vertAlign w:val="subscript"/>
        </w:rPr>
        <w:t>2</w:t>
      </w:r>
      <w:r>
        <w:rPr>
          <w:color w:val="000000"/>
        </w:rPr>
        <w:t xml:space="preserve">. </w:t>
      </w:r>
    </w:p>
    <w:p w14:paraId="33B37C4E" w14:textId="77777777" w:rsidR="00647A5B" w:rsidRDefault="00647A5B">
      <w:pPr>
        <w:keepLines/>
        <w:widowControl w:val="0"/>
        <w:pBdr>
          <w:top w:val="nil"/>
          <w:left w:val="nil"/>
          <w:bottom w:val="nil"/>
          <w:right w:val="nil"/>
          <w:between w:val="nil"/>
        </w:pBdr>
        <w:jc w:val="both"/>
        <w:rPr>
          <w:color w:val="000000"/>
        </w:rPr>
      </w:pPr>
    </w:p>
    <w:p w14:paraId="07B47EE0" w14:textId="77777777" w:rsidR="00647A5B" w:rsidRDefault="000147E7">
      <w:pPr>
        <w:keepLines/>
        <w:widowControl w:val="0"/>
        <w:jc w:val="both"/>
        <w:rPr>
          <w:b/>
        </w:rPr>
      </w:pPr>
      <w:r>
        <w:rPr>
          <w:b/>
        </w:rPr>
        <w:t>5.2 Glucose/O</w:t>
      </w:r>
      <w:r>
        <w:rPr>
          <w:b/>
          <w:vertAlign w:val="subscript"/>
        </w:rPr>
        <w:t>2</w:t>
      </w:r>
      <w:r>
        <w:rPr>
          <w:b/>
        </w:rPr>
        <w:t xml:space="preserve"> enzymatic fuel cell (EFC)</w:t>
      </w:r>
    </w:p>
    <w:p w14:paraId="7368E36A" w14:textId="77777777" w:rsidR="00647A5B" w:rsidRDefault="000147E7">
      <w:pPr>
        <w:keepLines/>
        <w:widowControl w:val="0"/>
        <w:jc w:val="center"/>
      </w:pPr>
      <w:r>
        <w:rPr>
          <w:noProof/>
        </w:rPr>
        <w:drawing>
          <wp:inline distT="0" distB="0" distL="0" distR="0" wp14:anchorId="0755D270" wp14:editId="54A8AF9B">
            <wp:extent cx="2783783" cy="2175238"/>
            <wp:effectExtent l="0" t="0" r="0" b="0"/>
            <wp:docPr id="18501" name="image31.png" descr="A close-up of a toy&#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31.png" descr="A close-up of a toy&#10;&#10;Description automatically generated with low confidence"/>
                    <pic:cNvPicPr preferRelativeResize="0"/>
                  </pic:nvPicPr>
                  <pic:blipFill>
                    <a:blip r:embed="rId30"/>
                    <a:srcRect/>
                    <a:stretch>
                      <a:fillRect/>
                    </a:stretch>
                  </pic:blipFill>
                  <pic:spPr>
                    <a:xfrm>
                      <a:off x="0" y="0"/>
                      <a:ext cx="2810852" cy="2196389"/>
                    </a:xfrm>
                    <a:prstGeom prst="rect">
                      <a:avLst/>
                    </a:prstGeom>
                    <a:ln/>
                  </pic:spPr>
                </pic:pic>
              </a:graphicData>
            </a:graphic>
          </wp:inline>
        </w:drawing>
      </w:r>
    </w:p>
    <w:p w14:paraId="19E960AE" w14:textId="77777777" w:rsidR="00647A5B" w:rsidRDefault="000147E7" w:rsidP="00763475">
      <w:pPr>
        <w:keepLines/>
        <w:widowControl w:val="0"/>
        <w:jc w:val="center"/>
        <w:rPr>
          <w:b/>
        </w:rPr>
      </w:pPr>
      <w:r>
        <w:rPr>
          <w:b/>
        </w:rPr>
        <w:t>Figure S18. A photo of the glucose/O</w:t>
      </w:r>
      <w:r>
        <w:rPr>
          <w:b/>
          <w:vertAlign w:val="subscript"/>
        </w:rPr>
        <w:t>2</w:t>
      </w:r>
      <w:r>
        <w:rPr>
          <w:b/>
        </w:rPr>
        <w:t xml:space="preserve"> EFC with blood sample in the anodic chamber.</w:t>
      </w:r>
    </w:p>
    <w:p w14:paraId="01A5D29C" w14:textId="795E30D8" w:rsidR="00647A5B" w:rsidRDefault="000147E7" w:rsidP="00265493">
      <w:pPr>
        <w:keepLines/>
        <w:widowControl w:val="0"/>
        <w:jc w:val="both"/>
      </w:pPr>
      <w:r>
        <w:t>We first evaluated the fuel cells' open circuit potential (OCP). The initial OCP was 480 mV without either glucose or oxygen. Following flush O</w:t>
      </w:r>
      <w:r>
        <w:rPr>
          <w:vertAlign w:val="subscript"/>
        </w:rPr>
        <w:t>2</w:t>
      </w:r>
      <w:r>
        <w:t xml:space="preserve"> (1 atm) to the cathodic electrolytes, the OCP increased to 540 mV. The maximum OCP of 680 mV was obtained after adding 20 mM glucose to the anodic electrolytes (Fig. S19a). </w:t>
      </w:r>
      <w:r>
        <w:tab/>
      </w:r>
    </w:p>
    <w:p w14:paraId="518D4F03" w14:textId="1BF5AB49" w:rsidR="00647A5B" w:rsidRDefault="000147E7">
      <w:pPr>
        <w:keepLines/>
        <w:widowControl w:val="0"/>
        <w:tabs>
          <w:tab w:val="left" w:pos="720"/>
        </w:tabs>
        <w:jc w:val="both"/>
      </w:pPr>
      <w:r>
        <w:tab/>
        <w:t>EFCs were further evaluated by performing the linear sweep voltammetry (5 mV/s) from OPC until the short circuit, having O</w:t>
      </w:r>
      <w:r>
        <w:rPr>
          <w:vertAlign w:val="subscript"/>
        </w:rPr>
        <w:t>2</w:t>
      </w:r>
      <w:r>
        <w:t xml:space="preserve"> bubbled in the cathodic chamber. Representative polarization and power curves are shown in Fig. S19b. After fueling 20 mM glucose to the anodic chamber, the maximum current densities (</w:t>
      </w:r>
      <w:proofErr w:type="spellStart"/>
      <w:r>
        <w:t>J</w:t>
      </w:r>
      <w:r>
        <w:rPr>
          <w:vertAlign w:val="subscript"/>
        </w:rPr>
        <w:t>max</w:t>
      </w:r>
      <w:proofErr w:type="spellEnd"/>
      <w:r>
        <w:t xml:space="preserve">) of EFC reached ~ 217 </w:t>
      </w:r>
      <w:proofErr w:type="spellStart"/>
      <w:r>
        <w:t>μA</w:t>
      </w:r>
      <w:proofErr w:type="spellEnd"/>
      <w:r>
        <w:t xml:space="preserve"> /cm</w:t>
      </w:r>
      <w:r>
        <w:rPr>
          <w:vertAlign w:val="superscript"/>
        </w:rPr>
        <w:t>2</w:t>
      </w:r>
      <w:r>
        <w:t>, and the maximum power densities (P</w:t>
      </w:r>
      <w:r>
        <w:rPr>
          <w:vertAlign w:val="subscript"/>
        </w:rPr>
        <w:t>max</w:t>
      </w:r>
      <w:r>
        <w:t xml:space="preserve">) were calculated as 37 </w:t>
      </w:r>
      <w:proofErr w:type="spellStart"/>
      <w:r>
        <w:t>μW</w:t>
      </w:r>
      <w:proofErr w:type="spellEnd"/>
      <w:r>
        <w:t>/cm</w:t>
      </w:r>
      <w:r>
        <w:rPr>
          <w:vertAlign w:val="superscript"/>
        </w:rPr>
        <w:t>2</w:t>
      </w:r>
      <w:r>
        <w:t xml:space="preserve">. Additional control was performed without glucose. </w:t>
      </w:r>
    </w:p>
    <w:p w14:paraId="3AB8DFEB" w14:textId="77777777" w:rsidR="00E53A19" w:rsidRDefault="00E53A19">
      <w:pPr>
        <w:keepLines/>
        <w:widowControl w:val="0"/>
        <w:tabs>
          <w:tab w:val="left" w:pos="720"/>
        </w:tabs>
        <w:jc w:val="both"/>
      </w:pPr>
    </w:p>
    <w:p w14:paraId="351D039A" w14:textId="77777777" w:rsidR="00647A5B" w:rsidRDefault="000147E7">
      <w:pPr>
        <w:keepLines/>
        <w:widowControl w:val="0"/>
        <w:jc w:val="center"/>
      </w:pPr>
      <w:r>
        <w:rPr>
          <w:noProof/>
        </w:rPr>
        <w:drawing>
          <wp:inline distT="0" distB="0" distL="0" distR="0" wp14:anchorId="23CAB1D8" wp14:editId="1108DC3C">
            <wp:extent cx="5984754" cy="2009274"/>
            <wp:effectExtent l="0" t="0" r="0" b="0"/>
            <wp:docPr id="18470" name="image13.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Chart&#10;&#10;Description automatically generated"/>
                    <pic:cNvPicPr preferRelativeResize="0"/>
                  </pic:nvPicPr>
                  <pic:blipFill>
                    <a:blip r:embed="rId31"/>
                    <a:srcRect/>
                    <a:stretch>
                      <a:fillRect/>
                    </a:stretch>
                  </pic:blipFill>
                  <pic:spPr>
                    <a:xfrm>
                      <a:off x="0" y="0"/>
                      <a:ext cx="6011668" cy="2018310"/>
                    </a:xfrm>
                    <a:prstGeom prst="rect">
                      <a:avLst/>
                    </a:prstGeom>
                    <a:ln/>
                  </pic:spPr>
                </pic:pic>
              </a:graphicData>
            </a:graphic>
          </wp:inline>
        </w:drawing>
      </w:r>
    </w:p>
    <w:p w14:paraId="38AD8748" w14:textId="77777777" w:rsidR="00FA0ACF" w:rsidRDefault="00FA0ACF">
      <w:pPr>
        <w:keepLines/>
        <w:widowControl w:val="0"/>
        <w:pBdr>
          <w:top w:val="nil"/>
          <w:left w:val="nil"/>
          <w:bottom w:val="nil"/>
          <w:right w:val="nil"/>
          <w:between w:val="nil"/>
        </w:pBdr>
        <w:jc w:val="both"/>
        <w:rPr>
          <w:b/>
          <w:color w:val="000000"/>
        </w:rPr>
      </w:pPr>
    </w:p>
    <w:p w14:paraId="35200443" w14:textId="7AC6D385" w:rsidR="00647A5B" w:rsidRDefault="000147E7">
      <w:pPr>
        <w:keepLines/>
        <w:widowControl w:val="0"/>
        <w:pBdr>
          <w:top w:val="nil"/>
          <w:left w:val="nil"/>
          <w:bottom w:val="nil"/>
          <w:right w:val="nil"/>
          <w:between w:val="nil"/>
        </w:pBdr>
        <w:jc w:val="both"/>
        <w:rPr>
          <w:color w:val="000000"/>
        </w:rPr>
      </w:pPr>
      <w:r>
        <w:rPr>
          <w:b/>
          <w:color w:val="000000"/>
        </w:rPr>
        <w:t>Figure S19. Evolution of the glucose/O</w:t>
      </w:r>
      <w:r>
        <w:rPr>
          <w:b/>
          <w:color w:val="000000"/>
          <w:vertAlign w:val="subscript"/>
        </w:rPr>
        <w:t>2</w:t>
      </w:r>
      <w:r>
        <w:rPr>
          <w:b/>
          <w:color w:val="000000"/>
        </w:rPr>
        <w:t xml:space="preserve"> EFC made with GDH-5E</w:t>
      </w:r>
      <w:r>
        <w:rPr>
          <w:b/>
          <w:color w:val="000000"/>
          <w:vertAlign w:val="superscript"/>
        </w:rPr>
        <w:t>+</w:t>
      </w:r>
      <w:r>
        <w:rPr>
          <w:b/>
          <w:color w:val="000000"/>
        </w:rPr>
        <w:t>.</w:t>
      </w:r>
      <w:r>
        <w:rPr>
          <w:color w:val="000000"/>
        </w:rPr>
        <w:t xml:space="preserve"> (a) OCP </w:t>
      </w:r>
      <w:proofErr w:type="spellStart"/>
      <w:r>
        <w:rPr>
          <w:color w:val="000000"/>
        </w:rPr>
        <w:t>evaultion</w:t>
      </w:r>
      <w:proofErr w:type="spellEnd"/>
      <w:r>
        <w:rPr>
          <w:color w:val="000000"/>
        </w:rPr>
        <w:t>. (b) Polarization and power curves of the glucose/O</w:t>
      </w:r>
      <w:r>
        <w:rPr>
          <w:color w:val="000000"/>
          <w:vertAlign w:val="subscript"/>
        </w:rPr>
        <w:t>2</w:t>
      </w:r>
      <w:r>
        <w:rPr>
          <w:color w:val="000000"/>
        </w:rPr>
        <w:t xml:space="preserve"> EFC, performed linear sweep voltammetry (5 mV/s) from OPC until short circuit. </w:t>
      </w:r>
    </w:p>
    <w:p w14:paraId="2FB9C1FD" w14:textId="77777777" w:rsidR="00763475" w:rsidRDefault="00763475">
      <w:pPr>
        <w:keepLines/>
        <w:widowControl w:val="0"/>
        <w:pBdr>
          <w:top w:val="nil"/>
          <w:left w:val="nil"/>
          <w:bottom w:val="nil"/>
          <w:right w:val="nil"/>
          <w:between w:val="nil"/>
        </w:pBdr>
        <w:jc w:val="both"/>
        <w:rPr>
          <w:color w:val="000000"/>
        </w:rPr>
      </w:pPr>
    </w:p>
    <w:p w14:paraId="28504599" w14:textId="77777777" w:rsidR="00647A5B" w:rsidRDefault="000147E7">
      <w:pPr>
        <w:keepLines/>
        <w:widowControl w:val="0"/>
        <w:rPr>
          <w:b/>
        </w:rPr>
      </w:pPr>
      <w:r>
        <w:rPr>
          <w:b/>
        </w:rPr>
        <w:t>5.3 A self-powered 4-HT sensor</w:t>
      </w:r>
    </w:p>
    <w:p w14:paraId="2A8ACE75" w14:textId="77777777" w:rsidR="00647A5B" w:rsidRDefault="000147E7">
      <w:pPr>
        <w:keepLines/>
        <w:widowControl w:val="0"/>
        <w:tabs>
          <w:tab w:val="left" w:pos="720"/>
        </w:tabs>
        <w:jc w:val="both"/>
        <w:rPr>
          <w:color w:val="000000"/>
        </w:rPr>
      </w:pPr>
      <w:r>
        <w:tab/>
        <w:t xml:space="preserve">The capacity of EFC to sense 4-HT was explored by comparing the fuel cell parameters with or without 4-HT addition. We performed the linear polarization with 40 </w:t>
      </w:r>
      <w:proofErr w:type="spellStart"/>
      <w:r>
        <w:t>μL</w:t>
      </w:r>
      <w:proofErr w:type="spellEnd"/>
      <w:r>
        <w:t xml:space="preserve"> of 10 mM glucose comprising 1 % (v/v) 4-HT (10 </w:t>
      </w:r>
      <w:proofErr w:type="spellStart"/>
      <w:r>
        <w:t>μM</w:t>
      </w:r>
      <w:proofErr w:type="spellEnd"/>
      <w:r>
        <w:t xml:space="preserve">, in DMSO). The resulting fuel cell showed </w:t>
      </w:r>
      <w:proofErr w:type="spellStart"/>
      <w:r>
        <w:t>J</w:t>
      </w:r>
      <w:r>
        <w:rPr>
          <w:vertAlign w:val="subscript"/>
        </w:rPr>
        <w:t>max</w:t>
      </w:r>
      <w:proofErr w:type="spellEnd"/>
      <w:r>
        <w:t xml:space="preserve"> of 45 ± 2 </w:t>
      </w:r>
      <w:proofErr w:type="spellStart"/>
      <w:r>
        <w:t>μA</w:t>
      </w:r>
      <w:proofErr w:type="spellEnd"/>
      <w:r>
        <w:t xml:space="preserve"> /cm</w:t>
      </w:r>
      <w:r>
        <w:rPr>
          <w:vertAlign w:val="superscript"/>
        </w:rPr>
        <w:t>2</w:t>
      </w:r>
      <w:r>
        <w:t xml:space="preserve"> and P</w:t>
      </w:r>
      <w:r>
        <w:rPr>
          <w:vertAlign w:val="subscript"/>
        </w:rPr>
        <w:t>max</w:t>
      </w:r>
      <w:r>
        <w:t xml:space="preserve"> of 9.5 ± 0.5 </w:t>
      </w:r>
      <w:proofErr w:type="spellStart"/>
      <w:r>
        <w:t>μW</w:t>
      </w:r>
      <w:proofErr w:type="spellEnd"/>
      <w:r>
        <w:t>/cm</w:t>
      </w:r>
      <w:r>
        <w:rPr>
          <w:vertAlign w:val="superscript"/>
        </w:rPr>
        <w:t>2</w:t>
      </w:r>
      <w:r>
        <w:t>, statistically lower than the EFC performing with ES (Fig. S20)</w:t>
      </w:r>
      <w:r>
        <w:rPr>
          <w:color w:val="000000"/>
        </w:rPr>
        <w:t xml:space="preserve"> </w:t>
      </w:r>
    </w:p>
    <w:p w14:paraId="2A1F2A1C" w14:textId="77777777" w:rsidR="00647A5B" w:rsidRDefault="00647A5B">
      <w:pPr>
        <w:keepLines/>
        <w:widowControl w:val="0"/>
        <w:tabs>
          <w:tab w:val="left" w:pos="720"/>
        </w:tabs>
      </w:pPr>
    </w:p>
    <w:p w14:paraId="089F3237" w14:textId="1E237A06" w:rsidR="00647A5B" w:rsidRDefault="00647A5B">
      <w:pPr>
        <w:keepLines/>
        <w:widowControl w:val="0"/>
        <w:jc w:val="center"/>
      </w:pPr>
    </w:p>
    <w:p w14:paraId="62D60F8B" w14:textId="520D043B" w:rsidR="00196431" w:rsidRDefault="00196431">
      <w:pPr>
        <w:keepLines/>
        <w:widowControl w:val="0"/>
        <w:jc w:val="both"/>
        <w:rPr>
          <w:b/>
        </w:rPr>
      </w:pPr>
    </w:p>
    <w:p w14:paraId="58683348" w14:textId="56C53BE2" w:rsidR="00196431" w:rsidRDefault="00196431">
      <w:pPr>
        <w:keepLines/>
        <w:widowControl w:val="0"/>
        <w:jc w:val="both"/>
        <w:rPr>
          <w:b/>
        </w:rPr>
      </w:pPr>
    </w:p>
    <w:p w14:paraId="679738D9" w14:textId="161C2237" w:rsidR="00196431" w:rsidRDefault="00196431">
      <w:pPr>
        <w:keepLines/>
        <w:widowControl w:val="0"/>
        <w:jc w:val="both"/>
        <w:rPr>
          <w:b/>
        </w:rPr>
      </w:pPr>
      <w:r>
        <w:rPr>
          <w:noProof/>
        </w:rPr>
        <w:drawing>
          <wp:inline distT="0" distB="0" distL="0" distR="0" wp14:anchorId="79CDE8F6" wp14:editId="55617040">
            <wp:extent cx="5943600" cy="2004499"/>
            <wp:effectExtent l="0" t="0" r="0" b="2540"/>
            <wp:docPr id="18471" name="image17.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png" descr="Chart, line chart&#10;&#10;Description automatically generated"/>
                    <pic:cNvPicPr preferRelativeResize="0"/>
                  </pic:nvPicPr>
                  <pic:blipFill rotWithShape="1">
                    <a:blip r:embed="rId32"/>
                    <a:srcRect l="-1" r="-2002"/>
                    <a:stretch/>
                  </pic:blipFill>
                  <pic:spPr bwMode="auto">
                    <a:xfrm>
                      <a:off x="0" y="0"/>
                      <a:ext cx="5943600" cy="2004499"/>
                    </a:xfrm>
                    <a:prstGeom prst="rect">
                      <a:avLst/>
                    </a:prstGeom>
                    <a:ln>
                      <a:noFill/>
                    </a:ln>
                    <a:extLst>
                      <a:ext uri="{53640926-AAD7-44D8-BBD7-CCE9431645EC}">
                        <a14:shadowObscured xmlns:a14="http://schemas.microsoft.com/office/drawing/2010/main"/>
                      </a:ext>
                    </a:extLst>
                  </pic:spPr>
                </pic:pic>
              </a:graphicData>
            </a:graphic>
          </wp:inline>
        </w:drawing>
      </w:r>
    </w:p>
    <w:p w14:paraId="50595F16" w14:textId="77777777" w:rsidR="00196431" w:rsidRDefault="00196431">
      <w:pPr>
        <w:keepLines/>
        <w:widowControl w:val="0"/>
        <w:jc w:val="both"/>
        <w:rPr>
          <w:b/>
        </w:rPr>
      </w:pPr>
    </w:p>
    <w:p w14:paraId="2AB28ECB" w14:textId="0612A233" w:rsidR="00647A5B" w:rsidRDefault="000147E7">
      <w:pPr>
        <w:keepLines/>
        <w:widowControl w:val="0"/>
        <w:jc w:val="both"/>
      </w:pPr>
      <w:r>
        <w:rPr>
          <w:b/>
        </w:rPr>
        <w:t>Figure S</w:t>
      </w:r>
      <w:r w:rsidR="00E53A19">
        <w:rPr>
          <w:b/>
        </w:rPr>
        <w:t>20</w:t>
      </w:r>
      <w:r>
        <w:rPr>
          <w:b/>
        </w:rPr>
        <w:t>.</w:t>
      </w:r>
      <w:r>
        <w:t xml:space="preserve"> </w:t>
      </w:r>
      <w:r>
        <w:rPr>
          <w:b/>
        </w:rPr>
        <w:t>Representative polarization and power curves of the glucose/O</w:t>
      </w:r>
      <w:r>
        <w:rPr>
          <w:b/>
          <w:vertAlign w:val="subscript"/>
        </w:rPr>
        <w:t>2</w:t>
      </w:r>
      <w:r>
        <w:rPr>
          <w:b/>
        </w:rPr>
        <w:t xml:space="preserve"> EFC with 0.1 mM glucose and 0.1 </w:t>
      </w:r>
      <w:proofErr w:type="spellStart"/>
      <w:r>
        <w:rPr>
          <w:b/>
        </w:rPr>
        <w:t>μM</w:t>
      </w:r>
      <w:proofErr w:type="spellEnd"/>
      <w:r>
        <w:rPr>
          <w:b/>
        </w:rPr>
        <w:t xml:space="preserve"> ligands.</w:t>
      </w:r>
      <w:r>
        <w:t xml:space="preserve"> Performed linear sweep voltammetry (5 mV/s) from OPC until short circuit. Data are collected from independent biological experiments (n = 3</w:t>
      </w:r>
      <w:proofErr w:type="gramStart"/>
      <w:r>
        <w:t>).*</w:t>
      </w:r>
      <w:proofErr w:type="gramEnd"/>
      <w:r>
        <w:t xml:space="preserve"> represents P &lt; 0.05, ** represents P &lt; 0.01, two-tailed t-test analysis.</w:t>
      </w:r>
    </w:p>
    <w:p w14:paraId="13E542DD" w14:textId="5D42E4EF" w:rsidR="00196431" w:rsidRDefault="00196431">
      <w:pPr>
        <w:keepLines/>
        <w:widowControl w:val="0"/>
        <w:jc w:val="both"/>
      </w:pPr>
    </w:p>
    <w:p w14:paraId="6A559E0E" w14:textId="719D7B3D" w:rsidR="00196431" w:rsidRDefault="00196431">
      <w:pPr>
        <w:keepLines/>
        <w:widowControl w:val="0"/>
        <w:jc w:val="both"/>
      </w:pPr>
    </w:p>
    <w:p w14:paraId="418DD28A" w14:textId="77777777" w:rsidR="00196431" w:rsidRDefault="00196431">
      <w:pPr>
        <w:keepLines/>
        <w:widowControl w:val="0"/>
        <w:jc w:val="both"/>
      </w:pPr>
    </w:p>
    <w:p w14:paraId="1F1CDE6F" w14:textId="77777777" w:rsidR="00647A5B" w:rsidRDefault="00647A5B">
      <w:pPr>
        <w:keepLines/>
        <w:widowControl w:val="0"/>
        <w:jc w:val="both"/>
      </w:pPr>
    </w:p>
    <w:p w14:paraId="318E1640" w14:textId="77777777" w:rsidR="00647A5B" w:rsidRDefault="000147E7">
      <w:pPr>
        <w:keepLines/>
        <w:widowControl w:val="0"/>
        <w:jc w:val="center"/>
      </w:pPr>
      <w:r>
        <w:rPr>
          <w:noProof/>
        </w:rPr>
        <w:drawing>
          <wp:inline distT="0" distB="0" distL="0" distR="0" wp14:anchorId="5553F22B" wp14:editId="107E4E90">
            <wp:extent cx="2618195" cy="2142160"/>
            <wp:effectExtent l="0" t="0" r="0" b="0"/>
            <wp:docPr id="184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3"/>
                    <a:srcRect/>
                    <a:stretch>
                      <a:fillRect/>
                    </a:stretch>
                  </pic:blipFill>
                  <pic:spPr>
                    <a:xfrm>
                      <a:off x="0" y="0"/>
                      <a:ext cx="2618195" cy="2142160"/>
                    </a:xfrm>
                    <a:prstGeom prst="rect">
                      <a:avLst/>
                    </a:prstGeom>
                    <a:ln/>
                  </pic:spPr>
                </pic:pic>
              </a:graphicData>
            </a:graphic>
          </wp:inline>
        </w:drawing>
      </w:r>
    </w:p>
    <w:p w14:paraId="32F86B7E" w14:textId="77777777" w:rsidR="00647A5B" w:rsidRDefault="000147E7">
      <w:pPr>
        <w:keepLines/>
        <w:widowControl w:val="0"/>
      </w:pPr>
      <w:r>
        <w:rPr>
          <w:b/>
        </w:rPr>
        <w:t>Figure S21.</w:t>
      </w:r>
      <w:r>
        <w:t xml:space="preserve"> </w:t>
      </w:r>
      <w:r>
        <w:rPr>
          <w:b/>
        </w:rPr>
        <w:t>OCP of glucose/O</w:t>
      </w:r>
      <w:r>
        <w:rPr>
          <w:b/>
          <w:vertAlign w:val="subscript"/>
        </w:rPr>
        <w:t>2</w:t>
      </w:r>
      <w:r>
        <w:rPr>
          <w:b/>
        </w:rPr>
        <w:t xml:space="preserve"> EFC fueled with 200 </w:t>
      </w:r>
      <w:proofErr w:type="spellStart"/>
      <w:r>
        <w:rPr>
          <w:b/>
        </w:rPr>
        <w:t>μLblood</w:t>
      </w:r>
      <w:proofErr w:type="spellEnd"/>
      <w:r>
        <w:rPr>
          <w:b/>
        </w:rPr>
        <w:t xml:space="preserve"> containing 100 </w:t>
      </w:r>
      <w:proofErr w:type="spellStart"/>
      <w:r>
        <w:rPr>
          <w:b/>
        </w:rPr>
        <w:t>μM</w:t>
      </w:r>
      <w:proofErr w:type="spellEnd"/>
      <w:r>
        <w:rPr>
          <w:b/>
        </w:rPr>
        <w:t xml:space="preserve"> ligands.</w:t>
      </w:r>
      <w:r>
        <w:t xml:space="preserve"> Values are shown in mean ± </w:t>
      </w:r>
      <w:proofErr w:type="spellStart"/>
      <w:r>
        <w:t>sd</w:t>
      </w:r>
      <w:proofErr w:type="spellEnd"/>
      <w:r>
        <w:t xml:space="preserve">; two-tailed t-test (n =3). </w:t>
      </w:r>
    </w:p>
    <w:p w14:paraId="62CD5853" w14:textId="77777777" w:rsidR="00FA0ACF" w:rsidRDefault="00FA0ACF" w:rsidP="00FA0ACF">
      <w:pPr>
        <w:keepLines/>
        <w:widowControl w:val="0"/>
        <w:jc w:val="center"/>
        <w:rPr>
          <w:b/>
        </w:rPr>
      </w:pPr>
    </w:p>
    <w:p w14:paraId="5C1EA10A" w14:textId="7D7E87E0" w:rsidR="00E53A19" w:rsidRDefault="00E53A19" w:rsidP="00FA0ACF">
      <w:pPr>
        <w:keepLines/>
        <w:widowControl w:val="0"/>
        <w:jc w:val="center"/>
        <w:rPr>
          <w:b/>
        </w:rPr>
      </w:pPr>
    </w:p>
    <w:p w14:paraId="7A2F8EF0" w14:textId="77777777" w:rsidR="005607DE" w:rsidRDefault="005607DE" w:rsidP="00FA0ACF">
      <w:pPr>
        <w:keepLines/>
        <w:widowControl w:val="0"/>
        <w:jc w:val="center"/>
        <w:rPr>
          <w:b/>
        </w:rPr>
      </w:pPr>
    </w:p>
    <w:p w14:paraId="6AA83C7E" w14:textId="45A312A8" w:rsidR="00FA0ACF" w:rsidRDefault="000147E7" w:rsidP="00FA0ACF">
      <w:pPr>
        <w:keepLines/>
        <w:widowControl w:val="0"/>
        <w:jc w:val="center"/>
        <w:rPr>
          <w:b/>
        </w:rPr>
      </w:pPr>
      <w:r>
        <w:rPr>
          <w:b/>
        </w:rPr>
        <w:t>6. Coupling EFCs with OECT</w:t>
      </w:r>
    </w:p>
    <w:p w14:paraId="18D81554" w14:textId="77777777" w:rsidR="00FA0ACF" w:rsidRDefault="00FA0ACF" w:rsidP="00FA0ACF">
      <w:pPr>
        <w:keepLines/>
        <w:widowControl w:val="0"/>
        <w:jc w:val="center"/>
        <w:rPr>
          <w:b/>
        </w:rPr>
      </w:pPr>
    </w:p>
    <w:p w14:paraId="5A84BE84" w14:textId="3266C1DF" w:rsidR="00647A5B" w:rsidRDefault="000147E7" w:rsidP="00FA0ACF">
      <w:pPr>
        <w:keepLines/>
        <w:widowControl w:val="0"/>
        <w:jc w:val="both"/>
      </w:pPr>
      <w:r>
        <w:rPr>
          <w:b/>
        </w:rPr>
        <w:t>6.1 Transfer characteristic of OECT</w:t>
      </w:r>
      <w:r>
        <w:t>. The OECT devices, under the common-source configuration, were tested using custom-made MATLAB software, which controls the source measure unites (SMU, Keithley 2612). Output and transfer curves of the devices were recorded before connecting the OECT to the EFC. Transfer characteristics (Fig. S22) of the OECT were measured in PBS electrolyte until three subsequent transfer curve sweeps had less than 1 % deviation compared to the preceding transfer curve. Upon reaching stable operation, the gate electrode was connected to the cathode of EFC.</w:t>
      </w:r>
    </w:p>
    <w:p w14:paraId="2B2853B1" w14:textId="77777777" w:rsidR="00820E22" w:rsidRPr="00FA0ACF" w:rsidRDefault="00820E22" w:rsidP="00FA0ACF">
      <w:pPr>
        <w:keepLines/>
        <w:widowControl w:val="0"/>
        <w:jc w:val="both"/>
        <w:rPr>
          <w:b/>
        </w:rPr>
      </w:pPr>
    </w:p>
    <w:p w14:paraId="23A43A53" w14:textId="105366E6" w:rsidR="00647A5B" w:rsidRDefault="000147E7">
      <w:pPr>
        <w:keepLines/>
        <w:widowControl w:val="0"/>
        <w:jc w:val="center"/>
      </w:pPr>
      <w:r>
        <w:rPr>
          <w:noProof/>
        </w:rPr>
        <w:drawing>
          <wp:inline distT="0" distB="0" distL="0" distR="0" wp14:anchorId="5898B637" wp14:editId="0046ACFB">
            <wp:extent cx="3563254" cy="2362200"/>
            <wp:effectExtent l="0" t="0" r="5715" b="0"/>
            <wp:docPr id="18473" name="image4.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Chart, line chart&#10;&#10;Description automatically generated"/>
                    <pic:cNvPicPr preferRelativeResize="0"/>
                  </pic:nvPicPr>
                  <pic:blipFill>
                    <a:blip r:embed="rId34"/>
                    <a:srcRect/>
                    <a:stretch>
                      <a:fillRect/>
                    </a:stretch>
                  </pic:blipFill>
                  <pic:spPr>
                    <a:xfrm>
                      <a:off x="0" y="0"/>
                      <a:ext cx="3628393" cy="2405383"/>
                    </a:xfrm>
                    <a:prstGeom prst="rect">
                      <a:avLst/>
                    </a:prstGeom>
                    <a:ln/>
                  </pic:spPr>
                </pic:pic>
              </a:graphicData>
            </a:graphic>
          </wp:inline>
        </w:drawing>
      </w:r>
    </w:p>
    <w:p w14:paraId="6A9F35CE" w14:textId="77777777" w:rsidR="00196431" w:rsidRDefault="00196431">
      <w:pPr>
        <w:keepLines/>
        <w:widowControl w:val="0"/>
        <w:jc w:val="center"/>
      </w:pPr>
    </w:p>
    <w:p w14:paraId="6E5E4057" w14:textId="00C33EC3" w:rsidR="00647A5B" w:rsidRDefault="000147E7" w:rsidP="007933FE">
      <w:pPr>
        <w:pBdr>
          <w:top w:val="nil"/>
          <w:left w:val="nil"/>
          <w:bottom w:val="nil"/>
          <w:right w:val="nil"/>
          <w:between w:val="nil"/>
        </w:pBdr>
        <w:jc w:val="both"/>
        <w:rPr>
          <w:color w:val="000000"/>
        </w:rPr>
      </w:pPr>
      <w:r>
        <w:rPr>
          <w:b/>
          <w:color w:val="000000"/>
        </w:rPr>
        <w:t xml:space="preserve">Figure S22. Transfer characteristic of OECT. </w:t>
      </w:r>
      <w:r>
        <w:rPr>
          <w:color w:val="000000"/>
        </w:rPr>
        <w:t>Transfer curve (black) measured by setting source-drain voltage of -600 mV while sweeping gate voltage from -600 mV to 600 mV. Transconductance (Gm) was obtained by taking derivative of the transfer curve.</w:t>
      </w:r>
    </w:p>
    <w:p w14:paraId="5D4B6D25" w14:textId="77777777" w:rsidR="00763475" w:rsidRDefault="00763475">
      <w:pPr>
        <w:pBdr>
          <w:top w:val="nil"/>
          <w:left w:val="nil"/>
          <w:bottom w:val="nil"/>
          <w:right w:val="nil"/>
          <w:between w:val="nil"/>
        </w:pBdr>
        <w:rPr>
          <w:color w:val="000000"/>
        </w:rPr>
      </w:pPr>
    </w:p>
    <w:p w14:paraId="2EC6193E" w14:textId="15B8E222" w:rsidR="00763475" w:rsidRDefault="00763475" w:rsidP="00763475">
      <w:pPr>
        <w:keepLines/>
        <w:widowControl w:val="0"/>
        <w:jc w:val="both"/>
      </w:pPr>
      <w:r>
        <w:rPr>
          <w:b/>
        </w:rPr>
        <w:t>6.2. OECT coupling with the self-powered sensor.</w:t>
      </w:r>
      <w:r>
        <w:t xml:space="preserve"> We connected source measure meter (SMU) to power the source-drain channel as shown in Figure S23. The OECT was held at a constant </w:t>
      </w:r>
      <w:proofErr w:type="spellStart"/>
      <w:r>
        <w:t>V</w:t>
      </w:r>
      <w:r>
        <w:rPr>
          <w:vertAlign w:val="subscript"/>
        </w:rPr>
        <w:t>sd</w:t>
      </w:r>
      <w:proofErr w:type="spellEnd"/>
      <w:r>
        <w:t xml:space="preserve"> of – 600 mV while monitoring the </w:t>
      </w:r>
      <w:proofErr w:type="spellStart"/>
      <w:r>
        <w:t>I</w:t>
      </w:r>
      <w:r>
        <w:rPr>
          <w:vertAlign w:val="subscript"/>
        </w:rPr>
        <w:t>sd</w:t>
      </w:r>
      <w:proofErr w:type="spellEnd"/>
      <w:r>
        <w:t xml:space="preserve">. We let the current stabilize for 50 seconds before connecting the cathode to the gate of OECT. After </w:t>
      </w:r>
      <w:proofErr w:type="spellStart"/>
      <w:r>
        <w:t>I</w:t>
      </w:r>
      <w:r>
        <w:rPr>
          <w:vertAlign w:val="subscript"/>
        </w:rPr>
        <w:t>sd</w:t>
      </w:r>
      <w:proofErr w:type="spellEnd"/>
      <w:r>
        <w:t xml:space="preserve"> reached a steady state, 40 </w:t>
      </w:r>
      <w:proofErr w:type="spellStart"/>
      <w:r>
        <w:t>μL</w:t>
      </w:r>
      <w:proofErr w:type="spellEnd"/>
      <w:r>
        <w:t xml:space="preserve"> of 2 M glucose comprising 1 % (v/v) 4-HT (10 </w:t>
      </w:r>
      <w:proofErr w:type="spellStart"/>
      <w:r>
        <w:t>μM</w:t>
      </w:r>
      <w:proofErr w:type="spellEnd"/>
      <w:r>
        <w:t xml:space="preserve">, in DMSO) was added to the anodic chamber. The current was constantly monitored, allowing sufficient time to stable before disconnecting from EFC. Meanwhile, EFC’s OCP change was also recorded by a potentiostat (Fig. S24). </w:t>
      </w:r>
    </w:p>
    <w:p w14:paraId="4733F18A" w14:textId="77777777" w:rsidR="00763475" w:rsidRDefault="00763475">
      <w:pPr>
        <w:pBdr>
          <w:top w:val="nil"/>
          <w:left w:val="nil"/>
          <w:bottom w:val="nil"/>
          <w:right w:val="nil"/>
          <w:between w:val="nil"/>
        </w:pBdr>
        <w:rPr>
          <w:color w:val="000000"/>
        </w:rPr>
      </w:pPr>
    </w:p>
    <w:p w14:paraId="619095CB" w14:textId="77777777" w:rsidR="00647A5B" w:rsidRDefault="000147E7">
      <w:pPr>
        <w:keepLines/>
        <w:widowControl w:val="0"/>
        <w:jc w:val="center"/>
      </w:pPr>
      <w:r>
        <w:rPr>
          <w:noProof/>
        </w:rPr>
        <w:drawing>
          <wp:inline distT="0" distB="0" distL="0" distR="0" wp14:anchorId="2B876AD5" wp14:editId="67829276">
            <wp:extent cx="5524071" cy="4260501"/>
            <wp:effectExtent l="0" t="0" r="635" b="0"/>
            <wp:docPr id="18474" name="image27.png" descr="A picture containing text, indoor, office,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7.png" descr="A picture containing text, indoor, office, computer&#10;&#10;Description automatically generated"/>
                    <pic:cNvPicPr preferRelativeResize="0"/>
                  </pic:nvPicPr>
                  <pic:blipFill>
                    <a:blip r:embed="rId35"/>
                    <a:srcRect/>
                    <a:stretch>
                      <a:fillRect/>
                    </a:stretch>
                  </pic:blipFill>
                  <pic:spPr>
                    <a:xfrm>
                      <a:off x="0" y="0"/>
                      <a:ext cx="5552213" cy="4282205"/>
                    </a:xfrm>
                    <a:prstGeom prst="rect">
                      <a:avLst/>
                    </a:prstGeom>
                    <a:ln/>
                  </pic:spPr>
                </pic:pic>
              </a:graphicData>
            </a:graphic>
          </wp:inline>
        </w:drawing>
      </w:r>
    </w:p>
    <w:p w14:paraId="02CF86E2" w14:textId="03D2D792" w:rsidR="00647A5B" w:rsidRDefault="000147E7">
      <w:pPr>
        <w:keepLines/>
        <w:widowControl w:val="0"/>
        <w:jc w:val="center"/>
        <w:rPr>
          <w:b/>
        </w:rPr>
      </w:pPr>
      <w:r>
        <w:rPr>
          <w:b/>
        </w:rPr>
        <w:t>Figure S23. A photo of the OECT coupling with EFC through the gate.</w:t>
      </w:r>
    </w:p>
    <w:p w14:paraId="4AA49C7C" w14:textId="3D0F11F5" w:rsidR="00763475" w:rsidRDefault="00763475">
      <w:pPr>
        <w:keepLines/>
        <w:widowControl w:val="0"/>
        <w:jc w:val="center"/>
        <w:rPr>
          <w:b/>
        </w:rPr>
      </w:pPr>
    </w:p>
    <w:p w14:paraId="14C6538A" w14:textId="77777777" w:rsidR="00763475" w:rsidRDefault="00763475">
      <w:pPr>
        <w:keepLines/>
        <w:widowControl w:val="0"/>
        <w:jc w:val="center"/>
        <w:rPr>
          <w:b/>
        </w:rPr>
      </w:pPr>
    </w:p>
    <w:p w14:paraId="6E76426C" w14:textId="1A0555AA" w:rsidR="00647A5B" w:rsidRDefault="000147E7">
      <w:pPr>
        <w:keepLines/>
        <w:widowControl w:val="0"/>
        <w:jc w:val="center"/>
      </w:pPr>
      <w:r>
        <w:rPr>
          <w:noProof/>
        </w:rPr>
        <w:drawing>
          <wp:inline distT="0" distB="0" distL="0" distR="0" wp14:anchorId="5B7E88C6" wp14:editId="14CB2179">
            <wp:extent cx="5738793" cy="2275368"/>
            <wp:effectExtent l="0" t="0" r="1905" b="0"/>
            <wp:docPr id="18475" name="image6.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Chart, histogram&#10;&#10;Description automatically generated"/>
                    <pic:cNvPicPr preferRelativeResize="0"/>
                  </pic:nvPicPr>
                  <pic:blipFill>
                    <a:blip r:embed="rId36"/>
                    <a:srcRect/>
                    <a:stretch>
                      <a:fillRect/>
                    </a:stretch>
                  </pic:blipFill>
                  <pic:spPr>
                    <a:xfrm>
                      <a:off x="0" y="0"/>
                      <a:ext cx="5757128" cy="2282638"/>
                    </a:xfrm>
                    <a:prstGeom prst="rect">
                      <a:avLst/>
                    </a:prstGeom>
                    <a:ln/>
                  </pic:spPr>
                </pic:pic>
              </a:graphicData>
            </a:graphic>
          </wp:inline>
        </w:drawing>
      </w:r>
    </w:p>
    <w:p w14:paraId="59B4260F" w14:textId="77777777" w:rsidR="00ED40FB" w:rsidRDefault="00ED40FB">
      <w:pPr>
        <w:keepLines/>
        <w:widowControl w:val="0"/>
        <w:jc w:val="center"/>
      </w:pPr>
    </w:p>
    <w:p w14:paraId="49DF1D86" w14:textId="28140D7A" w:rsidR="00647A5B" w:rsidRDefault="000147E7">
      <w:pPr>
        <w:keepLines/>
        <w:widowControl w:val="0"/>
        <w:jc w:val="both"/>
      </w:pPr>
      <w:r>
        <w:rPr>
          <w:b/>
        </w:rPr>
        <w:t>Figure S24.</w:t>
      </w:r>
      <w:r>
        <w:t xml:space="preserve"> </w:t>
      </w:r>
      <w:r>
        <w:rPr>
          <w:b/>
        </w:rPr>
        <w:t>OCP of glucose/O</w:t>
      </w:r>
      <w:r>
        <w:rPr>
          <w:b/>
          <w:vertAlign w:val="subscript"/>
        </w:rPr>
        <w:t>2</w:t>
      </w:r>
      <w:r>
        <w:rPr>
          <w:b/>
        </w:rPr>
        <w:t xml:space="preserve"> EFC before and after connecting with the gate.</w:t>
      </w:r>
      <w:r>
        <w:t xml:space="preserve"> (a) OCP change for 15 min. (b) Zoomed OCP values within the connection time. </w:t>
      </w:r>
    </w:p>
    <w:p w14:paraId="37ED595D" w14:textId="77777777" w:rsidR="00647A5B" w:rsidRDefault="000147E7">
      <w:pPr>
        <w:keepLines/>
        <w:widowControl w:val="0"/>
        <w:tabs>
          <w:tab w:val="left" w:pos="720"/>
        </w:tabs>
        <w:jc w:val="center"/>
      </w:pPr>
      <w:r>
        <w:rPr>
          <w:noProof/>
        </w:rPr>
        <w:drawing>
          <wp:inline distT="0" distB="0" distL="0" distR="0" wp14:anchorId="04999388" wp14:editId="12BD8148">
            <wp:extent cx="5804092" cy="1958881"/>
            <wp:effectExtent l="0" t="0" r="0" b="0"/>
            <wp:docPr id="18476" name="image12.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Chart, line chart&#10;&#10;Description automatically generated"/>
                    <pic:cNvPicPr preferRelativeResize="0"/>
                  </pic:nvPicPr>
                  <pic:blipFill>
                    <a:blip r:embed="rId37"/>
                    <a:srcRect/>
                    <a:stretch>
                      <a:fillRect/>
                    </a:stretch>
                  </pic:blipFill>
                  <pic:spPr>
                    <a:xfrm>
                      <a:off x="0" y="0"/>
                      <a:ext cx="5804092" cy="1958881"/>
                    </a:xfrm>
                    <a:prstGeom prst="rect">
                      <a:avLst/>
                    </a:prstGeom>
                    <a:ln/>
                  </pic:spPr>
                </pic:pic>
              </a:graphicData>
            </a:graphic>
          </wp:inline>
        </w:drawing>
      </w:r>
    </w:p>
    <w:p w14:paraId="278A20E0" w14:textId="77777777" w:rsidR="00647A5B" w:rsidRDefault="000147E7">
      <w:pPr>
        <w:keepLines/>
        <w:widowControl w:val="0"/>
        <w:tabs>
          <w:tab w:val="left" w:pos="720"/>
        </w:tabs>
        <w:jc w:val="both"/>
      </w:pPr>
      <w:r>
        <w:rPr>
          <w:b/>
        </w:rPr>
        <w:t xml:space="preserve">Figure S25. A typical </w:t>
      </w:r>
      <w:proofErr w:type="spellStart"/>
      <w:r>
        <w:rPr>
          <w:b/>
        </w:rPr>
        <w:t>I</w:t>
      </w:r>
      <w:r>
        <w:rPr>
          <w:b/>
          <w:vertAlign w:val="subscript"/>
        </w:rPr>
        <w:t>sd</w:t>
      </w:r>
      <w:proofErr w:type="spellEnd"/>
      <w:r>
        <w:rPr>
          <w:b/>
        </w:rPr>
        <w:t xml:space="preserve"> vs. time response to glucose. </w:t>
      </w:r>
      <w:r>
        <w:t xml:space="preserve">OECT was held at a constant </w:t>
      </w:r>
      <w:proofErr w:type="spellStart"/>
      <w:r>
        <w:t>V</w:t>
      </w:r>
      <w:r>
        <w:rPr>
          <w:vertAlign w:val="subscript"/>
        </w:rPr>
        <w:t>sd</w:t>
      </w:r>
      <w:proofErr w:type="spellEnd"/>
      <w:r>
        <w:t xml:space="preserve"> of – 600 mV. 1 M glucose solution was spiked to the anodic chamber over time. The values shown in graph </w:t>
      </w:r>
      <w:proofErr w:type="spellStart"/>
      <w:r>
        <w:t>indictaed</w:t>
      </w:r>
      <w:proofErr w:type="spellEnd"/>
      <w:r>
        <w:t xml:space="preserve"> the final concentration of glucose in anodic chamber.</w:t>
      </w:r>
    </w:p>
    <w:p w14:paraId="791BEDEA" w14:textId="77777777" w:rsidR="00647A5B" w:rsidRDefault="00647A5B">
      <w:pPr>
        <w:pBdr>
          <w:top w:val="nil"/>
          <w:left w:val="nil"/>
          <w:bottom w:val="nil"/>
          <w:right w:val="nil"/>
          <w:between w:val="nil"/>
        </w:pBdr>
        <w:rPr>
          <w:color w:val="000000"/>
        </w:rPr>
      </w:pPr>
    </w:p>
    <w:p w14:paraId="3F832138" w14:textId="77777777" w:rsidR="00647A5B" w:rsidRDefault="000147E7">
      <w:pPr>
        <w:keepLines/>
        <w:widowControl w:val="0"/>
        <w:rPr>
          <w:b/>
        </w:rPr>
      </w:pPr>
      <w:r>
        <w:rPr>
          <w:b/>
        </w:rPr>
        <w:t>6.3 EFCs fully powered OECT</w:t>
      </w:r>
      <w:r>
        <w:t>.</w:t>
      </w:r>
    </w:p>
    <w:p w14:paraId="249E3AE3" w14:textId="62E37948" w:rsidR="00647A5B" w:rsidRDefault="000147E7">
      <w:pPr>
        <w:keepLines/>
        <w:widowControl w:val="0"/>
        <w:jc w:val="both"/>
      </w:pPr>
      <w:r>
        <w:rPr>
          <w:b/>
        </w:rPr>
        <w:t>6.3.1 EFC powering channel</w:t>
      </w:r>
      <w:r>
        <w:t xml:space="preserve">. Two EFCs were used to power the gate and source drain of OECT (Fig. S26), respectively. We initialized use EFC with GDH-5E as the anodic catalyst because this EFC only needs to fulfill the role as a power source, and GDH-5E showed higher stability than GDH. Once connecting this EFC to the channel, the OCP dropped to 0 mV (Fig. S27). It indicated that the electrons flowed almost unimpeded through the channel because of the low resistance of channel materials. Also, this EFC showed excellent stability over multiple tests. </w:t>
      </w:r>
      <w:proofErr w:type="gramStart"/>
      <w:r>
        <w:t>Therefore</w:t>
      </w:r>
      <w:proofErr w:type="gramEnd"/>
      <w:r>
        <w:t xml:space="preserve"> we used the same EFC to power the channel for all the following tests.</w:t>
      </w:r>
    </w:p>
    <w:p w14:paraId="5D2DFAAF" w14:textId="77777777" w:rsidR="0097068F" w:rsidRDefault="0097068F">
      <w:pPr>
        <w:keepLines/>
        <w:widowControl w:val="0"/>
        <w:jc w:val="both"/>
      </w:pPr>
    </w:p>
    <w:p w14:paraId="6545CC43" w14:textId="3F4A7267" w:rsidR="00647A5B" w:rsidRDefault="000147E7">
      <w:pPr>
        <w:keepLines/>
        <w:widowControl w:val="0"/>
        <w:jc w:val="center"/>
      </w:pPr>
      <w:r>
        <w:rPr>
          <w:noProof/>
        </w:rPr>
        <w:drawing>
          <wp:inline distT="0" distB="0" distL="0" distR="0" wp14:anchorId="0B155577" wp14:editId="2B1830EA">
            <wp:extent cx="1670539" cy="2382715"/>
            <wp:effectExtent l="0" t="0" r="6350" b="5080"/>
            <wp:docPr id="18477" name="image7.png" descr="A screenshot of a cell phon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png" descr="A screenshot of a cell phone&#10;&#10;Description automatically generated with medium confidence"/>
                    <pic:cNvPicPr preferRelativeResize="0"/>
                  </pic:nvPicPr>
                  <pic:blipFill>
                    <a:blip r:embed="rId38"/>
                    <a:srcRect/>
                    <a:stretch>
                      <a:fillRect/>
                    </a:stretch>
                  </pic:blipFill>
                  <pic:spPr>
                    <a:xfrm>
                      <a:off x="0" y="0"/>
                      <a:ext cx="1698865" cy="2423117"/>
                    </a:xfrm>
                    <a:prstGeom prst="rect">
                      <a:avLst/>
                    </a:prstGeom>
                    <a:ln/>
                  </pic:spPr>
                </pic:pic>
              </a:graphicData>
            </a:graphic>
          </wp:inline>
        </w:drawing>
      </w:r>
    </w:p>
    <w:p w14:paraId="26139E92" w14:textId="77777777" w:rsidR="0097068F" w:rsidRDefault="0097068F">
      <w:pPr>
        <w:keepLines/>
        <w:widowControl w:val="0"/>
        <w:jc w:val="center"/>
      </w:pPr>
    </w:p>
    <w:p w14:paraId="41BA1037" w14:textId="77777777" w:rsidR="00647A5B" w:rsidRDefault="000147E7">
      <w:pPr>
        <w:keepLines/>
        <w:widowControl w:val="0"/>
        <w:jc w:val="center"/>
        <w:rPr>
          <w:b/>
        </w:rPr>
      </w:pPr>
      <w:r>
        <w:rPr>
          <w:b/>
        </w:rPr>
        <w:t>Figure. S26. The equivalent electronic circuit for semi-powered OECT.</w:t>
      </w:r>
    </w:p>
    <w:p w14:paraId="7A2F2B97" w14:textId="65D3C592" w:rsidR="00647A5B" w:rsidRDefault="000147E7">
      <w:pPr>
        <w:keepLines/>
        <w:widowControl w:val="0"/>
        <w:jc w:val="center"/>
      </w:pPr>
      <w:r>
        <w:rPr>
          <w:b/>
          <w:noProof/>
        </w:rPr>
        <w:drawing>
          <wp:inline distT="0" distB="0" distL="0" distR="0" wp14:anchorId="5D65C59D" wp14:editId="33447F48">
            <wp:extent cx="4592577" cy="2073244"/>
            <wp:effectExtent l="0" t="0" r="5080" b="0"/>
            <wp:docPr id="18478" name="image15.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5.png" descr="A picture containing diagram&#10;&#10;Description automatically generated"/>
                    <pic:cNvPicPr preferRelativeResize="0"/>
                  </pic:nvPicPr>
                  <pic:blipFill>
                    <a:blip r:embed="rId39"/>
                    <a:srcRect/>
                    <a:stretch>
                      <a:fillRect/>
                    </a:stretch>
                  </pic:blipFill>
                  <pic:spPr>
                    <a:xfrm>
                      <a:off x="0" y="0"/>
                      <a:ext cx="4633718" cy="2091816"/>
                    </a:xfrm>
                    <a:prstGeom prst="rect">
                      <a:avLst/>
                    </a:prstGeom>
                    <a:ln/>
                  </pic:spPr>
                </pic:pic>
              </a:graphicData>
            </a:graphic>
          </wp:inline>
        </w:drawing>
      </w:r>
    </w:p>
    <w:p w14:paraId="084F58C5" w14:textId="77777777" w:rsidR="0097068F" w:rsidRDefault="0097068F">
      <w:pPr>
        <w:keepLines/>
        <w:widowControl w:val="0"/>
        <w:jc w:val="center"/>
      </w:pPr>
    </w:p>
    <w:p w14:paraId="7EA837E3" w14:textId="318638AF" w:rsidR="00647A5B" w:rsidRDefault="000147E7">
      <w:pPr>
        <w:keepLines/>
        <w:widowControl w:val="0"/>
      </w:pPr>
      <w:r>
        <w:rPr>
          <w:b/>
        </w:rPr>
        <w:t xml:space="preserve">Fig. S27. OCP for the EFC powering the channel. </w:t>
      </w:r>
      <w:r>
        <w:t xml:space="preserve">EFC with GDH-5E as the anodic catalyst was fueled with 80 mM glucose. The cathode connected to the drain while the source and anode were grounded. Five tests were performed with different connection duration. In the second test, a 42 k Ω resistor was connected to the channel in series. </w:t>
      </w:r>
    </w:p>
    <w:p w14:paraId="05394E92" w14:textId="77777777" w:rsidR="00602961" w:rsidRDefault="00602961">
      <w:pPr>
        <w:keepLines/>
        <w:widowControl w:val="0"/>
      </w:pPr>
    </w:p>
    <w:p w14:paraId="1674FF5F" w14:textId="77777777" w:rsidR="00647A5B" w:rsidRDefault="000147E7" w:rsidP="00D33F2A">
      <w:pPr>
        <w:keepLines/>
        <w:widowControl w:val="0"/>
        <w:tabs>
          <w:tab w:val="left" w:pos="720"/>
        </w:tabs>
        <w:jc w:val="both"/>
      </w:pPr>
      <w:r>
        <w:tab/>
        <w:t xml:space="preserve">EFC (with GDH-5E) powered the OECT channel leading an </w:t>
      </w:r>
      <w:proofErr w:type="spellStart"/>
      <w:r>
        <w:t>I</w:t>
      </w:r>
      <w:r>
        <w:rPr>
          <w:vertAlign w:val="subscript"/>
        </w:rPr>
        <w:t>sd</w:t>
      </w:r>
      <w:proofErr w:type="spellEnd"/>
      <w:r>
        <w:t xml:space="preserve"> of -25 </w:t>
      </w:r>
      <w:proofErr w:type="spellStart"/>
      <w:r>
        <w:t>μA</w:t>
      </w:r>
      <w:proofErr w:type="spellEnd"/>
      <w:r>
        <w:t xml:space="preserve">, significantly smaller than the SMU </w:t>
      </w:r>
      <w:proofErr w:type="gramStart"/>
      <w:r>
        <w:t>of  -</w:t>
      </w:r>
      <w:proofErr w:type="gramEnd"/>
      <w:r>
        <w:t>11 mA. Connecting the sensing EFC, made of GDH-5E</w:t>
      </w:r>
      <w:r>
        <w:rPr>
          <w:vertAlign w:val="superscript"/>
        </w:rPr>
        <w:t>+</w:t>
      </w:r>
      <w:r>
        <w:t xml:space="preserve">, to the gate further decreased the current to -29 </w:t>
      </w:r>
      <w:proofErr w:type="spellStart"/>
      <w:r>
        <w:t>μA</w:t>
      </w:r>
      <w:proofErr w:type="spellEnd"/>
      <w:r>
        <w:t>, which was -4 mA with SMU. Although the current in the channel was super low, the OECT channel had entirely been powered by EFCs (Fig. S28).</w:t>
      </w:r>
    </w:p>
    <w:p w14:paraId="21759563" w14:textId="77777777" w:rsidR="00647A5B" w:rsidRDefault="00647A5B">
      <w:pPr>
        <w:keepLines/>
        <w:widowControl w:val="0"/>
        <w:rPr>
          <w:b/>
        </w:rPr>
      </w:pPr>
    </w:p>
    <w:p w14:paraId="36F0C172" w14:textId="77777777" w:rsidR="00647A5B" w:rsidRDefault="000147E7">
      <w:pPr>
        <w:keepLines/>
        <w:widowControl w:val="0"/>
        <w:jc w:val="center"/>
      </w:pPr>
      <w:r>
        <w:rPr>
          <w:noProof/>
        </w:rPr>
        <w:drawing>
          <wp:inline distT="0" distB="0" distL="0" distR="0" wp14:anchorId="50206E7F" wp14:editId="073BCC71">
            <wp:extent cx="4853132" cy="2289448"/>
            <wp:effectExtent l="0" t="0" r="0" b="0"/>
            <wp:docPr id="18479" name="image18.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picture containing chart&#10;&#10;Description automatically generated"/>
                    <pic:cNvPicPr preferRelativeResize="0"/>
                  </pic:nvPicPr>
                  <pic:blipFill>
                    <a:blip r:embed="rId40"/>
                    <a:srcRect/>
                    <a:stretch>
                      <a:fillRect/>
                    </a:stretch>
                  </pic:blipFill>
                  <pic:spPr>
                    <a:xfrm>
                      <a:off x="0" y="0"/>
                      <a:ext cx="4853132" cy="2289448"/>
                    </a:xfrm>
                    <a:prstGeom prst="rect">
                      <a:avLst/>
                    </a:prstGeom>
                    <a:ln/>
                  </pic:spPr>
                </pic:pic>
              </a:graphicData>
            </a:graphic>
          </wp:inline>
        </w:drawing>
      </w:r>
    </w:p>
    <w:p w14:paraId="4D39FB05" w14:textId="77777777" w:rsidR="00647A5B" w:rsidRDefault="000147E7">
      <w:pPr>
        <w:keepLines/>
        <w:widowControl w:val="0"/>
        <w:tabs>
          <w:tab w:val="left" w:pos="720"/>
        </w:tabs>
        <w:jc w:val="both"/>
      </w:pPr>
      <w:r>
        <w:rPr>
          <w:b/>
        </w:rPr>
        <w:t>Figure. S28.</w:t>
      </w:r>
      <w:r>
        <w:t xml:space="preserve"> </w:t>
      </w:r>
      <w:r>
        <w:rPr>
          <w:b/>
        </w:rPr>
        <w:t xml:space="preserve">Real-time response of the OECT while coupling with EFCs. </w:t>
      </w:r>
      <w:r>
        <w:t>The source and drain were powered by EFC with GDH-5</w:t>
      </w:r>
      <w:proofErr w:type="gramStart"/>
      <w:r>
        <w:t>E  as</w:t>
      </w:r>
      <w:proofErr w:type="gramEnd"/>
      <w:r>
        <w:t xml:space="preserve"> the anodic catalyst, comprising 80 mM glucose. The gate connected EFC with GDH-5E</w:t>
      </w:r>
      <w:r>
        <w:rPr>
          <w:vertAlign w:val="superscript"/>
        </w:rPr>
        <w:t>+</w:t>
      </w:r>
      <w:r>
        <w:t xml:space="preserve"> without glucose added to the chamber. </w:t>
      </w:r>
    </w:p>
    <w:p w14:paraId="29B0060F" w14:textId="77777777" w:rsidR="00647A5B" w:rsidRDefault="000147E7">
      <w:pPr>
        <w:keepLines/>
        <w:widowControl w:val="0"/>
        <w:tabs>
          <w:tab w:val="left" w:pos="720"/>
        </w:tabs>
        <w:jc w:val="both"/>
      </w:pPr>
      <w:r>
        <w:rPr>
          <w:b/>
        </w:rPr>
        <w:t>6.3.2. Sensing 4-HT</w:t>
      </w:r>
      <w:r>
        <w:t xml:space="preserve">. 40 </w:t>
      </w:r>
      <w:proofErr w:type="spellStart"/>
      <w:r>
        <w:t>μL</w:t>
      </w:r>
      <w:proofErr w:type="spellEnd"/>
      <w:r>
        <w:t xml:space="preserve"> of 2 M glucose with 1 % (v/v) 4-HT (100 </w:t>
      </w:r>
      <w:proofErr w:type="spellStart"/>
      <w:r>
        <w:t>μM</w:t>
      </w:r>
      <w:proofErr w:type="spellEnd"/>
      <w:r>
        <w:t>, in DMSO) was added to the anodic chamber of EFC (GDH-5E</w:t>
      </w:r>
      <w:r>
        <w:rPr>
          <w:vertAlign w:val="superscript"/>
        </w:rPr>
        <w:t>+</w:t>
      </w:r>
      <w:r>
        <w:t xml:space="preserve"> as catalysts), whose cathode was connecting with the gate. We did not observe reliable signals to differentiate glucose with DMSO or 4-HT (Fig. S29). We rationalize that the low current in the channel causes a significant loss of amplification. More research is undergoing to solve this problem.</w:t>
      </w:r>
    </w:p>
    <w:p w14:paraId="60E5323B" w14:textId="77777777" w:rsidR="00647A5B" w:rsidRDefault="00647A5B">
      <w:pPr>
        <w:keepLines/>
        <w:widowControl w:val="0"/>
        <w:tabs>
          <w:tab w:val="left" w:pos="720"/>
        </w:tabs>
        <w:jc w:val="both"/>
      </w:pPr>
    </w:p>
    <w:p w14:paraId="53C4F7E5" w14:textId="77777777" w:rsidR="00647A5B" w:rsidRDefault="000147E7">
      <w:pPr>
        <w:keepLines/>
        <w:widowControl w:val="0"/>
        <w:jc w:val="center"/>
      </w:pPr>
      <w:r>
        <w:rPr>
          <w:noProof/>
        </w:rPr>
        <w:drawing>
          <wp:inline distT="0" distB="0" distL="0" distR="0" wp14:anchorId="1C1EB769" wp14:editId="616EFF00">
            <wp:extent cx="2181505" cy="2133824"/>
            <wp:effectExtent l="0" t="0" r="0" b="0"/>
            <wp:docPr id="18488" name="image2.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Chart, line chart&#10;&#10;Description automatically generated"/>
                    <pic:cNvPicPr preferRelativeResize="0"/>
                  </pic:nvPicPr>
                  <pic:blipFill>
                    <a:blip r:embed="rId41"/>
                    <a:srcRect/>
                    <a:stretch>
                      <a:fillRect/>
                    </a:stretch>
                  </pic:blipFill>
                  <pic:spPr>
                    <a:xfrm>
                      <a:off x="0" y="0"/>
                      <a:ext cx="2181505" cy="2133824"/>
                    </a:xfrm>
                    <a:prstGeom prst="rect">
                      <a:avLst/>
                    </a:prstGeom>
                    <a:ln/>
                  </pic:spPr>
                </pic:pic>
              </a:graphicData>
            </a:graphic>
          </wp:inline>
        </w:drawing>
      </w:r>
    </w:p>
    <w:p w14:paraId="4666ECB3" w14:textId="77777777" w:rsidR="00647A5B" w:rsidRDefault="00647A5B">
      <w:pPr>
        <w:keepLines/>
        <w:widowControl w:val="0"/>
        <w:jc w:val="center"/>
      </w:pPr>
    </w:p>
    <w:p w14:paraId="75936711" w14:textId="77777777" w:rsidR="00647A5B" w:rsidRDefault="000147E7">
      <w:pPr>
        <w:keepLines/>
        <w:widowControl w:val="0"/>
        <w:tabs>
          <w:tab w:val="left" w:pos="720"/>
        </w:tabs>
      </w:pPr>
      <w:r>
        <w:rPr>
          <w:b/>
        </w:rPr>
        <w:t>Figure. S29. OECT response to glucose with 4-HT or DMSO.</w:t>
      </w:r>
      <w:r>
        <w:t xml:space="preserve"> The source-drain was powered by EFC with GDH-5E as the anodic catalyst, comprising 20 mM glucose. The gate connected to EFC with GDH-5E</w:t>
      </w:r>
      <w:r>
        <w:rPr>
          <w:vertAlign w:val="superscript"/>
        </w:rPr>
        <w:t>+</w:t>
      </w:r>
      <w:r>
        <w:t xml:space="preserve">. </w:t>
      </w:r>
    </w:p>
    <w:p w14:paraId="6F06BB8C" w14:textId="77777777" w:rsidR="00FC0EF3" w:rsidRDefault="00FC0EF3"/>
    <w:p w14:paraId="2BB93149" w14:textId="0A31E4A0" w:rsidR="00FC0EF3" w:rsidRPr="00F04697" w:rsidRDefault="00F04697">
      <w:pPr>
        <w:rPr>
          <w:b/>
          <w:bCs/>
        </w:rPr>
      </w:pPr>
      <w:r w:rsidRPr="00F04697">
        <w:rPr>
          <w:b/>
          <w:bCs/>
        </w:rPr>
        <w:t>Reference</w:t>
      </w:r>
    </w:p>
    <w:p w14:paraId="10FB726F" w14:textId="77777777" w:rsidR="00265493" w:rsidRPr="00265493" w:rsidRDefault="00FC0EF3" w:rsidP="0097068F">
      <w:pPr>
        <w:pStyle w:val="EndNoteBibliography"/>
        <w:ind w:left="720" w:hanging="720"/>
        <w:jc w:val="both"/>
        <w:rPr>
          <w:noProof/>
        </w:rPr>
      </w:pPr>
      <w:r>
        <w:fldChar w:fldCharType="begin"/>
      </w:r>
      <w:r>
        <w:instrText xml:space="preserve"> ADDIN EN.REFLIST </w:instrText>
      </w:r>
      <w:r>
        <w:fldChar w:fldCharType="separate"/>
      </w:r>
      <w:r w:rsidR="00265493" w:rsidRPr="00265493">
        <w:rPr>
          <w:noProof/>
        </w:rPr>
        <w:t>1.</w:t>
      </w:r>
      <w:r w:rsidR="00265493" w:rsidRPr="00265493">
        <w:rPr>
          <w:noProof/>
        </w:rPr>
        <w:tab/>
        <w:t xml:space="preserve">Bosley, A.D. &amp; Ostermeier, M. Mathematical expressions useful in the construction, description and evaluation of protein libraries. </w:t>
      </w:r>
      <w:r w:rsidR="00265493" w:rsidRPr="00265493">
        <w:rPr>
          <w:i/>
          <w:noProof/>
        </w:rPr>
        <w:t>Biomolecular engineering</w:t>
      </w:r>
      <w:r w:rsidR="00265493" w:rsidRPr="00265493">
        <w:rPr>
          <w:noProof/>
        </w:rPr>
        <w:t xml:space="preserve"> </w:t>
      </w:r>
      <w:r w:rsidR="00265493" w:rsidRPr="00265493">
        <w:rPr>
          <w:b/>
          <w:noProof/>
        </w:rPr>
        <w:t>22</w:t>
      </w:r>
      <w:r w:rsidR="00265493" w:rsidRPr="00265493">
        <w:rPr>
          <w:noProof/>
        </w:rPr>
        <w:t>, 57-61 (2005).</w:t>
      </w:r>
    </w:p>
    <w:p w14:paraId="5D772FD2" w14:textId="77777777" w:rsidR="00265493" w:rsidRPr="00265493" w:rsidRDefault="00265493" w:rsidP="0097068F">
      <w:pPr>
        <w:pStyle w:val="EndNoteBibliography"/>
        <w:ind w:left="720" w:hanging="720"/>
        <w:jc w:val="both"/>
        <w:rPr>
          <w:noProof/>
        </w:rPr>
      </w:pPr>
      <w:r w:rsidRPr="00265493">
        <w:rPr>
          <w:noProof/>
        </w:rPr>
        <w:t>2.</w:t>
      </w:r>
      <w:r w:rsidRPr="00265493">
        <w:rPr>
          <w:noProof/>
        </w:rPr>
        <w:tab/>
        <w:t xml:space="preserve">Olsthoorn, A.J. &amp; Duine, J.A. Production, Characterization, and Reconstitution of Recombinant Quinoprotein Glucose Dehydrogenase (Soluble Type; EC 1.1. 99.17) Apoenzyme ofAcinetobacter calcoaceticus. </w:t>
      </w:r>
      <w:r w:rsidRPr="00265493">
        <w:rPr>
          <w:i/>
          <w:noProof/>
        </w:rPr>
        <w:t>Archives of biochemistry and biophysics</w:t>
      </w:r>
      <w:r w:rsidRPr="00265493">
        <w:rPr>
          <w:noProof/>
        </w:rPr>
        <w:t xml:space="preserve"> </w:t>
      </w:r>
      <w:r w:rsidRPr="00265493">
        <w:rPr>
          <w:b/>
          <w:noProof/>
        </w:rPr>
        <w:t>336</w:t>
      </w:r>
      <w:r w:rsidRPr="00265493">
        <w:rPr>
          <w:noProof/>
        </w:rPr>
        <w:t>, 42-48 (1996).</w:t>
      </w:r>
    </w:p>
    <w:p w14:paraId="5124E5AB" w14:textId="77777777" w:rsidR="00265493" w:rsidRPr="00265493" w:rsidRDefault="00265493" w:rsidP="0097068F">
      <w:pPr>
        <w:pStyle w:val="EndNoteBibliography"/>
        <w:ind w:left="720" w:hanging="720"/>
        <w:jc w:val="both"/>
        <w:rPr>
          <w:noProof/>
        </w:rPr>
      </w:pPr>
      <w:r w:rsidRPr="00265493">
        <w:rPr>
          <w:noProof/>
        </w:rPr>
        <w:t>3.</w:t>
      </w:r>
      <w:r w:rsidRPr="00265493">
        <w:rPr>
          <w:noProof/>
        </w:rPr>
        <w:tab/>
        <w:t xml:space="preserve">Hickey, D.P. et al. Pyrene Hydrogel for Promoting Direct Bioelectrochemistry: ATP-Independent Electroenzymatic Reduction of N2. </w:t>
      </w:r>
      <w:r w:rsidRPr="00265493">
        <w:rPr>
          <w:i/>
          <w:noProof/>
        </w:rPr>
        <w:t>Chemical Science</w:t>
      </w:r>
      <w:r w:rsidRPr="00265493">
        <w:rPr>
          <w:noProof/>
        </w:rPr>
        <w:t xml:space="preserve"> (2018).</w:t>
      </w:r>
    </w:p>
    <w:p w14:paraId="4D7919A6" w14:textId="77777777" w:rsidR="00265493" w:rsidRPr="00265493" w:rsidRDefault="00265493" w:rsidP="0097068F">
      <w:pPr>
        <w:pStyle w:val="EndNoteBibliography"/>
        <w:ind w:left="720" w:hanging="720"/>
        <w:jc w:val="both"/>
        <w:rPr>
          <w:noProof/>
        </w:rPr>
      </w:pPr>
      <w:r w:rsidRPr="00265493">
        <w:rPr>
          <w:noProof/>
        </w:rPr>
        <w:t>4.</w:t>
      </w:r>
      <w:r w:rsidRPr="00265493">
        <w:rPr>
          <w:noProof/>
        </w:rPr>
        <w:tab/>
        <w:t xml:space="preserve">Meredith, M.T. et al. Anthracene-modified multi-walled carbon nanotubes as direct electron transfer scaffolds for enzymatic oxygen reduction. </w:t>
      </w:r>
      <w:r w:rsidRPr="00265493">
        <w:rPr>
          <w:i/>
          <w:noProof/>
        </w:rPr>
        <w:t>Acs Catalysis</w:t>
      </w:r>
      <w:r w:rsidRPr="00265493">
        <w:rPr>
          <w:noProof/>
        </w:rPr>
        <w:t xml:space="preserve"> </w:t>
      </w:r>
      <w:r w:rsidRPr="00265493">
        <w:rPr>
          <w:b/>
          <w:noProof/>
        </w:rPr>
        <w:t>1</w:t>
      </w:r>
      <w:r w:rsidRPr="00265493">
        <w:rPr>
          <w:noProof/>
        </w:rPr>
        <w:t>, 1683-1690 (2011).</w:t>
      </w:r>
    </w:p>
    <w:p w14:paraId="2B095AFD" w14:textId="7CD9E026" w:rsidR="00647A5B" w:rsidRDefault="00FC0EF3" w:rsidP="0097068F">
      <w:pPr>
        <w:jc w:val="both"/>
      </w:pPr>
      <w:r>
        <w:fldChar w:fldCharType="end"/>
      </w:r>
    </w:p>
    <w:sectPr w:rsidR="00647A5B">
      <w:footerReference w:type="default" r:id="rId42"/>
      <w:pgSz w:w="12240" w:h="15840"/>
      <w:pgMar w:top="1296" w:right="1440" w:bottom="1296"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4AAF4" w14:textId="77777777" w:rsidR="00510892" w:rsidRDefault="00510892">
      <w:pPr>
        <w:spacing w:line="240" w:lineRule="auto"/>
      </w:pPr>
      <w:r>
        <w:separator/>
      </w:r>
    </w:p>
  </w:endnote>
  <w:endnote w:type="continuationSeparator" w:id="0">
    <w:p w14:paraId="2AE9FC0B" w14:textId="77777777" w:rsidR="00510892" w:rsidRDefault="005108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20B0604020202020204"/>
    <w:charset w:val="00"/>
    <w:family w:val="roman"/>
    <w:notTrueType/>
    <w:pitch w:val="default"/>
  </w:font>
  <w:font w:name="BlissMedium">
    <w:altName w:val="Cambria"/>
    <w:panose1 w:val="020B0604020202020204"/>
    <w:charset w:val="00"/>
    <w:family w:val="roman"/>
    <w:notTrueType/>
    <w:pitch w:val="default"/>
  </w:font>
  <w:font w:name="BlissBold">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624F" w14:textId="77777777" w:rsidR="00647A5B" w:rsidRDefault="000147E7">
    <w:pPr>
      <w:pBdr>
        <w:top w:val="nil"/>
        <w:left w:val="nil"/>
        <w:bottom w:val="nil"/>
        <w:right w:val="nil"/>
        <w:between w:val="nil"/>
      </w:pBdr>
      <w:tabs>
        <w:tab w:val="center" w:pos="4320"/>
        <w:tab w:val="right" w:pos="8640"/>
      </w:tabs>
      <w:jc w:val="center"/>
      <w:rPr>
        <w:color w:val="000000"/>
        <w:sz w:val="20"/>
        <w:szCs w:val="20"/>
      </w:rPr>
    </w:pPr>
    <w:r>
      <w:rPr>
        <w:color w:val="000000"/>
        <w:sz w:val="20"/>
        <w:szCs w:val="20"/>
      </w:rPr>
      <w:fldChar w:fldCharType="begin"/>
    </w:r>
    <w:r>
      <w:rPr>
        <w:color w:val="000000"/>
        <w:sz w:val="20"/>
        <w:szCs w:val="20"/>
      </w:rPr>
      <w:instrText>PAGE</w:instrText>
    </w:r>
    <w:r w:rsidR="00510892">
      <w:rPr>
        <w:color w:val="000000"/>
        <w:sz w:val="20"/>
        <w:szCs w:val="20"/>
      </w:rPr>
      <w:fldChar w:fldCharType="separate"/>
    </w:r>
    <w:r>
      <w:rPr>
        <w:color w:val="000000"/>
        <w:sz w:val="20"/>
        <w:szCs w:val="20"/>
      </w:rPr>
      <w:fldChar w:fldCharType="end"/>
    </w:r>
  </w:p>
  <w:p w14:paraId="294D5721" w14:textId="77777777" w:rsidR="00647A5B" w:rsidRDefault="00647A5B">
    <w:pPr>
      <w:pBdr>
        <w:top w:val="nil"/>
        <w:left w:val="nil"/>
        <w:bottom w:val="nil"/>
        <w:right w:val="nil"/>
        <w:between w:val="nil"/>
      </w:pBdr>
      <w:tabs>
        <w:tab w:val="center" w:pos="4320"/>
        <w:tab w:val="right" w:pos="8640"/>
      </w:tabs>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F428D" w14:textId="77777777" w:rsidR="00647A5B" w:rsidRDefault="000147E7">
    <w:pPr>
      <w:pBdr>
        <w:top w:val="nil"/>
        <w:left w:val="nil"/>
        <w:bottom w:val="nil"/>
        <w:right w:val="nil"/>
        <w:between w:val="nil"/>
      </w:pBdr>
      <w:tabs>
        <w:tab w:val="center" w:pos="4320"/>
        <w:tab w:val="right" w:pos="8640"/>
      </w:tabs>
      <w:jc w:val="center"/>
      <w:rPr>
        <w:smallCaps/>
        <w:color w:val="4F81BD"/>
        <w:sz w:val="20"/>
        <w:szCs w:val="20"/>
      </w:rPr>
    </w:pPr>
    <w:r>
      <w:rPr>
        <w:smallCaps/>
        <w:color w:val="4F81BD"/>
        <w:sz w:val="20"/>
        <w:szCs w:val="20"/>
      </w:rPr>
      <w:fldChar w:fldCharType="begin"/>
    </w:r>
    <w:r>
      <w:rPr>
        <w:smallCaps/>
        <w:color w:val="4F81BD"/>
        <w:sz w:val="20"/>
        <w:szCs w:val="20"/>
      </w:rPr>
      <w:instrText>PAGE</w:instrText>
    </w:r>
    <w:r w:rsidR="00510892">
      <w:rPr>
        <w:smallCaps/>
        <w:color w:val="4F81BD"/>
        <w:sz w:val="20"/>
        <w:szCs w:val="20"/>
      </w:rPr>
      <w:fldChar w:fldCharType="separate"/>
    </w:r>
    <w:r>
      <w:rPr>
        <w:smallCaps/>
        <w:color w:val="4F81BD"/>
        <w:sz w:val="20"/>
        <w:szCs w:val="20"/>
      </w:rPr>
      <w:fldChar w:fldCharType="end"/>
    </w:r>
  </w:p>
  <w:p w14:paraId="79F8C5C7" w14:textId="77777777" w:rsidR="00647A5B" w:rsidRDefault="00647A5B">
    <w:pPr>
      <w:pBdr>
        <w:top w:val="nil"/>
        <w:left w:val="nil"/>
        <w:bottom w:val="nil"/>
        <w:right w:val="nil"/>
        <w:between w:val="nil"/>
      </w:pBdr>
      <w:tabs>
        <w:tab w:val="center" w:pos="4320"/>
        <w:tab w:val="right" w:pos="8640"/>
      </w:tabs>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AC581" w14:textId="0E300BF2" w:rsidR="00647A5B" w:rsidRDefault="000147E7">
    <w:pPr>
      <w:pBdr>
        <w:top w:val="nil"/>
        <w:left w:val="nil"/>
        <w:bottom w:val="nil"/>
        <w:right w:val="nil"/>
        <w:between w:val="nil"/>
      </w:pBdr>
      <w:tabs>
        <w:tab w:val="center" w:pos="4320"/>
        <w:tab w:val="right" w:pos="8640"/>
      </w:tabs>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9054D3">
      <w:rPr>
        <w:noProof/>
        <w:color w:val="000000"/>
        <w:sz w:val="20"/>
        <w:szCs w:val="20"/>
      </w:rPr>
      <w:t>1</w:t>
    </w:r>
    <w:r>
      <w:rPr>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A9427" w14:textId="77777777" w:rsidR="00510892" w:rsidRDefault="00510892">
      <w:pPr>
        <w:spacing w:line="240" w:lineRule="auto"/>
      </w:pPr>
      <w:r>
        <w:separator/>
      </w:r>
    </w:p>
  </w:footnote>
  <w:footnote w:type="continuationSeparator" w:id="0">
    <w:p w14:paraId="6EDD0A04" w14:textId="77777777" w:rsidR="00510892" w:rsidRDefault="005108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84DC8" w14:textId="77777777" w:rsidR="00647A5B" w:rsidRDefault="000147E7">
    <w:pPr>
      <w:pBdr>
        <w:top w:val="nil"/>
        <w:left w:val="nil"/>
        <w:bottom w:val="nil"/>
        <w:right w:val="nil"/>
        <w:between w:val="nil"/>
      </w:pBdr>
      <w:tabs>
        <w:tab w:val="center" w:pos="4320"/>
        <w:tab w:val="right" w:pos="8640"/>
        <w:tab w:val="left" w:pos="3240"/>
      </w:tabs>
      <w:jc w:val="center"/>
      <w:rPr>
        <w:color w:val="000000"/>
        <w:sz w:val="20"/>
        <w:szCs w:val="20"/>
      </w:rPr>
    </w:pPr>
    <w:r>
      <w:rPr>
        <w:color w:val="000000"/>
        <w:sz w:val="20"/>
        <w:szCs w:val="20"/>
      </w:rPr>
      <w:t>Submitted Manuscript: Confidential</w:t>
    </w:r>
  </w:p>
  <w:p w14:paraId="04DCB1A6" w14:textId="77777777" w:rsidR="00647A5B" w:rsidRDefault="00647A5B">
    <w:pPr>
      <w:pBdr>
        <w:top w:val="nil"/>
        <w:left w:val="nil"/>
        <w:bottom w:val="nil"/>
        <w:right w:val="nil"/>
        <w:between w:val="nil"/>
      </w:pBdr>
      <w:tabs>
        <w:tab w:val="center" w:pos="4320"/>
        <w:tab w:val="right" w:pos="8640"/>
        <w:tab w:val="left" w:pos="3240"/>
      </w:tabs>
      <w:rPr>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772DC" w14:textId="77777777" w:rsidR="00647A5B" w:rsidRDefault="000147E7">
    <w:pPr>
      <w:pBdr>
        <w:top w:val="nil"/>
        <w:left w:val="nil"/>
        <w:bottom w:val="nil"/>
        <w:right w:val="nil"/>
        <w:between w:val="nil"/>
      </w:pBdr>
      <w:tabs>
        <w:tab w:val="center" w:pos="4320"/>
        <w:tab w:val="right" w:pos="8640"/>
      </w:tabs>
      <w:rPr>
        <w:color w:val="000000"/>
        <w:sz w:val="20"/>
        <w:szCs w:val="20"/>
      </w:rPr>
    </w:pPr>
    <w:r>
      <w:rPr>
        <w:color w:val="000000"/>
        <w:sz w:val="20"/>
        <w:szCs w:val="20"/>
      </w:rPr>
      <w:tab/>
      <w:t>Submitted Manuscript: Confidential</w:t>
    </w:r>
    <w:r>
      <w:rPr>
        <w:color w:val="000000"/>
        <w:sz w:val="20"/>
        <w:szCs w:val="20"/>
      </w:rPr>
      <w:tab/>
    </w:r>
    <w:r>
      <w:rPr>
        <w:noProof/>
      </w:rPr>
      <w:drawing>
        <wp:anchor distT="0" distB="0" distL="114300" distR="114300" simplePos="0" relativeHeight="251658240" behindDoc="0" locked="0" layoutInCell="1" hidden="0" allowOverlap="1" wp14:anchorId="0BBF4026" wp14:editId="430CB936">
          <wp:simplePos x="0" y="0"/>
          <wp:positionH relativeFrom="column">
            <wp:posOffset>3</wp:posOffset>
          </wp:positionH>
          <wp:positionV relativeFrom="paragraph">
            <wp:posOffset>5288</wp:posOffset>
          </wp:positionV>
          <wp:extent cx="1045029" cy="457200"/>
          <wp:effectExtent l="0" t="0" r="0" b="0"/>
          <wp:wrapSquare wrapText="bothSides" distT="0" distB="0" distL="114300" distR="114300"/>
          <wp:docPr id="18485"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
                  <a:srcRect/>
                  <a:stretch>
                    <a:fillRect/>
                  </a:stretch>
                </pic:blipFill>
                <pic:spPr>
                  <a:xfrm>
                    <a:off x="0" y="0"/>
                    <a:ext cx="1045029" cy="457200"/>
                  </a:xfrm>
                  <a:prstGeom prst="rect">
                    <a:avLst/>
                  </a:prstGeom>
                  <a:ln/>
                </pic:spPr>
              </pic:pic>
            </a:graphicData>
          </a:graphic>
        </wp:anchor>
      </w:drawing>
    </w:r>
  </w:p>
  <w:p w14:paraId="18BE225D" w14:textId="77777777" w:rsidR="00647A5B" w:rsidRDefault="00647A5B">
    <w:pPr>
      <w:pBdr>
        <w:top w:val="nil"/>
        <w:left w:val="nil"/>
        <w:bottom w:val="nil"/>
        <w:right w:val="nil"/>
        <w:between w:val="nil"/>
      </w:pBdr>
      <w:tabs>
        <w:tab w:val="center" w:pos="4320"/>
        <w:tab w:val="right" w:pos="8640"/>
      </w:tabs>
      <w:rPr>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hideSpellingErrors/>
  <w:hideGrammaticalError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rzfzvvu5wdtueerv3xfxzww9efws2z0ptz&quot;&gt;My EndNote Library-Converted&lt;record-ids&gt;&lt;item&gt;48&lt;/item&gt;&lt;item&gt;370&lt;/item&gt;&lt;item&gt;371&lt;/item&gt;&lt;item&gt;463&lt;/item&gt;&lt;/record-ids&gt;&lt;/item&gt;&lt;/Libraries&gt;"/>
  </w:docVars>
  <w:rsids>
    <w:rsidRoot w:val="00647A5B"/>
    <w:rsid w:val="000019AB"/>
    <w:rsid w:val="000147E7"/>
    <w:rsid w:val="00016983"/>
    <w:rsid w:val="00020A98"/>
    <w:rsid w:val="00051DA3"/>
    <w:rsid w:val="00132AED"/>
    <w:rsid w:val="001414F2"/>
    <w:rsid w:val="00196431"/>
    <w:rsid w:val="001B6EE1"/>
    <w:rsid w:val="00244C96"/>
    <w:rsid w:val="00256D3C"/>
    <w:rsid w:val="00265493"/>
    <w:rsid w:val="002A0BD2"/>
    <w:rsid w:val="002E735D"/>
    <w:rsid w:val="004049D2"/>
    <w:rsid w:val="00410C5F"/>
    <w:rsid w:val="00427BC5"/>
    <w:rsid w:val="00492F16"/>
    <w:rsid w:val="004C442D"/>
    <w:rsid w:val="004F70E9"/>
    <w:rsid w:val="00510892"/>
    <w:rsid w:val="005607DE"/>
    <w:rsid w:val="005F2B4C"/>
    <w:rsid w:val="00602961"/>
    <w:rsid w:val="00623DF0"/>
    <w:rsid w:val="00647A5B"/>
    <w:rsid w:val="006632F6"/>
    <w:rsid w:val="00672698"/>
    <w:rsid w:val="00693D92"/>
    <w:rsid w:val="006B2F08"/>
    <w:rsid w:val="006E326C"/>
    <w:rsid w:val="006E6BFE"/>
    <w:rsid w:val="006E6DDF"/>
    <w:rsid w:val="00763475"/>
    <w:rsid w:val="00773174"/>
    <w:rsid w:val="007933FE"/>
    <w:rsid w:val="007B3D1B"/>
    <w:rsid w:val="00820E22"/>
    <w:rsid w:val="00846CDE"/>
    <w:rsid w:val="00864979"/>
    <w:rsid w:val="00905296"/>
    <w:rsid w:val="009054D3"/>
    <w:rsid w:val="00910046"/>
    <w:rsid w:val="0097068F"/>
    <w:rsid w:val="009A5F1D"/>
    <w:rsid w:val="00B40723"/>
    <w:rsid w:val="00BA38F7"/>
    <w:rsid w:val="00BF1B44"/>
    <w:rsid w:val="00C87608"/>
    <w:rsid w:val="00CC6A74"/>
    <w:rsid w:val="00CD4B6E"/>
    <w:rsid w:val="00CF2683"/>
    <w:rsid w:val="00D01D75"/>
    <w:rsid w:val="00D21401"/>
    <w:rsid w:val="00D33F2A"/>
    <w:rsid w:val="00D65A78"/>
    <w:rsid w:val="00D67E66"/>
    <w:rsid w:val="00D817B1"/>
    <w:rsid w:val="00DC5002"/>
    <w:rsid w:val="00E53A19"/>
    <w:rsid w:val="00ED40FB"/>
    <w:rsid w:val="00ED65C8"/>
    <w:rsid w:val="00F04697"/>
    <w:rsid w:val="00F624D1"/>
    <w:rsid w:val="00FA0ACF"/>
    <w:rsid w:val="00FA294A"/>
    <w:rsid w:val="00FC0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A8153"/>
  <w15:docId w15:val="{7E2DFE03-DB86-584F-B8D4-C01126728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zh-CN"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E5B"/>
  </w:style>
  <w:style w:type="paragraph" w:styleId="Heading1">
    <w:name w:val="heading 1"/>
    <w:basedOn w:val="Normal"/>
    <w:next w:val="Normal"/>
    <w:link w:val="Heading1Char"/>
    <w:uiPriority w:val="9"/>
    <w:qFormat/>
    <w:rsid w:val="007900F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link w:val="Heading3Char"/>
    <w:uiPriority w:val="9"/>
    <w:semiHidden/>
    <w:unhideWhenUsed/>
    <w:qFormat/>
    <w:rsid w:val="00CA33A3"/>
    <w:pPr>
      <w:spacing w:before="100" w:beforeAutospacing="1" w:after="100" w:afterAutospacing="1"/>
      <w:outlineLvl w:val="2"/>
    </w:pPr>
    <w:rPr>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aseText">
    <w:name w:val="Base_Text"/>
    <w:rsid w:val="009A3899"/>
    <w:pPr>
      <w:spacing w:before="120"/>
    </w:pPr>
  </w:style>
  <w:style w:type="paragraph" w:customStyle="1" w:styleId="1stparatext">
    <w:name w:val="1st para text"/>
    <w:basedOn w:val="BaseText"/>
    <w:rsid w:val="009A3899"/>
  </w:style>
  <w:style w:type="paragraph" w:customStyle="1" w:styleId="BaseHeading">
    <w:name w:val="Base_Heading"/>
    <w:link w:val="BaseHeadingChar"/>
    <w:rsid w:val="009A3899"/>
    <w:pPr>
      <w:keepNext/>
      <w:spacing w:before="240"/>
      <w:outlineLvl w:val="0"/>
    </w:pPr>
    <w:rPr>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basedOn w:val="aubase"/>
    <w:rsid w:val="009A3899"/>
    <w:rPr>
      <w:sz w:val="24"/>
      <w:bdr w:val="none" w:sz="0" w:space="0" w:color="auto"/>
      <w:shd w:val="clear" w:color="auto" w:fill="C0C0C0"/>
    </w:rPr>
  </w:style>
  <w:style w:type="character" w:customStyle="1" w:styleId="audeg">
    <w:name w:val="au_deg"/>
    <w:basedOn w:val="DefaultParagraphFont"/>
    <w:rsid w:val="009A3899"/>
    <w:rPr>
      <w:sz w:val="24"/>
      <w:bdr w:val="none" w:sz="0" w:space="0" w:color="auto"/>
      <w:shd w:val="clear" w:color="auto" w:fill="FFFF00"/>
    </w:rPr>
  </w:style>
  <w:style w:type="character" w:customStyle="1" w:styleId="aufname">
    <w:name w:val="au_fname"/>
    <w:basedOn w:val="aubase"/>
    <w:rsid w:val="009A3899"/>
    <w:rPr>
      <w:sz w:val="24"/>
      <w:bdr w:val="none" w:sz="0" w:space="0" w:color="auto"/>
      <w:shd w:val="clear" w:color="auto" w:fill="00FFFF"/>
    </w:rPr>
  </w:style>
  <w:style w:type="character" w:customStyle="1" w:styleId="aurole">
    <w:name w:val="au_role"/>
    <w:basedOn w:val="aubase"/>
    <w:rsid w:val="009A3899"/>
    <w:rPr>
      <w:sz w:val="24"/>
      <w:bdr w:val="none" w:sz="0" w:space="0" w:color="auto"/>
      <w:shd w:val="clear" w:color="auto" w:fill="808000"/>
    </w:rPr>
  </w:style>
  <w:style w:type="character" w:customStyle="1" w:styleId="ausuffix">
    <w:name w:val="au_suffix"/>
    <w:basedOn w:val="aubase"/>
    <w:rsid w:val="009A3899"/>
    <w:rPr>
      <w:sz w:val="24"/>
      <w:bdr w:val="none" w:sz="0" w:space="0" w:color="auto"/>
      <w:shd w:val="clear" w:color="auto" w:fill="FF00FF"/>
    </w:rPr>
  </w:style>
  <w:style w:type="character" w:customStyle="1" w:styleId="ausurname">
    <w:name w:val="au_surname"/>
    <w:basedOn w:val="aubas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hAnsi="Lucida Grande"/>
      <w:sz w:val="18"/>
      <w:szCs w:val="18"/>
      <w:lang w:eastAsia="en-US"/>
    </w:rPr>
  </w:style>
  <w:style w:type="character" w:customStyle="1" w:styleId="BalloonTextChar">
    <w:name w:val="Balloon Text Char"/>
    <w:basedOn w:val="DefaultParagraphFont"/>
    <w:link w:val="BalloonText"/>
    <w:semiHidden/>
    <w:rsid w:val="009A3899"/>
    <w:rPr>
      <w:rFonts w:ascii="Lucida Grande" w:eastAsia="Times New Roman" w:hAnsi="Lucida Grande"/>
      <w:sz w:val="18"/>
      <w:szCs w:val="18"/>
    </w:rPr>
  </w:style>
  <w:style w:type="character" w:customStyle="1" w:styleId="bibarticle">
    <w:name w:val="bib_article"/>
    <w:basedOn w:val="DefaultParagraphFont"/>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basedOn w:val="bibbase"/>
    <w:rsid w:val="009A3899"/>
    <w:rPr>
      <w:sz w:val="24"/>
      <w:bdr w:val="none" w:sz="0" w:space="0" w:color="auto"/>
      <w:shd w:val="clear" w:color="auto" w:fill="00FF00"/>
    </w:rPr>
  </w:style>
  <w:style w:type="character" w:customStyle="1" w:styleId="bibetal">
    <w:name w:val="bib_etal"/>
    <w:basedOn w:val="bibbase"/>
    <w:rsid w:val="009A3899"/>
    <w:rPr>
      <w:sz w:val="24"/>
      <w:bdr w:val="none" w:sz="0" w:space="0" w:color="auto"/>
      <w:shd w:val="clear" w:color="auto" w:fill="008080"/>
    </w:rPr>
  </w:style>
  <w:style w:type="character" w:customStyle="1" w:styleId="bibfname">
    <w:name w:val="bib_fname"/>
    <w:basedOn w:val="bibbase"/>
    <w:rsid w:val="009A3899"/>
    <w:rPr>
      <w:sz w:val="24"/>
      <w:bdr w:val="none" w:sz="0" w:space="0" w:color="auto"/>
      <w:shd w:val="clear" w:color="auto" w:fill="FFFF00"/>
    </w:rPr>
  </w:style>
  <w:style w:type="character" w:customStyle="1" w:styleId="bibfpage">
    <w:name w:val="bib_fpage"/>
    <w:basedOn w:val="bibbase"/>
    <w:rsid w:val="009A3899"/>
    <w:rPr>
      <w:sz w:val="24"/>
      <w:bdr w:val="none" w:sz="0" w:space="0" w:color="auto"/>
      <w:shd w:val="clear" w:color="auto" w:fill="808080"/>
    </w:rPr>
  </w:style>
  <w:style w:type="character" w:customStyle="1" w:styleId="bibissue">
    <w:name w:val="bib_issue"/>
    <w:basedOn w:val="bibbase"/>
    <w:rsid w:val="009A3899"/>
    <w:rPr>
      <w:sz w:val="24"/>
      <w:bdr w:val="none" w:sz="0" w:space="0" w:color="auto"/>
      <w:shd w:val="clear" w:color="auto" w:fill="FFFF00"/>
    </w:rPr>
  </w:style>
  <w:style w:type="character" w:customStyle="1" w:styleId="bibjournal">
    <w:name w:val="bib_journal"/>
    <w:basedOn w:val="bibbase"/>
    <w:rsid w:val="009A3899"/>
    <w:rPr>
      <w:sz w:val="24"/>
      <w:bdr w:val="none" w:sz="0" w:space="0" w:color="auto"/>
      <w:shd w:val="clear" w:color="auto" w:fill="808000"/>
    </w:rPr>
  </w:style>
  <w:style w:type="character" w:customStyle="1" w:styleId="biblpage">
    <w:name w:val="bib_lpage"/>
    <w:basedOn w:val="bibbas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basedOn w:val="bibbase"/>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basedOn w:val="bibbase"/>
    <w:rsid w:val="009A3899"/>
    <w:rPr>
      <w:sz w:val="24"/>
      <w:bdr w:val="none" w:sz="0" w:space="0" w:color="auto"/>
      <w:shd w:val="clear" w:color="auto" w:fill="FFFF00"/>
    </w:rPr>
  </w:style>
  <w:style w:type="character" w:customStyle="1" w:styleId="bibsurname">
    <w:name w:val="bib_surname"/>
    <w:basedOn w:val="bibbas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basedOn w:val="bibbase"/>
    <w:rsid w:val="009A3899"/>
    <w:rPr>
      <w:sz w:val="24"/>
      <w:bdr w:val="none" w:sz="0" w:space="0" w:color="auto"/>
      <w:shd w:val="clear" w:color="auto" w:fill="00FF00"/>
    </w:rPr>
  </w:style>
  <w:style w:type="character" w:customStyle="1" w:styleId="bibvolume">
    <w:name w:val="bib_volume"/>
    <w:basedOn w:val="bibbase"/>
    <w:rsid w:val="009A3899"/>
    <w:rPr>
      <w:sz w:val="24"/>
      <w:bdr w:val="none" w:sz="0" w:space="0" w:color="auto"/>
      <w:shd w:val="clear" w:color="auto" w:fill="00FF00"/>
    </w:rPr>
  </w:style>
  <w:style w:type="character" w:customStyle="1" w:styleId="bibyear">
    <w:name w:val="bib_year"/>
    <w:basedOn w:val="bibbase"/>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basedOn w:val="DefaultParagraphFont"/>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basedOn w:val="citebase"/>
    <w:rsid w:val="009A3899"/>
    <w:rPr>
      <w:sz w:val="24"/>
      <w:shd w:val="clear" w:color="auto" w:fill="FFFF00"/>
      <w:vertAlign w:val="superscript"/>
    </w:rPr>
  </w:style>
  <w:style w:type="character" w:customStyle="1" w:styleId="citeeq">
    <w:name w:val="cite_eq"/>
    <w:basedOn w:val="citebase"/>
    <w:rsid w:val="009A3899"/>
    <w:rPr>
      <w:sz w:val="24"/>
      <w:bdr w:val="none" w:sz="0" w:space="0" w:color="auto"/>
      <w:shd w:val="clear" w:color="auto" w:fill="FF99CC"/>
    </w:rPr>
  </w:style>
  <w:style w:type="character" w:customStyle="1" w:styleId="citefig">
    <w:name w:val="cite_fig"/>
    <w:basedOn w:val="citebase"/>
    <w:rsid w:val="009A3899"/>
    <w:rPr>
      <w:color w:val="000000"/>
      <w:sz w:val="24"/>
      <w:bdr w:val="none" w:sz="0" w:space="0" w:color="auto"/>
      <w:shd w:val="clear" w:color="auto" w:fill="00FF00"/>
    </w:rPr>
  </w:style>
  <w:style w:type="character" w:customStyle="1" w:styleId="citefn">
    <w:name w:val="cite_fn"/>
    <w:basedOn w:val="citebase"/>
    <w:rsid w:val="009A3899"/>
    <w:rPr>
      <w:sz w:val="24"/>
      <w:bdr w:val="none" w:sz="0" w:space="0" w:color="auto"/>
      <w:shd w:val="clear" w:color="auto" w:fill="FF0000"/>
    </w:rPr>
  </w:style>
  <w:style w:type="character" w:customStyle="1" w:styleId="citetbl">
    <w:name w:val="cite_tbl"/>
    <w:basedOn w:val="citebase"/>
    <w:rsid w:val="009A3899"/>
    <w:rPr>
      <w:color w:val="000000"/>
      <w:sz w:val="24"/>
      <w:bdr w:val="none" w:sz="0" w:space="0" w:color="auto"/>
      <w:shd w:val="clear" w:color="auto" w:fill="FF00FF"/>
    </w:rPr>
  </w:style>
  <w:style w:type="character" w:styleId="CommentReference">
    <w:name w:val="annotation reference"/>
    <w:basedOn w:val="DefaultParagraphFont"/>
    <w:rsid w:val="009A3899"/>
    <w:rPr>
      <w:sz w:val="18"/>
      <w:szCs w:val="18"/>
    </w:rPr>
  </w:style>
  <w:style w:type="paragraph" w:styleId="CommentText">
    <w:name w:val="annotation text"/>
    <w:basedOn w:val="Normal"/>
    <w:link w:val="CommentTextChar"/>
    <w:semiHidden/>
    <w:rsid w:val="009A3899"/>
    <w:rPr>
      <w:sz w:val="20"/>
      <w:szCs w:val="20"/>
      <w:lang w:eastAsia="en-US"/>
    </w:rPr>
  </w:style>
  <w:style w:type="character" w:customStyle="1" w:styleId="CommentTextChar">
    <w:name w:val="Comment Text Char"/>
    <w:basedOn w:val="DefaultParagraphFont"/>
    <w:link w:val="CommentText"/>
    <w:semiHidden/>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basedOn w:val="CommentText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basedOn w:val="DefaultParagraphFont"/>
    <w:rsid w:val="009A3899"/>
    <w:rPr>
      <w:sz w:val="24"/>
      <w:szCs w:val="24"/>
      <w:bdr w:val="none" w:sz="0" w:space="0" w:color="auto"/>
      <w:shd w:val="clear" w:color="auto" w:fill="CCFFCC"/>
    </w:rPr>
  </w:style>
  <w:style w:type="character" w:customStyle="1" w:styleId="ContractSponsor">
    <w:name w:val="Contract Sponsor"/>
    <w:basedOn w:val="DefaultParagraphFont"/>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basedOn w:val="DefaultParagraphFont"/>
    <w:uiPriority w:val="20"/>
    <w:qFormat/>
    <w:rsid w:val="009A3899"/>
    <w:rPr>
      <w:i/>
      <w:iCs/>
    </w:rPr>
  </w:style>
  <w:style w:type="character" w:styleId="EndnoteReference">
    <w:name w:val="endnote reference"/>
    <w:basedOn w:val="DefaultParagraphFont"/>
    <w:semiHidden/>
    <w:rsid w:val="009A3899"/>
    <w:rPr>
      <w:vertAlign w:val="superscript"/>
    </w:rPr>
  </w:style>
  <w:style w:type="paragraph" w:styleId="EndnoteText">
    <w:name w:val="endnote text"/>
    <w:basedOn w:val="Normal"/>
    <w:link w:val="EndnoteTextChar"/>
    <w:semiHidden/>
    <w:rsid w:val="009A3899"/>
    <w:rPr>
      <w:rFonts w:ascii="Cambria" w:eastAsia="Cambria" w:hAnsi="Cambria"/>
      <w:sz w:val="20"/>
      <w:szCs w:val="20"/>
      <w:lang w:eastAsia="en-US"/>
    </w:rPr>
  </w:style>
  <w:style w:type="character" w:customStyle="1" w:styleId="EndnoteTextChar">
    <w:name w:val="Endnote Text Char"/>
    <w:basedOn w:val="DefaultParagraphFont"/>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link w:val="LegendChar"/>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basedOn w:val="DefaultParagraphFont"/>
    <w:rsid w:val="009A3899"/>
    <w:rPr>
      <w:color w:val="800080"/>
      <w:u w:val="single"/>
    </w:rPr>
  </w:style>
  <w:style w:type="paragraph" w:styleId="Footer">
    <w:name w:val="footer"/>
    <w:basedOn w:val="Normal"/>
    <w:link w:val="FooterChar"/>
    <w:uiPriority w:val="99"/>
    <w:rsid w:val="009A3899"/>
    <w:pPr>
      <w:tabs>
        <w:tab w:val="center" w:pos="4320"/>
        <w:tab w:val="right" w:pos="8640"/>
      </w:tabs>
    </w:pPr>
    <w:rPr>
      <w:sz w:val="20"/>
      <w:szCs w:val="20"/>
      <w:lang w:eastAsia="en-US"/>
    </w:rPr>
  </w:style>
  <w:style w:type="character" w:customStyle="1" w:styleId="FooterChar">
    <w:name w:val="Footer Char"/>
    <w:basedOn w:val="DefaultParagraphFont"/>
    <w:link w:val="Footer"/>
    <w:uiPriority w:val="99"/>
    <w:rsid w:val="009A3899"/>
    <w:rPr>
      <w:rFonts w:ascii="Times New Roman" w:eastAsia="Times New Roman" w:hAnsi="Times New Roman"/>
      <w:sz w:val="20"/>
      <w:szCs w:val="20"/>
    </w:rPr>
  </w:style>
  <w:style w:type="character" w:styleId="FootnoteReference">
    <w:name w:val="footnote reference"/>
    <w:basedOn w:val="DefaultParagraphFont"/>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sz w:val="20"/>
      <w:szCs w:val="20"/>
      <w:lang w:eastAsia="en-US"/>
    </w:rPr>
  </w:style>
  <w:style w:type="character" w:customStyle="1" w:styleId="HeaderChar">
    <w:name w:val="Header Char"/>
    <w:basedOn w:val="DefaultParagraphFont"/>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basedOn w:val="DefaultParagraphFont"/>
    <w:rsid w:val="009A3899"/>
    <w:rPr>
      <w:i/>
      <w:iCs/>
    </w:rPr>
  </w:style>
  <w:style w:type="character" w:styleId="HTMLCode">
    <w:name w:val="HTML Code"/>
    <w:basedOn w:val="DefaultParagraphFont"/>
    <w:rsid w:val="009A3899"/>
    <w:rPr>
      <w:rFonts w:ascii="Courier New" w:hAnsi="Courier New" w:cs="Courier New"/>
      <w:sz w:val="20"/>
      <w:szCs w:val="20"/>
    </w:rPr>
  </w:style>
  <w:style w:type="character" w:styleId="HTMLDefinition">
    <w:name w:val="HTML Definition"/>
    <w:basedOn w:val="DefaultParagraphFont"/>
    <w:rsid w:val="009A3899"/>
    <w:rPr>
      <w:i/>
      <w:iCs/>
    </w:rPr>
  </w:style>
  <w:style w:type="character" w:styleId="HTMLKeyboard">
    <w:name w:val="HTML Keyboard"/>
    <w:basedOn w:val="DefaultParagraphFont"/>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hAnsi="Consolas"/>
      <w:sz w:val="20"/>
      <w:szCs w:val="20"/>
      <w:lang w:eastAsia="en-US"/>
    </w:rPr>
  </w:style>
  <w:style w:type="character" w:customStyle="1" w:styleId="HTMLPreformattedChar">
    <w:name w:val="HTML Preformatted Char"/>
    <w:basedOn w:val="DefaultParagraphFont"/>
    <w:link w:val="HTMLPreformatted"/>
    <w:rsid w:val="009A3899"/>
    <w:rPr>
      <w:rFonts w:ascii="Consolas" w:eastAsia="Times New Roman" w:hAnsi="Consolas"/>
      <w:sz w:val="20"/>
      <w:szCs w:val="20"/>
    </w:rPr>
  </w:style>
  <w:style w:type="character" w:styleId="HTMLSample">
    <w:name w:val="HTML Sample"/>
    <w:basedOn w:val="DefaultParagraphFont"/>
    <w:rsid w:val="009A3899"/>
    <w:rPr>
      <w:rFonts w:ascii="Courier New" w:hAnsi="Courier New" w:cs="Courier New"/>
    </w:rPr>
  </w:style>
  <w:style w:type="character" w:styleId="HTMLTypewriter">
    <w:name w:val="HTML Typewriter"/>
    <w:basedOn w:val="DefaultParagraphFont"/>
    <w:rsid w:val="009A3899"/>
    <w:rPr>
      <w:rFonts w:ascii="Courier New" w:hAnsi="Courier New" w:cs="Courier New"/>
      <w:sz w:val="20"/>
      <w:szCs w:val="20"/>
    </w:rPr>
  </w:style>
  <w:style w:type="character" w:styleId="HTMLVariable">
    <w:name w:val="HTML Variable"/>
    <w:basedOn w:val="DefaultParagraphFont"/>
    <w:rsid w:val="009A3899"/>
    <w:rPr>
      <w:i/>
      <w:iCs/>
    </w:rPr>
  </w:style>
  <w:style w:type="character" w:styleId="Hyperlink">
    <w:name w:val="Hyperlink"/>
    <w:basedOn w:val="DefaultParagraphFont"/>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basedOn w:val="DefaultParagraphFont"/>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hAnsi="BlissRegular"/>
      <w:b/>
      <w:sz w:val="20"/>
      <w:szCs w:val="20"/>
      <w:lang w:eastAsia="en-US"/>
    </w:rPr>
  </w:style>
  <w:style w:type="paragraph" w:customStyle="1" w:styleId="SX-Affiliation">
    <w:name w:val="SX-Affiliation"/>
    <w:basedOn w:val="Normal"/>
    <w:next w:val="Normal"/>
    <w:qFormat/>
    <w:rsid w:val="009A3899"/>
    <w:pPr>
      <w:spacing w:after="160" w:line="190" w:lineRule="exact"/>
    </w:pPr>
    <w:rPr>
      <w:rFonts w:ascii="BlissRegular" w:hAnsi="BlissRegular"/>
      <w:sz w:val="16"/>
      <w:szCs w:val="20"/>
      <w:lang w:eastAsia="en-US"/>
    </w:rPr>
  </w:style>
  <w:style w:type="paragraph" w:customStyle="1" w:styleId="SX-Articlehead">
    <w:name w:val="SX-Article head"/>
    <w:basedOn w:val="Normal"/>
    <w:qFormat/>
    <w:rsid w:val="009A3899"/>
    <w:pPr>
      <w:spacing w:before="210" w:line="210" w:lineRule="exact"/>
      <w:ind w:firstLine="288"/>
      <w:jc w:val="both"/>
    </w:pPr>
    <w:rPr>
      <w:b/>
      <w:sz w:val="18"/>
      <w:szCs w:val="20"/>
      <w:lang w:eastAsia="en-US"/>
    </w:rPr>
  </w:style>
  <w:style w:type="paragraph" w:customStyle="1" w:styleId="SX-Authornames">
    <w:name w:val="SX-Author names"/>
    <w:basedOn w:val="Normal"/>
    <w:rsid w:val="009A3899"/>
    <w:pPr>
      <w:spacing w:after="120" w:line="210" w:lineRule="exact"/>
    </w:pPr>
    <w:rPr>
      <w:rFonts w:ascii="BlissMedium" w:hAnsi="BlissMedium"/>
      <w:sz w:val="20"/>
      <w:szCs w:val="20"/>
      <w:lang w:eastAsia="en-US"/>
    </w:rPr>
  </w:style>
  <w:style w:type="paragraph" w:customStyle="1" w:styleId="SX-Bodytext">
    <w:name w:val="SX-Body text"/>
    <w:basedOn w:val="Normal"/>
    <w:next w:val="Normal"/>
    <w:rsid w:val="009A3899"/>
    <w:pPr>
      <w:spacing w:line="210" w:lineRule="exact"/>
      <w:ind w:firstLine="288"/>
      <w:jc w:val="both"/>
    </w:pPr>
    <w:rPr>
      <w:sz w:val="18"/>
      <w:szCs w:val="20"/>
      <w:lang w:eastAsia="en-US"/>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sz w:val="16"/>
      <w:szCs w:val="20"/>
      <w:lang w:eastAsia="en-US"/>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sz w:val="16"/>
      <w:szCs w:val="20"/>
      <w:lang w:eastAsia="en-US"/>
    </w:rPr>
  </w:style>
  <w:style w:type="paragraph" w:customStyle="1" w:styleId="SX-RefHead">
    <w:name w:val="SX-RefHead"/>
    <w:basedOn w:val="Normal"/>
    <w:rsid w:val="009A3899"/>
    <w:pPr>
      <w:spacing w:before="200" w:line="190" w:lineRule="exact"/>
    </w:pPr>
    <w:rPr>
      <w:b/>
      <w:sz w:val="16"/>
      <w:szCs w:val="20"/>
      <w:lang w:eastAsia="en-US"/>
    </w:rPr>
  </w:style>
  <w:style w:type="character" w:customStyle="1" w:styleId="SX-reflink">
    <w:name w:val="SX-reflink"/>
    <w:basedOn w:val="DefaultParagraphFont"/>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sz w:val="20"/>
      <w:lang w:eastAsia="en-US"/>
    </w:rPr>
  </w:style>
  <w:style w:type="paragraph" w:customStyle="1" w:styleId="SX-Tablelegend">
    <w:name w:val="SX-Tablelegend"/>
    <w:basedOn w:val="Normal"/>
    <w:qFormat/>
    <w:rsid w:val="009A3899"/>
    <w:pPr>
      <w:spacing w:line="190" w:lineRule="exact"/>
      <w:ind w:left="245" w:hanging="245"/>
      <w:jc w:val="both"/>
    </w:pPr>
    <w:rPr>
      <w:sz w:val="16"/>
      <w:szCs w:val="20"/>
      <w:lang w:eastAsia="en-US"/>
    </w:rPr>
  </w:style>
  <w:style w:type="paragraph" w:customStyle="1" w:styleId="SX-Tabletext">
    <w:name w:val="SX-Tabletext"/>
    <w:basedOn w:val="Normal"/>
    <w:qFormat/>
    <w:rsid w:val="009A3899"/>
    <w:pPr>
      <w:spacing w:line="210" w:lineRule="exact"/>
      <w:jc w:val="center"/>
    </w:pPr>
    <w:rPr>
      <w:sz w:val="18"/>
      <w:szCs w:val="20"/>
      <w:lang w:eastAsia="en-US"/>
    </w:rPr>
  </w:style>
  <w:style w:type="paragraph" w:customStyle="1" w:styleId="SX-Tabletitle">
    <w:name w:val="SX-Tabletitle"/>
    <w:basedOn w:val="Normal"/>
    <w:qFormat/>
    <w:rsid w:val="009A3899"/>
    <w:pPr>
      <w:spacing w:after="120" w:line="210" w:lineRule="exact"/>
      <w:jc w:val="both"/>
    </w:pPr>
    <w:rPr>
      <w:rFonts w:ascii="BlissMedium" w:hAnsi="BlissMedium"/>
      <w:sz w:val="18"/>
      <w:szCs w:val="20"/>
      <w:lang w:eastAsia="en-US"/>
    </w:rPr>
  </w:style>
  <w:style w:type="paragraph" w:customStyle="1" w:styleId="SX-Title">
    <w:name w:val="SX-Title"/>
    <w:basedOn w:val="Normal"/>
    <w:rsid w:val="009A3899"/>
    <w:pPr>
      <w:spacing w:after="240" w:line="500" w:lineRule="exact"/>
    </w:pPr>
    <w:rPr>
      <w:rFonts w:ascii="BlissBold" w:hAnsi="BlissBold"/>
      <w:b/>
      <w:sz w:val="44"/>
      <w:szCs w:val="20"/>
      <w:lang w:eastAsia="en-US"/>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hAnsi="BlissRegular"/>
      <w:sz w:val="19"/>
      <w:szCs w:val="20"/>
      <w:lang w:eastAsia="en-US"/>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styleId="UnresolvedMention">
    <w:name w:val="Unresolved Mention"/>
    <w:basedOn w:val="DefaultParagraphFont"/>
    <w:uiPriority w:val="99"/>
    <w:semiHidden/>
    <w:unhideWhenUsed/>
    <w:rsid w:val="00F26AF7"/>
    <w:rPr>
      <w:color w:val="808080"/>
      <w:shd w:val="clear" w:color="auto" w:fill="E6E6E6"/>
    </w:rPr>
  </w:style>
  <w:style w:type="paragraph" w:customStyle="1" w:styleId="acknowledgement0">
    <w:name w:val="acknowledgement"/>
    <w:basedOn w:val="Normal"/>
    <w:rsid w:val="009A6B8F"/>
    <w:pPr>
      <w:spacing w:before="100" w:beforeAutospacing="1" w:after="100" w:afterAutospacing="1"/>
    </w:pPr>
    <w:rPr>
      <w:lang w:eastAsia="en-US"/>
    </w:rPr>
  </w:style>
  <w:style w:type="character" w:customStyle="1" w:styleId="apple-converted-space">
    <w:name w:val="apple-converted-space"/>
    <w:basedOn w:val="DefaultParagraphFont"/>
    <w:rsid w:val="009A6B8F"/>
  </w:style>
  <w:style w:type="character" w:customStyle="1" w:styleId="Heading3Char">
    <w:name w:val="Heading 3 Char"/>
    <w:basedOn w:val="DefaultParagraphFont"/>
    <w:link w:val="Heading3"/>
    <w:uiPriority w:val="9"/>
    <w:rsid w:val="00CA33A3"/>
    <w:rPr>
      <w:rFonts w:eastAsia="Times New Roman"/>
      <w:b/>
      <w:bCs/>
      <w:sz w:val="27"/>
      <w:szCs w:val="27"/>
      <w:lang w:eastAsia="zh-CN"/>
    </w:rPr>
  </w:style>
  <w:style w:type="character" w:customStyle="1" w:styleId="mw-headline">
    <w:name w:val="mw-headline"/>
    <w:basedOn w:val="DefaultParagraphFont"/>
    <w:rsid w:val="00CA33A3"/>
  </w:style>
  <w:style w:type="table" w:styleId="TableGrid">
    <w:name w:val="Table Grid"/>
    <w:basedOn w:val="TableNormal"/>
    <w:uiPriority w:val="59"/>
    <w:rsid w:val="00BA26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A268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695188"/>
    <w:pPr>
      <w:spacing w:before="100" w:beforeAutospacing="1" w:after="100" w:afterAutospacing="1"/>
    </w:pPr>
  </w:style>
  <w:style w:type="character" w:customStyle="1" w:styleId="Heading1Char">
    <w:name w:val="Heading 1 Char"/>
    <w:basedOn w:val="DefaultParagraphFont"/>
    <w:link w:val="Heading1"/>
    <w:uiPriority w:val="9"/>
    <w:rsid w:val="007900FF"/>
    <w:rPr>
      <w:rFonts w:asciiTheme="majorHAnsi" w:eastAsiaTheme="majorEastAsia" w:hAnsiTheme="majorHAnsi" w:cstheme="majorBidi"/>
      <w:color w:val="365F91" w:themeColor="accent1" w:themeShade="BF"/>
      <w:sz w:val="32"/>
      <w:szCs w:val="32"/>
      <w:lang w:eastAsia="zh-CN"/>
    </w:rPr>
  </w:style>
  <w:style w:type="character" w:styleId="PlaceholderText">
    <w:name w:val="Placeholder Text"/>
    <w:basedOn w:val="DefaultParagraphFont"/>
    <w:uiPriority w:val="99"/>
    <w:unhideWhenUsed/>
    <w:rsid w:val="00637C22"/>
    <w:rPr>
      <w:color w:val="808080"/>
    </w:rPr>
  </w:style>
  <w:style w:type="paragraph" w:styleId="Date">
    <w:name w:val="Date"/>
    <w:basedOn w:val="Normal"/>
    <w:next w:val="Normal"/>
    <w:link w:val="DateChar"/>
    <w:uiPriority w:val="99"/>
    <w:semiHidden/>
    <w:unhideWhenUsed/>
    <w:rsid w:val="002E0E7D"/>
  </w:style>
  <w:style w:type="character" w:customStyle="1" w:styleId="DateChar">
    <w:name w:val="Date Char"/>
    <w:basedOn w:val="DefaultParagraphFont"/>
    <w:link w:val="Date"/>
    <w:uiPriority w:val="99"/>
    <w:semiHidden/>
    <w:rsid w:val="002E0E7D"/>
    <w:rPr>
      <w:rFonts w:eastAsia="Times New Roman"/>
      <w:sz w:val="24"/>
      <w:szCs w:val="24"/>
      <w:lang w:eastAsia="zh-CN"/>
    </w:rPr>
  </w:style>
  <w:style w:type="paragraph" w:customStyle="1" w:styleId="p1">
    <w:name w:val="p1"/>
    <w:basedOn w:val="Normal"/>
    <w:rsid w:val="00D0493D"/>
    <w:pPr>
      <w:spacing w:line="240" w:lineRule="auto"/>
    </w:pPr>
    <w:rPr>
      <w:rFonts w:ascii="Helvetica" w:eastAsia="DengXian" w:hAnsi="Helvetica"/>
      <w:sz w:val="18"/>
      <w:szCs w:val="18"/>
    </w:rPr>
  </w:style>
  <w:style w:type="paragraph" w:styleId="ListParagraph">
    <w:name w:val="List Paragraph"/>
    <w:basedOn w:val="Normal"/>
    <w:uiPriority w:val="34"/>
    <w:qFormat/>
    <w:rsid w:val="00653CBD"/>
    <w:pPr>
      <w:spacing w:line="240" w:lineRule="auto"/>
      <w:ind w:left="720"/>
      <w:contextualSpacing/>
    </w:pPr>
    <w:rPr>
      <w:lang w:eastAsia="en-US"/>
    </w:rPr>
  </w:style>
  <w:style w:type="paragraph" w:customStyle="1" w:styleId="EndNoteBibliographyTitle">
    <w:name w:val="EndNote Bibliography Title"/>
    <w:basedOn w:val="Normal"/>
    <w:link w:val="EndNoteBibliographyTitleChar"/>
    <w:rsid w:val="00D0437F"/>
    <w:pPr>
      <w:jc w:val="center"/>
    </w:pPr>
  </w:style>
  <w:style w:type="character" w:customStyle="1" w:styleId="BaseHeadingChar">
    <w:name w:val="Base_Heading Char"/>
    <w:basedOn w:val="DefaultParagraphFont"/>
    <w:link w:val="BaseHeading"/>
    <w:rsid w:val="00D0437F"/>
    <w:rPr>
      <w:rFonts w:eastAsia="Times New Roman"/>
      <w:kern w:val="28"/>
      <w:sz w:val="28"/>
      <w:szCs w:val="28"/>
    </w:rPr>
  </w:style>
  <w:style w:type="character" w:customStyle="1" w:styleId="LegendChar">
    <w:name w:val="Legend Char"/>
    <w:basedOn w:val="BaseHeadingChar"/>
    <w:link w:val="Legend"/>
    <w:rsid w:val="00D0437F"/>
    <w:rPr>
      <w:rFonts w:eastAsia="Times New Roman"/>
      <w:kern w:val="28"/>
      <w:sz w:val="24"/>
      <w:szCs w:val="24"/>
    </w:rPr>
  </w:style>
  <w:style w:type="character" w:customStyle="1" w:styleId="EndNoteBibliographyTitleChar">
    <w:name w:val="EndNote Bibliography Title Char"/>
    <w:basedOn w:val="LegendChar"/>
    <w:link w:val="EndNoteBibliographyTitle"/>
    <w:rsid w:val="00D0437F"/>
    <w:rPr>
      <w:rFonts w:eastAsia="Times New Roman"/>
      <w:kern w:val="28"/>
      <w:sz w:val="24"/>
      <w:szCs w:val="24"/>
    </w:rPr>
  </w:style>
  <w:style w:type="paragraph" w:customStyle="1" w:styleId="EndNoteBibliography">
    <w:name w:val="EndNote Bibliography"/>
    <w:basedOn w:val="Normal"/>
    <w:link w:val="EndNoteBibliographyChar"/>
    <w:rsid w:val="00D0437F"/>
    <w:pPr>
      <w:spacing w:line="240" w:lineRule="auto"/>
      <w:jc w:val="center"/>
    </w:pPr>
  </w:style>
  <w:style w:type="character" w:customStyle="1" w:styleId="EndNoteBibliographyChar">
    <w:name w:val="EndNote Bibliography Char"/>
    <w:basedOn w:val="LegendChar"/>
    <w:link w:val="EndNoteBibliography"/>
    <w:rsid w:val="00D0437F"/>
    <w:rPr>
      <w:rFonts w:eastAsia="Times New Roman"/>
      <w:kern w:val="28"/>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footer" Target="footer3.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footer" Target="footer2.xm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YCoSY/E19OmKEsXXMtzF9Dvr1A==">AMUW2mUf8TVGX26m50js4rWfMh9NRr/x1RSSJOiNERYrMtqXQkevElgHMTYt4KQnN7RjR9YPmOUi/Yh/ajcZByBCTqTHbnsYT4tqbqiGdwGnNw9zgChH2XkiKZRrnPlQcrFdNS7GJFjejdg+rKMp/HNscaUt1Fj6R3wZCXJJaK2poolI34RTX45c4NnqcXlnszzXqeTrvqwa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22</Pages>
  <Words>4042</Words>
  <Characters>23041</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bhanson</dc:creator>
  <cp:lastModifiedBy>Rong Cai</cp:lastModifiedBy>
  <cp:revision>8</cp:revision>
  <cp:lastPrinted>2023-03-21T15:09:00Z</cp:lastPrinted>
  <dcterms:created xsi:type="dcterms:W3CDTF">2023-03-20T20:26:00Z</dcterms:created>
  <dcterms:modified xsi:type="dcterms:W3CDTF">2023-03-21T16:46:00Z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0x010100A903C8D61E843E4D9DF578FA60DF1506</vt:lpwstr>
  </property>
</Properties>
</file>