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F918AC" w:rsidRDefault="00000000">
      <w:pPr>
        <w:pStyle w:val="Title"/>
        <w:keepNext w:val="0"/>
        <w:keepLines w:val="0"/>
        <w:spacing w:before="0" w:after="200"/>
        <w:jc w:val="center"/>
        <w:rPr>
          <w:rFonts w:ascii="Arial" w:eastAsia="Arial" w:hAnsi="Arial" w:cs="Arial"/>
          <w:b w:val="0"/>
          <w:sz w:val="44"/>
          <w:szCs w:val="44"/>
        </w:rPr>
      </w:pPr>
      <w:r>
        <w:rPr>
          <w:rFonts w:ascii="Arial" w:eastAsia="Arial" w:hAnsi="Arial" w:cs="Arial"/>
          <w:b w:val="0"/>
          <w:sz w:val="44"/>
          <w:szCs w:val="44"/>
        </w:rPr>
        <w:t>The systemic challenge of phasing out fossil finance</w:t>
      </w:r>
    </w:p>
    <w:p w14:paraId="00000002" w14:textId="77777777" w:rsidR="00F918AC" w:rsidRDefault="00F918AC">
      <w:pPr>
        <w:rPr>
          <w:rFonts w:ascii="Arial" w:eastAsia="Arial" w:hAnsi="Arial" w:cs="Arial"/>
        </w:rPr>
      </w:pPr>
    </w:p>
    <w:p w14:paraId="00000003" w14:textId="77777777" w:rsidR="00F918AC" w:rsidRDefault="00000000">
      <w:pPr>
        <w:jc w:val="center"/>
        <w:rPr>
          <w:rFonts w:ascii="Arial" w:eastAsia="Arial" w:hAnsi="Arial" w:cs="Arial"/>
          <w:sz w:val="44"/>
          <w:szCs w:val="44"/>
        </w:rPr>
      </w:pPr>
      <w:r>
        <w:rPr>
          <w:rFonts w:ascii="Arial" w:eastAsia="Arial" w:hAnsi="Arial" w:cs="Arial"/>
          <w:sz w:val="44"/>
          <w:szCs w:val="44"/>
        </w:rPr>
        <w:t>Supplementary Information</w:t>
      </w:r>
    </w:p>
    <w:p w14:paraId="00000004" w14:textId="77777777" w:rsidR="00F918AC" w:rsidRDefault="00F918AC">
      <w:pPr>
        <w:pStyle w:val="Heading3"/>
        <w:spacing w:before="40" w:after="200"/>
        <w:jc w:val="center"/>
        <w:rPr>
          <w:rFonts w:ascii="Arial" w:eastAsia="Arial" w:hAnsi="Arial" w:cs="Arial"/>
          <w:b w:val="0"/>
          <w:sz w:val="22"/>
          <w:szCs w:val="22"/>
        </w:rPr>
      </w:pPr>
    </w:p>
    <w:p w14:paraId="00000005" w14:textId="77777777" w:rsidR="00F918AC" w:rsidRDefault="00000000">
      <w:pPr>
        <w:pStyle w:val="Heading3"/>
        <w:spacing w:before="40" w:after="200"/>
        <w:jc w:val="center"/>
        <w:rPr>
          <w:rFonts w:ascii="Arial" w:eastAsia="Arial" w:hAnsi="Arial" w:cs="Arial"/>
          <w:b w:val="0"/>
          <w:sz w:val="22"/>
          <w:szCs w:val="22"/>
          <w:vertAlign w:val="superscript"/>
        </w:rPr>
      </w:pPr>
      <w:r>
        <w:rPr>
          <w:rFonts w:ascii="Arial" w:eastAsia="Arial" w:hAnsi="Arial" w:cs="Arial"/>
          <w:b w:val="0"/>
          <w:sz w:val="22"/>
          <w:szCs w:val="22"/>
        </w:rPr>
        <w:t>J. Rickman</w:t>
      </w:r>
      <w:r>
        <w:rPr>
          <w:rFonts w:ascii="Arial" w:eastAsia="Arial" w:hAnsi="Arial" w:cs="Arial"/>
          <w:b w:val="0"/>
          <w:sz w:val="22"/>
          <w:szCs w:val="22"/>
          <w:vertAlign w:val="superscript"/>
        </w:rPr>
        <w:t>1</w:t>
      </w:r>
      <w:r>
        <w:rPr>
          <w:rFonts w:ascii="Arial" w:eastAsia="Arial" w:hAnsi="Arial" w:cs="Arial"/>
          <w:b w:val="0"/>
          <w:sz w:val="22"/>
          <w:szCs w:val="22"/>
        </w:rPr>
        <w:t>, M. Falkenberg</w:t>
      </w:r>
      <w:r>
        <w:rPr>
          <w:rFonts w:ascii="Arial" w:eastAsia="Arial" w:hAnsi="Arial" w:cs="Arial"/>
          <w:b w:val="0"/>
          <w:sz w:val="22"/>
          <w:szCs w:val="22"/>
          <w:vertAlign w:val="superscript"/>
        </w:rPr>
        <w:t>2</w:t>
      </w:r>
      <w:r>
        <w:rPr>
          <w:rFonts w:ascii="Arial" w:eastAsia="Arial" w:hAnsi="Arial" w:cs="Arial"/>
          <w:b w:val="0"/>
          <w:sz w:val="22"/>
          <w:szCs w:val="22"/>
        </w:rPr>
        <w:t>, S. Kothari</w:t>
      </w:r>
      <w:r>
        <w:rPr>
          <w:rFonts w:ascii="Arial" w:eastAsia="Arial" w:hAnsi="Arial" w:cs="Arial"/>
          <w:b w:val="0"/>
          <w:sz w:val="22"/>
          <w:szCs w:val="22"/>
          <w:vertAlign w:val="superscript"/>
        </w:rPr>
        <w:t>1</w:t>
      </w:r>
      <w:r>
        <w:rPr>
          <w:rFonts w:ascii="Arial" w:eastAsia="Arial" w:hAnsi="Arial" w:cs="Arial"/>
          <w:b w:val="0"/>
          <w:sz w:val="22"/>
          <w:szCs w:val="22"/>
        </w:rPr>
        <w:t>, F. Larosa</w:t>
      </w:r>
      <w:r>
        <w:rPr>
          <w:rFonts w:ascii="Arial" w:eastAsia="Arial" w:hAnsi="Arial" w:cs="Arial"/>
          <w:b w:val="0"/>
          <w:sz w:val="22"/>
          <w:szCs w:val="22"/>
          <w:vertAlign w:val="superscript"/>
        </w:rPr>
        <w:t>3</w:t>
      </w:r>
      <w:r>
        <w:rPr>
          <w:rFonts w:ascii="Arial" w:eastAsia="Arial" w:hAnsi="Arial" w:cs="Arial"/>
          <w:b w:val="0"/>
          <w:sz w:val="22"/>
          <w:szCs w:val="22"/>
        </w:rPr>
        <w:t>, M. Grubb</w:t>
      </w:r>
      <w:r>
        <w:rPr>
          <w:rFonts w:ascii="Arial" w:eastAsia="Arial" w:hAnsi="Arial" w:cs="Arial"/>
          <w:b w:val="0"/>
          <w:sz w:val="22"/>
          <w:szCs w:val="22"/>
          <w:vertAlign w:val="superscript"/>
        </w:rPr>
        <w:t>1</w:t>
      </w:r>
      <w:r>
        <w:rPr>
          <w:rFonts w:ascii="Arial" w:eastAsia="Arial" w:hAnsi="Arial" w:cs="Arial"/>
          <w:b w:val="0"/>
          <w:sz w:val="22"/>
          <w:szCs w:val="22"/>
        </w:rPr>
        <w:t>, N. Ameli</w:t>
      </w:r>
      <w:r>
        <w:rPr>
          <w:rFonts w:ascii="Arial" w:eastAsia="Arial" w:hAnsi="Arial" w:cs="Arial"/>
          <w:b w:val="0"/>
          <w:sz w:val="22"/>
          <w:szCs w:val="22"/>
          <w:vertAlign w:val="superscript"/>
        </w:rPr>
        <w:t>1</w:t>
      </w:r>
    </w:p>
    <w:p w14:paraId="00000006" w14:textId="77777777" w:rsidR="00F918AC" w:rsidRDefault="00F918AC">
      <w:pPr>
        <w:spacing w:after="200"/>
        <w:rPr>
          <w:rFonts w:ascii="Arial" w:eastAsia="Arial" w:hAnsi="Arial" w:cs="Arial"/>
          <w:color w:val="44546A"/>
          <w:sz w:val="22"/>
          <w:szCs w:val="22"/>
        </w:rPr>
      </w:pPr>
    </w:p>
    <w:p w14:paraId="00000007" w14:textId="77777777" w:rsidR="00F918AC" w:rsidRDefault="00000000">
      <w:pPr>
        <w:spacing w:after="200" w:line="276" w:lineRule="auto"/>
        <w:rPr>
          <w:rFonts w:ascii="Arial" w:eastAsia="Arial" w:hAnsi="Arial" w:cs="Arial"/>
          <w:sz w:val="22"/>
          <w:szCs w:val="22"/>
        </w:rPr>
      </w:pPr>
      <w:r>
        <w:rPr>
          <w:rFonts w:ascii="Arial" w:eastAsia="Arial" w:hAnsi="Arial" w:cs="Arial"/>
          <w:sz w:val="22"/>
          <w:szCs w:val="22"/>
          <w:vertAlign w:val="superscript"/>
        </w:rPr>
        <w:t>1</w:t>
      </w:r>
      <w:r>
        <w:rPr>
          <w:rFonts w:ascii="Arial" w:eastAsia="Arial" w:hAnsi="Arial" w:cs="Arial"/>
          <w:sz w:val="22"/>
          <w:szCs w:val="22"/>
        </w:rPr>
        <w:t>Institute for Sustainable Resources, University College London, UK</w:t>
      </w:r>
    </w:p>
    <w:p w14:paraId="00000008" w14:textId="77777777" w:rsidR="00F918AC" w:rsidRDefault="00000000">
      <w:pPr>
        <w:spacing w:after="200" w:line="276" w:lineRule="auto"/>
        <w:rPr>
          <w:rFonts w:ascii="Arial" w:eastAsia="Arial" w:hAnsi="Arial" w:cs="Arial"/>
          <w:sz w:val="22"/>
          <w:szCs w:val="22"/>
        </w:rPr>
      </w:pPr>
      <w:r>
        <w:rPr>
          <w:rFonts w:ascii="Arial" w:eastAsia="Arial" w:hAnsi="Arial" w:cs="Arial"/>
          <w:sz w:val="22"/>
          <w:szCs w:val="22"/>
          <w:vertAlign w:val="superscript"/>
        </w:rPr>
        <w:t>2</w:t>
      </w:r>
      <w:r>
        <w:rPr>
          <w:rFonts w:ascii="Arial" w:eastAsia="Arial" w:hAnsi="Arial" w:cs="Arial"/>
          <w:sz w:val="22"/>
          <w:szCs w:val="22"/>
        </w:rPr>
        <w:t xml:space="preserve"> Department of Mathematics, City University of London, London, UK</w:t>
      </w:r>
    </w:p>
    <w:p w14:paraId="00000009" w14:textId="77777777" w:rsidR="00F918AC" w:rsidRDefault="00000000">
      <w:pPr>
        <w:spacing w:after="200" w:line="276" w:lineRule="auto"/>
        <w:rPr>
          <w:rFonts w:ascii="Arial" w:eastAsia="Arial" w:hAnsi="Arial" w:cs="Arial"/>
          <w:sz w:val="22"/>
          <w:szCs w:val="22"/>
          <w:vertAlign w:val="superscript"/>
        </w:rPr>
      </w:pPr>
      <w:r>
        <w:rPr>
          <w:rFonts w:ascii="Arial" w:eastAsia="Arial" w:hAnsi="Arial" w:cs="Arial"/>
          <w:sz w:val="22"/>
          <w:szCs w:val="22"/>
          <w:vertAlign w:val="superscript"/>
        </w:rPr>
        <w:t>3</w:t>
      </w:r>
      <w:r>
        <w:rPr>
          <w:rFonts w:ascii="Arial" w:eastAsia="Arial" w:hAnsi="Arial" w:cs="Arial"/>
          <w:sz w:val="22"/>
          <w:szCs w:val="22"/>
        </w:rPr>
        <w:t xml:space="preserve"> KTH Royal Institute of Technology, Sweden</w:t>
      </w:r>
    </w:p>
    <w:p w14:paraId="0000000A" w14:textId="77777777" w:rsidR="00F918AC" w:rsidRDefault="00F918AC">
      <w:pPr>
        <w:spacing w:after="200"/>
        <w:rPr>
          <w:rFonts w:ascii="Arial" w:eastAsia="Arial" w:hAnsi="Arial" w:cs="Arial"/>
          <w:sz w:val="22"/>
          <w:szCs w:val="22"/>
        </w:rPr>
      </w:pPr>
    </w:p>
    <w:p w14:paraId="0000000B" w14:textId="77777777" w:rsidR="00F918AC" w:rsidRDefault="00000000">
      <w:pPr>
        <w:spacing w:after="200"/>
        <w:rPr>
          <w:rFonts w:ascii="Arial" w:eastAsia="Arial" w:hAnsi="Arial" w:cs="Arial"/>
          <w:sz w:val="22"/>
          <w:szCs w:val="22"/>
        </w:rPr>
      </w:pPr>
      <w:r>
        <w:rPr>
          <w:rFonts w:ascii="Arial" w:eastAsia="Arial" w:hAnsi="Arial" w:cs="Arial"/>
          <w:sz w:val="22"/>
          <w:szCs w:val="22"/>
        </w:rPr>
        <w:t xml:space="preserve">Supplementary materials containing supplementary figures, </w:t>
      </w:r>
      <w:proofErr w:type="gramStart"/>
      <w:r>
        <w:rPr>
          <w:rFonts w:ascii="Arial" w:eastAsia="Arial" w:hAnsi="Arial" w:cs="Arial"/>
          <w:sz w:val="22"/>
          <w:szCs w:val="22"/>
        </w:rPr>
        <w:t>tables</w:t>
      </w:r>
      <w:proofErr w:type="gramEnd"/>
      <w:r>
        <w:rPr>
          <w:rFonts w:ascii="Arial" w:eastAsia="Arial" w:hAnsi="Arial" w:cs="Arial"/>
          <w:sz w:val="22"/>
          <w:szCs w:val="22"/>
        </w:rPr>
        <w:t xml:space="preserve"> and methods.</w:t>
      </w:r>
    </w:p>
    <w:p w14:paraId="0000000C" w14:textId="77777777" w:rsidR="00F918AC" w:rsidRDefault="00F918AC">
      <w:pPr>
        <w:spacing w:after="200"/>
        <w:rPr>
          <w:rFonts w:ascii="Arial" w:eastAsia="Arial" w:hAnsi="Arial" w:cs="Arial"/>
          <w:sz w:val="22"/>
          <w:szCs w:val="22"/>
        </w:rPr>
      </w:pPr>
    </w:p>
    <w:p w14:paraId="0000000D" w14:textId="77777777" w:rsidR="00F918AC" w:rsidRDefault="00F918AC">
      <w:pPr>
        <w:rPr>
          <w:rFonts w:ascii="Arial" w:eastAsia="Arial" w:hAnsi="Arial" w:cs="Arial"/>
          <w:sz w:val="22"/>
          <w:szCs w:val="22"/>
        </w:rPr>
      </w:pPr>
    </w:p>
    <w:p w14:paraId="0000000E" w14:textId="77777777" w:rsidR="00F918AC" w:rsidRDefault="00F918AC">
      <w:pPr>
        <w:rPr>
          <w:rFonts w:ascii="Arial" w:eastAsia="Arial" w:hAnsi="Arial" w:cs="Arial"/>
          <w:sz w:val="22"/>
          <w:szCs w:val="22"/>
        </w:rPr>
      </w:pPr>
    </w:p>
    <w:p w14:paraId="0000000F" w14:textId="77777777" w:rsidR="00F918AC" w:rsidRDefault="00F918AC">
      <w:pPr>
        <w:rPr>
          <w:rFonts w:ascii="Arial" w:eastAsia="Arial" w:hAnsi="Arial" w:cs="Arial"/>
          <w:sz w:val="22"/>
          <w:szCs w:val="22"/>
        </w:rPr>
      </w:pPr>
    </w:p>
    <w:p w14:paraId="00000010" w14:textId="77777777" w:rsidR="00F918AC" w:rsidRDefault="00F918AC">
      <w:pPr>
        <w:rPr>
          <w:rFonts w:ascii="Arial" w:eastAsia="Arial" w:hAnsi="Arial" w:cs="Arial"/>
          <w:sz w:val="22"/>
          <w:szCs w:val="22"/>
        </w:rPr>
      </w:pPr>
    </w:p>
    <w:p w14:paraId="00000011" w14:textId="77777777" w:rsidR="00F918AC" w:rsidRDefault="00F918AC">
      <w:pPr>
        <w:rPr>
          <w:rFonts w:ascii="Arial" w:eastAsia="Arial" w:hAnsi="Arial" w:cs="Arial"/>
          <w:sz w:val="22"/>
          <w:szCs w:val="22"/>
        </w:rPr>
      </w:pPr>
    </w:p>
    <w:p w14:paraId="00000012" w14:textId="77777777" w:rsidR="00F918AC" w:rsidRDefault="00F918AC">
      <w:pPr>
        <w:rPr>
          <w:rFonts w:ascii="Arial" w:eastAsia="Arial" w:hAnsi="Arial" w:cs="Arial"/>
          <w:sz w:val="22"/>
          <w:szCs w:val="22"/>
        </w:rPr>
      </w:pPr>
    </w:p>
    <w:p w14:paraId="00000013" w14:textId="77777777" w:rsidR="00F918AC" w:rsidRDefault="00F918AC">
      <w:pPr>
        <w:rPr>
          <w:rFonts w:ascii="Arial" w:eastAsia="Arial" w:hAnsi="Arial" w:cs="Arial"/>
          <w:sz w:val="22"/>
          <w:szCs w:val="22"/>
        </w:rPr>
      </w:pPr>
    </w:p>
    <w:p w14:paraId="00000014" w14:textId="77777777" w:rsidR="00F918AC" w:rsidRDefault="00F918AC">
      <w:pPr>
        <w:rPr>
          <w:rFonts w:ascii="Arial" w:eastAsia="Arial" w:hAnsi="Arial" w:cs="Arial"/>
          <w:sz w:val="22"/>
          <w:szCs w:val="22"/>
        </w:rPr>
      </w:pPr>
    </w:p>
    <w:p w14:paraId="00000015" w14:textId="77777777" w:rsidR="00F918AC" w:rsidRDefault="00F918AC">
      <w:pPr>
        <w:rPr>
          <w:rFonts w:ascii="Arial" w:eastAsia="Arial" w:hAnsi="Arial" w:cs="Arial"/>
          <w:sz w:val="22"/>
          <w:szCs w:val="22"/>
        </w:rPr>
      </w:pPr>
    </w:p>
    <w:p w14:paraId="00000016" w14:textId="77777777" w:rsidR="00F918AC" w:rsidRDefault="00F918AC">
      <w:pPr>
        <w:spacing w:after="200"/>
        <w:rPr>
          <w:rFonts w:ascii="Arial" w:eastAsia="Arial" w:hAnsi="Arial" w:cs="Arial"/>
          <w:sz w:val="22"/>
          <w:szCs w:val="22"/>
        </w:rPr>
      </w:pPr>
    </w:p>
    <w:p w14:paraId="00000017" w14:textId="77777777" w:rsidR="00F918AC" w:rsidRDefault="00000000">
      <w:pPr>
        <w:keepNext/>
        <w:widowControl w:val="0"/>
        <w:pBdr>
          <w:top w:val="nil"/>
          <w:left w:val="nil"/>
          <w:bottom w:val="nil"/>
          <w:right w:val="nil"/>
          <w:between w:val="nil"/>
        </w:pBdr>
        <w:spacing w:line="276" w:lineRule="auto"/>
        <w:jc w:val="center"/>
        <w:rPr>
          <w:rFonts w:ascii="Arial" w:eastAsia="Arial" w:hAnsi="Arial" w:cs="Arial"/>
        </w:rPr>
      </w:pPr>
      <w:r>
        <w:rPr>
          <w:rFonts w:ascii="Arial" w:eastAsia="Arial" w:hAnsi="Arial" w:cs="Arial"/>
          <w:noProof/>
          <w:sz w:val="22"/>
          <w:szCs w:val="22"/>
        </w:rPr>
        <w:drawing>
          <wp:inline distT="114300" distB="114300" distL="114300" distR="114300">
            <wp:extent cx="4518431" cy="2814638"/>
            <wp:effectExtent l="0" t="0" r="0" b="0"/>
            <wp:docPr id="8"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6"/>
                    <a:srcRect/>
                    <a:stretch>
                      <a:fillRect/>
                    </a:stretch>
                  </pic:blipFill>
                  <pic:spPr>
                    <a:xfrm>
                      <a:off x="0" y="0"/>
                      <a:ext cx="4518431" cy="2814638"/>
                    </a:xfrm>
                    <a:prstGeom prst="rect">
                      <a:avLst/>
                    </a:prstGeom>
                    <a:ln/>
                  </pic:spPr>
                </pic:pic>
              </a:graphicData>
            </a:graphic>
          </wp:inline>
        </w:drawing>
      </w:r>
    </w:p>
    <w:p w14:paraId="00000018" w14:textId="77777777" w:rsidR="00F918AC" w:rsidRDefault="00000000">
      <w:pPr>
        <w:pBdr>
          <w:top w:val="nil"/>
          <w:left w:val="nil"/>
          <w:bottom w:val="nil"/>
          <w:right w:val="nil"/>
          <w:between w:val="nil"/>
        </w:pBdr>
        <w:spacing w:after="200"/>
        <w:rPr>
          <w:rFonts w:ascii="Arial" w:eastAsia="Arial" w:hAnsi="Arial" w:cs="Arial"/>
          <w:sz w:val="22"/>
          <w:szCs w:val="22"/>
        </w:rPr>
      </w:pPr>
      <w:r>
        <w:rPr>
          <w:rFonts w:ascii="Arial" w:eastAsia="Arial" w:hAnsi="Arial" w:cs="Arial"/>
          <w:b/>
          <w:color w:val="000000"/>
          <w:sz w:val="18"/>
          <w:szCs w:val="18"/>
        </w:rPr>
        <w:t>Figure S1</w:t>
      </w:r>
      <w:r>
        <w:rPr>
          <w:rFonts w:ascii="Arial" w:eastAsia="Arial" w:hAnsi="Arial" w:cs="Arial"/>
          <w:color w:val="000000"/>
          <w:sz w:val="18"/>
          <w:szCs w:val="18"/>
        </w:rPr>
        <w:t xml:space="preserve">. </w:t>
      </w:r>
      <w:r>
        <w:rPr>
          <w:rFonts w:ascii="Arial" w:eastAsia="Arial" w:hAnsi="Arial" w:cs="Arial"/>
          <w:b/>
          <w:color w:val="000000"/>
          <w:sz w:val="18"/>
          <w:szCs w:val="18"/>
        </w:rPr>
        <w:t xml:space="preserve">Lending activity across the banking sector. </w:t>
      </w:r>
      <w:r>
        <w:rPr>
          <w:rFonts w:ascii="Arial" w:eastAsia="Arial" w:hAnsi="Arial" w:cs="Arial"/>
          <w:color w:val="000000"/>
          <w:sz w:val="18"/>
          <w:szCs w:val="18"/>
        </w:rPr>
        <w:t>Histogram shows the total lending of 709 banks between 2010 and 2021.</w:t>
      </w:r>
    </w:p>
    <w:p w14:paraId="00000019" w14:textId="77777777" w:rsidR="00F918AC" w:rsidRDefault="00F918AC">
      <w:pPr>
        <w:widowControl w:val="0"/>
        <w:pBdr>
          <w:top w:val="nil"/>
          <w:left w:val="nil"/>
          <w:bottom w:val="nil"/>
          <w:right w:val="nil"/>
          <w:between w:val="nil"/>
        </w:pBdr>
        <w:spacing w:line="276" w:lineRule="auto"/>
        <w:rPr>
          <w:rFonts w:ascii="Arial" w:eastAsia="Arial" w:hAnsi="Arial" w:cs="Arial"/>
          <w:sz w:val="22"/>
          <w:szCs w:val="22"/>
        </w:rPr>
      </w:pPr>
    </w:p>
    <w:p w14:paraId="0000001A" w14:textId="77777777" w:rsidR="00F918AC" w:rsidRDefault="00000000">
      <w:pPr>
        <w:keepNext/>
        <w:widowControl w:val="0"/>
        <w:pBdr>
          <w:top w:val="nil"/>
          <w:left w:val="nil"/>
          <w:bottom w:val="nil"/>
          <w:right w:val="nil"/>
          <w:between w:val="nil"/>
        </w:pBdr>
        <w:spacing w:line="276" w:lineRule="auto"/>
        <w:rPr>
          <w:rFonts w:ascii="Arial" w:eastAsia="Arial" w:hAnsi="Arial" w:cs="Arial"/>
        </w:rPr>
      </w:pPr>
      <w:r>
        <w:rPr>
          <w:rFonts w:ascii="Arial" w:eastAsia="Arial" w:hAnsi="Arial" w:cs="Arial"/>
          <w:noProof/>
          <w:color w:val="44546A"/>
          <w:sz w:val="26"/>
          <w:szCs w:val="26"/>
        </w:rPr>
        <w:drawing>
          <wp:inline distT="114300" distB="114300" distL="114300" distR="114300">
            <wp:extent cx="5727700" cy="5724527"/>
            <wp:effectExtent l="0" t="0" r="0" b="0"/>
            <wp:docPr id="10" name="image3.png" descr="A graph of a graph of a graph of a graph of a graph of a graph of a graph of a graph of a graph of a graph of a graph of a graph of a graph of&#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3.png" descr="A graph of a graph of a graph of a graph of a graph of a graph of a graph of a graph of a graph of a graph of a graph of a graph of a graph of&#10;&#10;Description automatically generated with low confidence"/>
                    <pic:cNvPicPr preferRelativeResize="0"/>
                  </pic:nvPicPr>
                  <pic:blipFill>
                    <a:blip r:embed="rId7"/>
                    <a:srcRect t="30" b="29"/>
                    <a:stretch>
                      <a:fillRect/>
                    </a:stretch>
                  </pic:blipFill>
                  <pic:spPr>
                    <a:xfrm>
                      <a:off x="0" y="0"/>
                      <a:ext cx="5727700" cy="5724527"/>
                    </a:xfrm>
                    <a:prstGeom prst="rect">
                      <a:avLst/>
                    </a:prstGeom>
                    <a:ln/>
                  </pic:spPr>
                </pic:pic>
              </a:graphicData>
            </a:graphic>
          </wp:inline>
        </w:drawing>
      </w:r>
    </w:p>
    <w:p w14:paraId="0000001B" w14:textId="77777777" w:rsidR="00F918AC" w:rsidRDefault="00F918AC">
      <w:pPr>
        <w:spacing w:after="200"/>
        <w:rPr>
          <w:rFonts w:ascii="Arial" w:eastAsia="Arial" w:hAnsi="Arial" w:cs="Arial"/>
          <w:b/>
          <w:sz w:val="22"/>
          <w:szCs w:val="22"/>
        </w:rPr>
      </w:pPr>
    </w:p>
    <w:p w14:paraId="0000001C" w14:textId="77777777" w:rsidR="00F918AC" w:rsidRDefault="00000000">
      <w:pPr>
        <w:spacing w:after="200"/>
        <w:jc w:val="both"/>
        <w:rPr>
          <w:rFonts w:ascii="Arial" w:eastAsia="Arial" w:hAnsi="Arial" w:cs="Arial"/>
          <w:sz w:val="18"/>
          <w:szCs w:val="18"/>
        </w:rPr>
      </w:pPr>
      <w:r>
        <w:rPr>
          <w:rFonts w:ascii="Arial" w:eastAsia="Arial" w:hAnsi="Arial" w:cs="Arial"/>
          <w:b/>
          <w:sz w:val="18"/>
          <w:szCs w:val="18"/>
        </w:rPr>
        <w:t>Figure S2. Efficiency gap and tipping point each year.</w:t>
      </w:r>
      <w:r>
        <w:rPr>
          <w:rFonts w:ascii="Arial" w:eastAsia="Arial" w:hAnsi="Arial" w:cs="Arial"/>
          <w:sz w:val="18"/>
          <w:szCs w:val="18"/>
        </w:rPr>
        <w:t xml:space="preserve"> (a) The size of the efficiency gap as a multiple of the average efficiency gap in the period 2010-2021. The efficiency gap is relatively stable for a fixed capital limit over time, fluctuating between +/-20% in the observed time period. Larger capital limits result in larger fluctuations in the efficiency gap. (b) The number of banks that must be removed to reach the tipping point for each year in the period 2010-2021 for two different capital limits. Note that the tipping point is larger for the 2021 syndicated network than for any previous year, despite not having the largest efficiency gap. This is a consequence of growing deal syndication between 2010-2021.</w:t>
      </w:r>
    </w:p>
    <w:p w14:paraId="0000001D" w14:textId="77777777" w:rsidR="00F918AC" w:rsidRDefault="00F918AC">
      <w:pPr>
        <w:spacing w:after="200"/>
        <w:rPr>
          <w:rFonts w:ascii="Arial" w:eastAsia="Arial" w:hAnsi="Arial" w:cs="Arial"/>
          <w:sz w:val="22"/>
          <w:szCs w:val="22"/>
        </w:rPr>
      </w:pPr>
    </w:p>
    <w:p w14:paraId="0000001E" w14:textId="77777777" w:rsidR="00F918AC" w:rsidRDefault="00F918AC">
      <w:pPr>
        <w:spacing w:after="200"/>
        <w:rPr>
          <w:rFonts w:ascii="Arial" w:eastAsia="Arial" w:hAnsi="Arial" w:cs="Arial"/>
          <w:sz w:val="22"/>
          <w:szCs w:val="22"/>
        </w:rPr>
      </w:pPr>
    </w:p>
    <w:p w14:paraId="0000001F" w14:textId="77777777" w:rsidR="00F918AC" w:rsidRDefault="00000000">
      <w:pPr>
        <w:keepNext/>
        <w:pBdr>
          <w:top w:val="nil"/>
          <w:left w:val="nil"/>
          <w:bottom w:val="nil"/>
          <w:right w:val="nil"/>
          <w:between w:val="nil"/>
        </w:pBdr>
        <w:spacing w:after="200"/>
        <w:rPr>
          <w:rFonts w:ascii="Arial" w:eastAsia="Arial" w:hAnsi="Arial" w:cs="Arial"/>
          <w:i/>
          <w:color w:val="44546A"/>
          <w:sz w:val="18"/>
          <w:szCs w:val="18"/>
        </w:rPr>
      </w:pPr>
      <w:r>
        <w:rPr>
          <w:rFonts w:ascii="Arial" w:eastAsia="Arial" w:hAnsi="Arial" w:cs="Arial"/>
          <w:i/>
          <w:noProof/>
          <w:color w:val="44546A"/>
          <w:sz w:val="26"/>
          <w:szCs w:val="26"/>
        </w:rPr>
        <w:lastRenderedPageBreak/>
        <w:drawing>
          <wp:inline distT="114300" distB="114300" distL="114300" distR="114300">
            <wp:extent cx="5727700" cy="5724527"/>
            <wp:effectExtent l="0" t="0" r="0" b="0"/>
            <wp:docPr id="9" name="image2.png" descr="A picture containing text, screenshot, diagram, lin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picture containing text, screenshot, diagram, line&#10;&#10;Description automatically generated"/>
                    <pic:cNvPicPr preferRelativeResize="0"/>
                  </pic:nvPicPr>
                  <pic:blipFill>
                    <a:blip r:embed="rId8"/>
                    <a:srcRect t="30" b="29"/>
                    <a:stretch>
                      <a:fillRect/>
                    </a:stretch>
                  </pic:blipFill>
                  <pic:spPr>
                    <a:xfrm>
                      <a:off x="0" y="0"/>
                      <a:ext cx="5727700" cy="5724527"/>
                    </a:xfrm>
                    <a:prstGeom prst="rect">
                      <a:avLst/>
                    </a:prstGeom>
                    <a:ln/>
                  </pic:spPr>
                </pic:pic>
              </a:graphicData>
            </a:graphic>
          </wp:inline>
        </w:drawing>
      </w:r>
    </w:p>
    <w:p w14:paraId="00000020" w14:textId="77777777" w:rsidR="00F918AC" w:rsidRDefault="00000000">
      <w:pPr>
        <w:spacing w:after="200"/>
        <w:jc w:val="both"/>
        <w:rPr>
          <w:rFonts w:ascii="Arial" w:eastAsia="Arial" w:hAnsi="Arial" w:cs="Arial"/>
          <w:color w:val="000000"/>
          <w:sz w:val="18"/>
          <w:szCs w:val="18"/>
        </w:rPr>
      </w:pPr>
      <w:r>
        <w:rPr>
          <w:rFonts w:ascii="Arial" w:eastAsia="Arial" w:hAnsi="Arial" w:cs="Arial"/>
          <w:b/>
          <w:color w:val="000000"/>
          <w:sz w:val="18"/>
          <w:szCs w:val="18"/>
        </w:rPr>
        <w:t>Figure S3. Phase-out model variant comparing random and ranked substitution.</w:t>
      </w:r>
      <w:r>
        <w:rPr>
          <w:rFonts w:ascii="Arial" w:eastAsia="Arial" w:hAnsi="Arial" w:cs="Arial"/>
          <w:color w:val="000000"/>
          <w:sz w:val="18"/>
          <w:szCs w:val="18"/>
        </w:rPr>
        <w:t xml:space="preserve"> In the random model substituted capital is replaced by a random bank, in the ranked model capital is replaced by banks ranked according to the number of existing relationships with the existing syndicate</w:t>
      </w:r>
      <w:r>
        <w:rPr>
          <w:rFonts w:ascii="Arial" w:eastAsia="Arial" w:hAnsi="Arial" w:cs="Arial"/>
          <w:b/>
          <w:color w:val="000000"/>
          <w:sz w:val="18"/>
          <w:szCs w:val="18"/>
        </w:rPr>
        <w:t>.</w:t>
      </w:r>
      <w:r>
        <w:rPr>
          <w:rFonts w:ascii="Arial" w:eastAsia="Arial" w:hAnsi="Arial" w:cs="Arial"/>
          <w:color w:val="000000"/>
          <w:sz w:val="18"/>
          <w:szCs w:val="18"/>
        </w:rPr>
        <w:t xml:space="preserve"> (a) The relative efficiency of the phase-out process for two different capital limits. (b) The efficiency gap for the ranked and random models with different capital limits. (c) The tipping point for the ranked and random models with different capital limits. </w:t>
      </w:r>
    </w:p>
    <w:p w14:paraId="00000021" w14:textId="77777777" w:rsidR="00F918AC" w:rsidRDefault="00F918AC">
      <w:pPr>
        <w:pBdr>
          <w:top w:val="nil"/>
          <w:left w:val="nil"/>
          <w:bottom w:val="nil"/>
          <w:right w:val="nil"/>
          <w:between w:val="nil"/>
        </w:pBdr>
        <w:spacing w:after="200"/>
        <w:rPr>
          <w:rFonts w:ascii="Arial" w:eastAsia="Arial" w:hAnsi="Arial" w:cs="Arial"/>
          <w:i/>
          <w:color w:val="44546A"/>
          <w:sz w:val="22"/>
          <w:szCs w:val="22"/>
        </w:rPr>
      </w:pPr>
    </w:p>
    <w:p w14:paraId="00000022" w14:textId="77777777" w:rsidR="00F918AC" w:rsidRDefault="00F918AC">
      <w:pPr>
        <w:rPr>
          <w:rFonts w:ascii="Arial" w:eastAsia="Arial" w:hAnsi="Arial" w:cs="Arial"/>
          <w:sz w:val="22"/>
          <w:szCs w:val="22"/>
        </w:rPr>
      </w:pPr>
    </w:p>
    <w:p w14:paraId="00000023" w14:textId="77777777" w:rsidR="00F918AC" w:rsidRDefault="00F918AC">
      <w:pPr>
        <w:rPr>
          <w:rFonts w:ascii="Arial" w:eastAsia="Arial" w:hAnsi="Arial" w:cs="Arial"/>
          <w:sz w:val="22"/>
          <w:szCs w:val="22"/>
        </w:rPr>
      </w:pPr>
    </w:p>
    <w:p w14:paraId="00000024" w14:textId="77777777" w:rsidR="00F918AC" w:rsidRDefault="00000000">
      <w:pPr>
        <w:keepNext/>
        <w:rPr>
          <w:rFonts w:ascii="Arial" w:eastAsia="Arial" w:hAnsi="Arial" w:cs="Arial"/>
        </w:rPr>
      </w:pPr>
      <w:r>
        <w:rPr>
          <w:rFonts w:ascii="Arial" w:eastAsia="Arial" w:hAnsi="Arial" w:cs="Arial"/>
          <w:noProof/>
          <w:color w:val="44546A"/>
          <w:sz w:val="26"/>
          <w:szCs w:val="26"/>
        </w:rPr>
        <w:lastRenderedPageBreak/>
        <w:drawing>
          <wp:inline distT="114300" distB="114300" distL="114300" distR="114300">
            <wp:extent cx="5727700" cy="5724525"/>
            <wp:effectExtent l="0" t="0" r="0" b="0"/>
            <wp:docPr id="12" name="image1.png" descr="A graph of a graph of a graph of a graph of a graph of a graph of a graph of a graph of a graph of a graph of a graph of a graph of a graph of&#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1.png" descr="A graph of a graph of a graph of a graph of a graph of a graph of a graph of a graph of a graph of a graph of a graph of a graph of a graph of&#10;&#10;Description automatically generated with low confidence"/>
                    <pic:cNvPicPr preferRelativeResize="0"/>
                  </pic:nvPicPr>
                  <pic:blipFill>
                    <a:blip r:embed="rId9"/>
                    <a:srcRect t="30" b="29"/>
                    <a:stretch>
                      <a:fillRect/>
                    </a:stretch>
                  </pic:blipFill>
                  <pic:spPr>
                    <a:xfrm>
                      <a:off x="0" y="0"/>
                      <a:ext cx="5727700" cy="5724525"/>
                    </a:xfrm>
                    <a:prstGeom prst="rect">
                      <a:avLst/>
                    </a:prstGeom>
                    <a:ln/>
                  </pic:spPr>
                </pic:pic>
              </a:graphicData>
            </a:graphic>
          </wp:inline>
        </w:drawing>
      </w:r>
    </w:p>
    <w:p w14:paraId="00000025" w14:textId="77777777" w:rsidR="00F918AC" w:rsidRDefault="00000000">
      <w:pPr>
        <w:spacing w:after="200"/>
        <w:jc w:val="both"/>
        <w:rPr>
          <w:rFonts w:ascii="Arial" w:eastAsia="Arial" w:hAnsi="Arial" w:cs="Arial"/>
          <w:sz w:val="18"/>
          <w:szCs w:val="18"/>
        </w:rPr>
      </w:pPr>
      <w:r>
        <w:rPr>
          <w:rFonts w:ascii="Arial" w:eastAsia="Arial" w:hAnsi="Arial" w:cs="Arial"/>
          <w:b/>
          <w:sz w:val="18"/>
          <w:szCs w:val="18"/>
        </w:rPr>
        <w:t>Figure S4.</w:t>
      </w:r>
      <w:r>
        <w:rPr>
          <w:rFonts w:ascii="Arial" w:eastAsia="Arial" w:hAnsi="Arial" w:cs="Arial"/>
          <w:sz w:val="18"/>
          <w:szCs w:val="18"/>
        </w:rPr>
        <w:t xml:space="preserve"> </w:t>
      </w:r>
      <w:r>
        <w:rPr>
          <w:rFonts w:ascii="Arial" w:eastAsia="Arial" w:hAnsi="Arial" w:cs="Arial"/>
          <w:b/>
          <w:sz w:val="18"/>
          <w:szCs w:val="18"/>
        </w:rPr>
        <w:t xml:space="preserve">Phase-out model variant with restrictions on the maximum number of banks that can substitute capital into an </w:t>
      </w:r>
      <w:proofErr w:type="gramStart"/>
      <w:r>
        <w:rPr>
          <w:rFonts w:ascii="Arial" w:eastAsia="Arial" w:hAnsi="Arial" w:cs="Arial"/>
          <w:b/>
          <w:sz w:val="18"/>
          <w:szCs w:val="18"/>
        </w:rPr>
        <w:t>at risk</w:t>
      </w:r>
      <w:proofErr w:type="gramEnd"/>
      <w:r>
        <w:rPr>
          <w:rFonts w:ascii="Arial" w:eastAsia="Arial" w:hAnsi="Arial" w:cs="Arial"/>
          <w:b/>
          <w:sz w:val="18"/>
          <w:szCs w:val="18"/>
        </w:rPr>
        <w:t xml:space="preserve"> deal. </w:t>
      </w:r>
      <w:r>
        <w:rPr>
          <w:rFonts w:ascii="Arial" w:eastAsia="Arial" w:hAnsi="Arial" w:cs="Arial"/>
          <w:sz w:val="18"/>
          <w:szCs w:val="18"/>
        </w:rPr>
        <w:t>(a) The total relative efficiency with two different capital limits (10% and 50%) and two values of the bank substitute partner limit (2 and 16 for illustrative purposes), which restricts the number of candidate banks from whom substitute capital can be acquired. (b) The efficiency gap as a function of the capital limit and the bank partner reassignment limit. (c) The tipping point as a function of the capital limit and the bank partner reassignment limit.</w:t>
      </w:r>
    </w:p>
    <w:p w14:paraId="00000026" w14:textId="77777777" w:rsidR="00F918AC" w:rsidRDefault="00F918AC">
      <w:pPr>
        <w:pBdr>
          <w:top w:val="nil"/>
          <w:left w:val="nil"/>
          <w:bottom w:val="nil"/>
          <w:right w:val="nil"/>
          <w:between w:val="nil"/>
        </w:pBdr>
        <w:spacing w:after="200"/>
        <w:rPr>
          <w:rFonts w:ascii="Arial" w:eastAsia="Arial" w:hAnsi="Arial" w:cs="Arial"/>
          <w:i/>
          <w:color w:val="44546A"/>
          <w:sz w:val="22"/>
          <w:szCs w:val="22"/>
        </w:rPr>
      </w:pPr>
    </w:p>
    <w:p w14:paraId="00000027" w14:textId="77777777" w:rsidR="00F918AC" w:rsidRDefault="00F918AC">
      <w:pPr>
        <w:rPr>
          <w:rFonts w:ascii="Arial" w:eastAsia="Arial" w:hAnsi="Arial" w:cs="Arial"/>
        </w:rPr>
      </w:pPr>
    </w:p>
    <w:p w14:paraId="00000028" w14:textId="77777777" w:rsidR="00F918AC" w:rsidRDefault="00F918AC">
      <w:pPr>
        <w:rPr>
          <w:rFonts w:ascii="Arial" w:eastAsia="Arial" w:hAnsi="Arial" w:cs="Arial"/>
        </w:rPr>
      </w:pPr>
    </w:p>
    <w:p w14:paraId="00000029" w14:textId="77777777" w:rsidR="00F918AC" w:rsidRDefault="00F918AC">
      <w:pPr>
        <w:rPr>
          <w:rFonts w:ascii="Arial" w:eastAsia="Arial" w:hAnsi="Arial" w:cs="Arial"/>
        </w:rPr>
      </w:pPr>
    </w:p>
    <w:p w14:paraId="0000002A" w14:textId="77777777" w:rsidR="00F918AC" w:rsidRDefault="00F918AC">
      <w:pPr>
        <w:rPr>
          <w:rFonts w:ascii="Arial" w:eastAsia="Arial" w:hAnsi="Arial" w:cs="Arial"/>
        </w:rPr>
      </w:pPr>
    </w:p>
    <w:p w14:paraId="0000002B" w14:textId="77777777" w:rsidR="00F918AC" w:rsidRDefault="00F918AC">
      <w:pPr>
        <w:rPr>
          <w:rFonts w:ascii="Arial" w:eastAsia="Arial" w:hAnsi="Arial" w:cs="Arial"/>
        </w:rPr>
      </w:pPr>
    </w:p>
    <w:p w14:paraId="0000002C" w14:textId="77777777" w:rsidR="00F918AC" w:rsidRDefault="00F918AC">
      <w:pPr>
        <w:rPr>
          <w:rFonts w:ascii="Arial" w:eastAsia="Arial" w:hAnsi="Arial" w:cs="Arial"/>
        </w:rPr>
      </w:pPr>
    </w:p>
    <w:p w14:paraId="0000002D" w14:textId="77777777" w:rsidR="00F918AC" w:rsidRDefault="00F918AC">
      <w:pPr>
        <w:rPr>
          <w:rFonts w:ascii="Arial" w:eastAsia="Arial" w:hAnsi="Arial" w:cs="Arial"/>
        </w:rPr>
      </w:pPr>
    </w:p>
    <w:p w14:paraId="0000002E" w14:textId="77777777" w:rsidR="00F918AC" w:rsidRDefault="00F918AC">
      <w:pPr>
        <w:rPr>
          <w:rFonts w:ascii="Arial" w:eastAsia="Arial" w:hAnsi="Arial" w:cs="Arial"/>
        </w:rPr>
      </w:pPr>
    </w:p>
    <w:p w14:paraId="0000002F" w14:textId="77777777" w:rsidR="00F918AC" w:rsidRDefault="00000000">
      <w:pPr>
        <w:keepNext/>
        <w:rPr>
          <w:rFonts w:ascii="Arial" w:eastAsia="Arial" w:hAnsi="Arial" w:cs="Arial"/>
        </w:rPr>
      </w:pPr>
      <w:r>
        <w:rPr>
          <w:rFonts w:ascii="Arial" w:eastAsia="Arial" w:hAnsi="Arial" w:cs="Arial"/>
          <w:noProof/>
          <w:color w:val="44546A"/>
          <w:sz w:val="26"/>
          <w:szCs w:val="26"/>
        </w:rPr>
        <w:lastRenderedPageBreak/>
        <w:drawing>
          <wp:inline distT="114300" distB="114300" distL="114300" distR="114300">
            <wp:extent cx="5727700" cy="5724527"/>
            <wp:effectExtent l="0" t="0" r="0" b="0"/>
            <wp:docPr id="11"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t="30" b="29"/>
                    <a:stretch>
                      <a:fillRect/>
                    </a:stretch>
                  </pic:blipFill>
                  <pic:spPr>
                    <a:xfrm>
                      <a:off x="0" y="0"/>
                      <a:ext cx="5727700" cy="5724527"/>
                    </a:xfrm>
                    <a:prstGeom prst="rect">
                      <a:avLst/>
                    </a:prstGeom>
                    <a:ln/>
                  </pic:spPr>
                </pic:pic>
              </a:graphicData>
            </a:graphic>
          </wp:inline>
        </w:drawing>
      </w:r>
    </w:p>
    <w:p w14:paraId="00000030" w14:textId="77777777" w:rsidR="00F918AC" w:rsidRDefault="00000000">
      <w:pPr>
        <w:spacing w:after="200"/>
        <w:jc w:val="both"/>
        <w:rPr>
          <w:rFonts w:ascii="Arial" w:eastAsia="Arial" w:hAnsi="Arial" w:cs="Arial"/>
          <w:color w:val="44546A"/>
          <w:sz w:val="18"/>
          <w:szCs w:val="18"/>
        </w:rPr>
      </w:pPr>
      <w:r>
        <w:rPr>
          <w:rFonts w:ascii="Arial" w:eastAsia="Arial" w:hAnsi="Arial" w:cs="Arial"/>
          <w:b/>
          <w:sz w:val="18"/>
          <w:szCs w:val="18"/>
        </w:rPr>
        <w:t>Figure S5.</w:t>
      </w:r>
      <w:r>
        <w:rPr>
          <w:rFonts w:ascii="Arial" w:eastAsia="Arial" w:hAnsi="Arial" w:cs="Arial"/>
          <w:sz w:val="18"/>
          <w:szCs w:val="18"/>
        </w:rPr>
        <w:t xml:space="preserve"> </w:t>
      </w:r>
      <w:r>
        <w:rPr>
          <w:rFonts w:ascii="Arial" w:eastAsia="Arial" w:hAnsi="Arial" w:cs="Arial"/>
          <w:b/>
          <w:sz w:val="18"/>
          <w:szCs w:val="18"/>
        </w:rPr>
        <w:t>Phase-out model variant restricting</w:t>
      </w:r>
      <w:r>
        <w:rPr>
          <w:rFonts w:ascii="Arial" w:eastAsia="Arial" w:hAnsi="Arial" w:cs="Arial"/>
          <w:sz w:val="18"/>
          <w:szCs w:val="18"/>
        </w:rPr>
        <w:t xml:space="preserve"> </w:t>
      </w:r>
      <w:r>
        <w:rPr>
          <w:rFonts w:ascii="Arial" w:eastAsia="Arial" w:hAnsi="Arial" w:cs="Arial"/>
          <w:b/>
          <w:sz w:val="18"/>
          <w:szCs w:val="18"/>
        </w:rPr>
        <w:t xml:space="preserve">the number of times a single deal can acquire substituted capital before automatically failing. </w:t>
      </w:r>
      <w:r>
        <w:rPr>
          <w:rFonts w:ascii="Arial" w:eastAsia="Arial" w:hAnsi="Arial" w:cs="Arial"/>
          <w:sz w:val="18"/>
          <w:szCs w:val="18"/>
        </w:rPr>
        <w:t>(a) The total relative efficiency with two different capital limits (10% and 50%) and two values for the capital substitution limit (2 and 16 for illustrative purposes), which restricts the number of times a single deal can acquire substituted capital after a partner bank phases-out from the fossil fuel sector, before the deal automatically fails. (b) The efficiency gap as a function of the capital limit and the deal substitution limit. (c) The tipping point as a function of the capital limit and the deal substitution limit.</w:t>
      </w:r>
    </w:p>
    <w:p w14:paraId="00000031" w14:textId="77777777" w:rsidR="00F918AC" w:rsidRDefault="00F918AC">
      <w:pPr>
        <w:rPr>
          <w:rFonts w:ascii="Arial" w:eastAsia="Arial" w:hAnsi="Arial" w:cs="Arial"/>
          <w:sz w:val="22"/>
          <w:szCs w:val="22"/>
        </w:rPr>
      </w:pPr>
    </w:p>
    <w:p w14:paraId="00000032" w14:textId="77777777" w:rsidR="00F918AC" w:rsidRDefault="00F918AC">
      <w:pPr>
        <w:rPr>
          <w:rFonts w:ascii="Arial" w:eastAsia="Arial" w:hAnsi="Arial" w:cs="Arial"/>
          <w:sz w:val="22"/>
          <w:szCs w:val="22"/>
        </w:rPr>
      </w:pPr>
    </w:p>
    <w:p w14:paraId="00000033" w14:textId="77777777" w:rsidR="00F918AC" w:rsidRDefault="00F918AC">
      <w:pPr>
        <w:rPr>
          <w:rFonts w:ascii="Arial" w:eastAsia="Arial" w:hAnsi="Arial" w:cs="Arial"/>
          <w:sz w:val="22"/>
          <w:szCs w:val="22"/>
        </w:rPr>
      </w:pPr>
    </w:p>
    <w:p w14:paraId="00000034" w14:textId="77777777" w:rsidR="00F918AC" w:rsidRDefault="00F918AC">
      <w:pPr>
        <w:rPr>
          <w:rFonts w:ascii="Arial" w:eastAsia="Arial" w:hAnsi="Arial" w:cs="Arial"/>
          <w:sz w:val="22"/>
          <w:szCs w:val="22"/>
        </w:rPr>
      </w:pPr>
    </w:p>
    <w:p w14:paraId="00000035" w14:textId="77777777" w:rsidR="00F918AC" w:rsidRDefault="00F918AC">
      <w:pPr>
        <w:rPr>
          <w:rFonts w:ascii="Arial" w:eastAsia="Arial" w:hAnsi="Arial" w:cs="Arial"/>
          <w:sz w:val="22"/>
          <w:szCs w:val="22"/>
        </w:rPr>
      </w:pPr>
    </w:p>
    <w:p w14:paraId="00000036" w14:textId="77777777" w:rsidR="00F918AC" w:rsidRDefault="00F918AC">
      <w:pPr>
        <w:rPr>
          <w:rFonts w:ascii="Arial" w:eastAsia="Arial" w:hAnsi="Arial" w:cs="Arial"/>
          <w:sz w:val="22"/>
          <w:szCs w:val="22"/>
        </w:rPr>
      </w:pPr>
    </w:p>
    <w:p w14:paraId="00000037" w14:textId="77777777" w:rsidR="00F918AC" w:rsidRDefault="00F918AC">
      <w:pPr>
        <w:rPr>
          <w:rFonts w:ascii="Arial" w:eastAsia="Arial" w:hAnsi="Arial" w:cs="Arial"/>
          <w:sz w:val="22"/>
          <w:szCs w:val="22"/>
        </w:rPr>
      </w:pPr>
    </w:p>
    <w:p w14:paraId="00000038" w14:textId="77777777" w:rsidR="00F918AC" w:rsidRDefault="00F918AC">
      <w:pPr>
        <w:rPr>
          <w:rFonts w:ascii="Arial" w:eastAsia="Arial" w:hAnsi="Arial" w:cs="Arial"/>
          <w:sz w:val="22"/>
          <w:szCs w:val="22"/>
        </w:rPr>
      </w:pPr>
    </w:p>
    <w:p w14:paraId="00000039" w14:textId="77777777" w:rsidR="00F918AC" w:rsidRDefault="00F918AC">
      <w:pPr>
        <w:rPr>
          <w:rFonts w:ascii="Arial" w:eastAsia="Arial" w:hAnsi="Arial" w:cs="Arial"/>
          <w:sz w:val="22"/>
          <w:szCs w:val="22"/>
        </w:rPr>
      </w:pPr>
    </w:p>
    <w:p w14:paraId="0000003A" w14:textId="77777777" w:rsidR="00F918AC" w:rsidRDefault="00F918AC">
      <w:pPr>
        <w:rPr>
          <w:rFonts w:ascii="Arial" w:eastAsia="Arial" w:hAnsi="Arial" w:cs="Arial"/>
          <w:sz w:val="22"/>
          <w:szCs w:val="22"/>
        </w:rPr>
      </w:pPr>
    </w:p>
    <w:p w14:paraId="0000003B" w14:textId="77777777" w:rsidR="00F918AC" w:rsidRDefault="00F918AC">
      <w:pPr>
        <w:rPr>
          <w:rFonts w:ascii="Arial" w:eastAsia="Arial" w:hAnsi="Arial" w:cs="Arial"/>
          <w:sz w:val="22"/>
          <w:szCs w:val="22"/>
        </w:rPr>
      </w:pPr>
    </w:p>
    <w:p w14:paraId="0000003C" w14:textId="77777777" w:rsidR="00F918AC" w:rsidRDefault="00F918AC">
      <w:pPr>
        <w:rPr>
          <w:rFonts w:ascii="Arial" w:eastAsia="Arial" w:hAnsi="Arial" w:cs="Arial"/>
          <w:sz w:val="22"/>
          <w:szCs w:val="22"/>
        </w:rPr>
      </w:pPr>
    </w:p>
    <w:p w14:paraId="0000003D" w14:textId="77777777" w:rsidR="00F918AC" w:rsidRDefault="00F918AC">
      <w:pPr>
        <w:rPr>
          <w:rFonts w:ascii="Arial" w:eastAsia="Arial" w:hAnsi="Arial" w:cs="Arial"/>
          <w:sz w:val="22"/>
          <w:szCs w:val="22"/>
        </w:rPr>
      </w:pPr>
    </w:p>
    <w:p w14:paraId="0000003E" w14:textId="77777777" w:rsidR="00F918AC" w:rsidRDefault="00F918AC">
      <w:pPr>
        <w:rPr>
          <w:rFonts w:ascii="Arial" w:eastAsia="Arial" w:hAnsi="Arial" w:cs="Arial"/>
          <w:sz w:val="22"/>
          <w:szCs w:val="22"/>
        </w:rPr>
      </w:pPr>
    </w:p>
    <w:p w14:paraId="0000003F" w14:textId="77777777" w:rsidR="00F918AC" w:rsidRDefault="00F918AC">
      <w:pPr>
        <w:rPr>
          <w:rFonts w:ascii="Arial" w:eastAsia="Arial" w:hAnsi="Arial" w:cs="Arial"/>
          <w:sz w:val="22"/>
          <w:szCs w:val="22"/>
        </w:rPr>
      </w:pPr>
    </w:p>
    <w:tbl>
      <w:tblPr>
        <w:tblStyle w:val="a0"/>
        <w:tblW w:w="9010" w:type="dxa"/>
        <w:tblBorders>
          <w:top w:val="nil"/>
          <w:left w:val="nil"/>
          <w:bottom w:val="nil"/>
          <w:right w:val="nil"/>
          <w:insideH w:val="nil"/>
          <w:insideV w:val="nil"/>
        </w:tblBorders>
        <w:tblLayout w:type="fixed"/>
        <w:tblLook w:val="0400" w:firstRow="0" w:lastRow="0" w:firstColumn="0" w:lastColumn="0" w:noHBand="0" w:noVBand="1"/>
      </w:tblPr>
      <w:tblGrid>
        <w:gridCol w:w="2840"/>
        <w:gridCol w:w="3085"/>
        <w:gridCol w:w="3085"/>
      </w:tblGrid>
      <w:tr w:rsidR="00F918AC" w14:paraId="3F0E7BBC" w14:textId="77777777">
        <w:tc>
          <w:tcPr>
            <w:tcW w:w="2840" w:type="dxa"/>
          </w:tcPr>
          <w:p w14:paraId="00000040" w14:textId="77777777" w:rsidR="00F918AC" w:rsidRDefault="00F918AC">
            <w:pPr>
              <w:rPr>
                <w:rFonts w:ascii="Arial" w:eastAsia="Arial" w:hAnsi="Arial" w:cs="Arial"/>
                <w:b/>
                <w:sz w:val="22"/>
                <w:szCs w:val="22"/>
              </w:rPr>
            </w:pPr>
          </w:p>
          <w:p w14:paraId="00000041" w14:textId="77777777" w:rsidR="00F918AC" w:rsidRDefault="00000000">
            <w:pPr>
              <w:jc w:val="right"/>
              <w:rPr>
                <w:rFonts w:ascii="Arial" w:eastAsia="Arial" w:hAnsi="Arial" w:cs="Arial"/>
                <w:b/>
                <w:sz w:val="22"/>
                <w:szCs w:val="22"/>
              </w:rPr>
            </w:pPr>
            <w:r>
              <w:rPr>
                <w:rFonts w:ascii="Arial" w:eastAsia="Arial" w:hAnsi="Arial" w:cs="Arial"/>
                <w:b/>
                <w:sz w:val="22"/>
                <w:szCs w:val="22"/>
              </w:rPr>
              <w:t>Centrality Measure</w:t>
            </w:r>
          </w:p>
        </w:tc>
        <w:tc>
          <w:tcPr>
            <w:tcW w:w="3085" w:type="dxa"/>
          </w:tcPr>
          <w:p w14:paraId="00000042" w14:textId="77777777" w:rsidR="00F918AC" w:rsidRDefault="00000000">
            <w:pPr>
              <w:jc w:val="center"/>
              <w:rPr>
                <w:rFonts w:ascii="Arial" w:eastAsia="Arial" w:hAnsi="Arial" w:cs="Arial"/>
                <w:b/>
                <w:sz w:val="22"/>
                <w:szCs w:val="22"/>
              </w:rPr>
            </w:pPr>
            <w:r>
              <w:rPr>
                <w:rFonts w:ascii="Arial" w:eastAsia="Arial" w:hAnsi="Arial" w:cs="Arial"/>
                <w:b/>
                <w:sz w:val="22"/>
                <w:szCs w:val="22"/>
              </w:rPr>
              <w:t>Pre-Paris (2010-2016)</w:t>
            </w:r>
          </w:p>
        </w:tc>
        <w:tc>
          <w:tcPr>
            <w:tcW w:w="3085" w:type="dxa"/>
          </w:tcPr>
          <w:p w14:paraId="00000043" w14:textId="77777777" w:rsidR="00F918AC" w:rsidRDefault="00000000">
            <w:pPr>
              <w:jc w:val="center"/>
              <w:rPr>
                <w:rFonts w:ascii="Arial" w:eastAsia="Arial" w:hAnsi="Arial" w:cs="Arial"/>
                <w:b/>
                <w:sz w:val="22"/>
                <w:szCs w:val="22"/>
              </w:rPr>
            </w:pPr>
            <w:r>
              <w:rPr>
                <w:rFonts w:ascii="Arial" w:eastAsia="Arial" w:hAnsi="Arial" w:cs="Arial"/>
                <w:b/>
                <w:sz w:val="22"/>
                <w:szCs w:val="22"/>
              </w:rPr>
              <w:t>Post-Paris (2017-2021)</w:t>
            </w:r>
          </w:p>
        </w:tc>
      </w:tr>
      <w:tr w:rsidR="00F918AC" w14:paraId="29ADB7FC" w14:textId="77777777">
        <w:tc>
          <w:tcPr>
            <w:tcW w:w="2840" w:type="dxa"/>
          </w:tcPr>
          <w:p w14:paraId="00000044" w14:textId="77777777" w:rsidR="00F918AC" w:rsidRDefault="00000000">
            <w:pPr>
              <w:jc w:val="right"/>
              <w:rPr>
                <w:rFonts w:ascii="Arial" w:eastAsia="Arial" w:hAnsi="Arial" w:cs="Arial"/>
                <w:sz w:val="22"/>
                <w:szCs w:val="22"/>
              </w:rPr>
            </w:pPr>
            <w:r>
              <w:rPr>
                <w:rFonts w:ascii="Arial" w:eastAsia="Arial" w:hAnsi="Arial" w:cs="Arial"/>
                <w:sz w:val="22"/>
                <w:szCs w:val="22"/>
              </w:rPr>
              <w:t xml:space="preserve">Degree </w:t>
            </w:r>
          </w:p>
        </w:tc>
        <w:tc>
          <w:tcPr>
            <w:tcW w:w="3085" w:type="dxa"/>
          </w:tcPr>
          <w:p w14:paraId="00000045" w14:textId="77777777" w:rsidR="00F918AC" w:rsidRDefault="00000000">
            <w:pPr>
              <w:jc w:val="center"/>
              <w:rPr>
                <w:rFonts w:ascii="Arial" w:eastAsia="Arial" w:hAnsi="Arial" w:cs="Arial"/>
                <w:sz w:val="22"/>
                <w:szCs w:val="22"/>
              </w:rPr>
            </w:pPr>
            <w:r>
              <w:rPr>
                <w:rFonts w:ascii="Arial" w:eastAsia="Arial" w:hAnsi="Arial" w:cs="Arial"/>
                <w:sz w:val="22"/>
                <w:szCs w:val="22"/>
              </w:rPr>
              <w:t>0.98</w:t>
            </w:r>
          </w:p>
        </w:tc>
        <w:tc>
          <w:tcPr>
            <w:tcW w:w="3085" w:type="dxa"/>
          </w:tcPr>
          <w:p w14:paraId="00000046" w14:textId="77777777" w:rsidR="00F918AC" w:rsidRDefault="00000000">
            <w:pPr>
              <w:jc w:val="center"/>
              <w:rPr>
                <w:rFonts w:ascii="Arial" w:eastAsia="Arial" w:hAnsi="Arial" w:cs="Arial"/>
                <w:sz w:val="22"/>
                <w:szCs w:val="22"/>
              </w:rPr>
            </w:pPr>
            <w:r>
              <w:rPr>
                <w:rFonts w:ascii="Arial" w:eastAsia="Arial" w:hAnsi="Arial" w:cs="Arial"/>
                <w:sz w:val="22"/>
                <w:szCs w:val="22"/>
              </w:rPr>
              <w:t>0.99</w:t>
            </w:r>
          </w:p>
        </w:tc>
      </w:tr>
      <w:tr w:rsidR="00F918AC" w14:paraId="08780C7A" w14:textId="77777777">
        <w:tc>
          <w:tcPr>
            <w:tcW w:w="2840" w:type="dxa"/>
          </w:tcPr>
          <w:p w14:paraId="00000047" w14:textId="77777777" w:rsidR="00F918AC" w:rsidRDefault="00000000">
            <w:pPr>
              <w:jc w:val="right"/>
              <w:rPr>
                <w:rFonts w:ascii="Arial" w:eastAsia="Arial" w:hAnsi="Arial" w:cs="Arial"/>
                <w:sz w:val="22"/>
                <w:szCs w:val="22"/>
              </w:rPr>
            </w:pPr>
            <w:r>
              <w:rPr>
                <w:rFonts w:ascii="Arial" w:eastAsia="Arial" w:hAnsi="Arial" w:cs="Arial"/>
                <w:sz w:val="22"/>
                <w:szCs w:val="22"/>
              </w:rPr>
              <w:t xml:space="preserve">Eigenvector </w:t>
            </w:r>
          </w:p>
        </w:tc>
        <w:tc>
          <w:tcPr>
            <w:tcW w:w="3085" w:type="dxa"/>
          </w:tcPr>
          <w:p w14:paraId="00000048" w14:textId="77777777" w:rsidR="00F918AC" w:rsidRDefault="00000000">
            <w:pPr>
              <w:jc w:val="center"/>
              <w:rPr>
                <w:rFonts w:ascii="Arial" w:eastAsia="Arial" w:hAnsi="Arial" w:cs="Arial"/>
                <w:sz w:val="22"/>
                <w:szCs w:val="22"/>
              </w:rPr>
            </w:pPr>
            <w:r>
              <w:rPr>
                <w:rFonts w:ascii="Arial" w:eastAsia="Arial" w:hAnsi="Arial" w:cs="Arial"/>
                <w:sz w:val="22"/>
                <w:szCs w:val="22"/>
              </w:rPr>
              <w:t>0.98</w:t>
            </w:r>
          </w:p>
        </w:tc>
        <w:tc>
          <w:tcPr>
            <w:tcW w:w="3085" w:type="dxa"/>
          </w:tcPr>
          <w:p w14:paraId="00000049" w14:textId="77777777" w:rsidR="00F918AC" w:rsidRDefault="00000000">
            <w:pPr>
              <w:jc w:val="center"/>
              <w:rPr>
                <w:rFonts w:ascii="Arial" w:eastAsia="Arial" w:hAnsi="Arial" w:cs="Arial"/>
                <w:sz w:val="22"/>
                <w:szCs w:val="22"/>
              </w:rPr>
            </w:pPr>
            <w:r>
              <w:rPr>
                <w:rFonts w:ascii="Arial" w:eastAsia="Arial" w:hAnsi="Arial" w:cs="Arial"/>
                <w:sz w:val="22"/>
                <w:szCs w:val="22"/>
              </w:rPr>
              <w:t>0.98</w:t>
            </w:r>
          </w:p>
        </w:tc>
      </w:tr>
      <w:tr w:rsidR="00F918AC" w14:paraId="00835434" w14:textId="77777777">
        <w:tc>
          <w:tcPr>
            <w:tcW w:w="2840" w:type="dxa"/>
          </w:tcPr>
          <w:p w14:paraId="0000004A" w14:textId="77777777" w:rsidR="00F918AC" w:rsidRDefault="00000000">
            <w:pPr>
              <w:jc w:val="right"/>
              <w:rPr>
                <w:rFonts w:ascii="Arial" w:eastAsia="Arial" w:hAnsi="Arial" w:cs="Arial"/>
                <w:sz w:val="22"/>
                <w:szCs w:val="22"/>
              </w:rPr>
            </w:pPr>
            <w:r>
              <w:rPr>
                <w:rFonts w:ascii="Arial" w:eastAsia="Arial" w:hAnsi="Arial" w:cs="Arial"/>
                <w:sz w:val="22"/>
                <w:szCs w:val="22"/>
              </w:rPr>
              <w:t>Closeness</w:t>
            </w:r>
          </w:p>
        </w:tc>
        <w:tc>
          <w:tcPr>
            <w:tcW w:w="3085" w:type="dxa"/>
          </w:tcPr>
          <w:p w14:paraId="0000004B" w14:textId="77777777" w:rsidR="00F918AC" w:rsidRDefault="00000000">
            <w:pPr>
              <w:jc w:val="center"/>
              <w:rPr>
                <w:rFonts w:ascii="Arial" w:eastAsia="Arial" w:hAnsi="Arial" w:cs="Arial"/>
                <w:sz w:val="22"/>
                <w:szCs w:val="22"/>
              </w:rPr>
            </w:pPr>
            <w:r>
              <w:rPr>
                <w:rFonts w:ascii="Arial" w:eastAsia="Arial" w:hAnsi="Arial" w:cs="Arial"/>
                <w:sz w:val="22"/>
                <w:szCs w:val="22"/>
              </w:rPr>
              <w:t>0.34</w:t>
            </w:r>
          </w:p>
        </w:tc>
        <w:tc>
          <w:tcPr>
            <w:tcW w:w="3085" w:type="dxa"/>
          </w:tcPr>
          <w:p w14:paraId="0000004C" w14:textId="77777777" w:rsidR="00F918AC" w:rsidRDefault="00000000">
            <w:pPr>
              <w:jc w:val="center"/>
              <w:rPr>
                <w:rFonts w:ascii="Arial" w:eastAsia="Arial" w:hAnsi="Arial" w:cs="Arial"/>
                <w:sz w:val="22"/>
                <w:szCs w:val="22"/>
              </w:rPr>
            </w:pPr>
            <w:r>
              <w:rPr>
                <w:rFonts w:ascii="Arial" w:eastAsia="Arial" w:hAnsi="Arial" w:cs="Arial"/>
                <w:sz w:val="22"/>
                <w:szCs w:val="22"/>
              </w:rPr>
              <w:t>0.35</w:t>
            </w:r>
          </w:p>
        </w:tc>
      </w:tr>
      <w:tr w:rsidR="00F918AC" w14:paraId="494204FD" w14:textId="77777777">
        <w:tc>
          <w:tcPr>
            <w:tcW w:w="2840" w:type="dxa"/>
          </w:tcPr>
          <w:p w14:paraId="0000004D" w14:textId="77777777" w:rsidR="00F918AC" w:rsidRDefault="00000000">
            <w:pPr>
              <w:jc w:val="right"/>
              <w:rPr>
                <w:rFonts w:ascii="Arial" w:eastAsia="Arial" w:hAnsi="Arial" w:cs="Arial"/>
                <w:sz w:val="22"/>
                <w:szCs w:val="22"/>
              </w:rPr>
            </w:pPr>
            <w:r>
              <w:rPr>
                <w:rFonts w:ascii="Arial" w:eastAsia="Arial" w:hAnsi="Arial" w:cs="Arial"/>
                <w:sz w:val="22"/>
                <w:szCs w:val="22"/>
              </w:rPr>
              <w:t>Betweenness</w:t>
            </w:r>
          </w:p>
        </w:tc>
        <w:tc>
          <w:tcPr>
            <w:tcW w:w="3085" w:type="dxa"/>
          </w:tcPr>
          <w:p w14:paraId="0000004E" w14:textId="77777777" w:rsidR="00F918AC" w:rsidRDefault="00000000">
            <w:pPr>
              <w:jc w:val="center"/>
              <w:rPr>
                <w:rFonts w:ascii="Arial" w:eastAsia="Arial" w:hAnsi="Arial" w:cs="Arial"/>
                <w:sz w:val="22"/>
                <w:szCs w:val="22"/>
              </w:rPr>
            </w:pPr>
            <w:r>
              <w:rPr>
                <w:rFonts w:ascii="Arial" w:eastAsia="Arial" w:hAnsi="Arial" w:cs="Arial"/>
                <w:sz w:val="22"/>
                <w:szCs w:val="22"/>
              </w:rPr>
              <w:t>0.63</w:t>
            </w:r>
          </w:p>
        </w:tc>
        <w:tc>
          <w:tcPr>
            <w:tcW w:w="3085" w:type="dxa"/>
          </w:tcPr>
          <w:p w14:paraId="0000004F" w14:textId="77777777" w:rsidR="00F918AC" w:rsidRDefault="00000000">
            <w:pPr>
              <w:jc w:val="center"/>
              <w:rPr>
                <w:rFonts w:ascii="Arial" w:eastAsia="Arial" w:hAnsi="Arial" w:cs="Arial"/>
                <w:sz w:val="22"/>
                <w:szCs w:val="22"/>
              </w:rPr>
            </w:pPr>
            <w:r>
              <w:rPr>
                <w:rFonts w:ascii="Arial" w:eastAsia="Arial" w:hAnsi="Arial" w:cs="Arial"/>
                <w:sz w:val="22"/>
                <w:szCs w:val="22"/>
              </w:rPr>
              <w:t>0.61</w:t>
            </w:r>
          </w:p>
        </w:tc>
      </w:tr>
      <w:tr w:rsidR="00F918AC" w14:paraId="04C63D4D" w14:textId="77777777">
        <w:tc>
          <w:tcPr>
            <w:tcW w:w="9010" w:type="dxa"/>
            <w:gridSpan w:val="3"/>
          </w:tcPr>
          <w:p w14:paraId="00000050" w14:textId="77777777" w:rsidR="00F918AC" w:rsidRDefault="00F918AC">
            <w:pPr>
              <w:rPr>
                <w:rFonts w:ascii="Arial" w:eastAsia="Arial" w:hAnsi="Arial" w:cs="Arial"/>
                <w:sz w:val="22"/>
                <w:szCs w:val="22"/>
              </w:rPr>
            </w:pPr>
          </w:p>
          <w:p w14:paraId="00000051" w14:textId="77777777" w:rsidR="00F918AC" w:rsidRDefault="00000000">
            <w:pPr>
              <w:jc w:val="both"/>
              <w:rPr>
                <w:rFonts w:ascii="Arial" w:eastAsia="Arial" w:hAnsi="Arial" w:cs="Arial"/>
                <w:sz w:val="22"/>
                <w:szCs w:val="22"/>
              </w:rPr>
            </w:pPr>
            <w:r>
              <w:rPr>
                <w:rFonts w:ascii="Arial" w:eastAsia="Arial" w:hAnsi="Arial" w:cs="Arial"/>
                <w:b/>
                <w:sz w:val="18"/>
                <w:szCs w:val="18"/>
              </w:rPr>
              <w:t>Table S1. Correlation between banks’ centrality and syndication activity.</w:t>
            </w:r>
            <w:r>
              <w:rPr>
                <w:rFonts w:ascii="Arial" w:eastAsia="Arial" w:hAnsi="Arial" w:cs="Arial"/>
                <w:sz w:val="18"/>
                <w:szCs w:val="18"/>
              </w:rPr>
              <w:t xml:space="preserve"> Pearson’s correlation coefficient between banks’ syndication activity and network centrality measures in a pre-Paris Agreement (2010-2016) and post-Paris Agreement (2017-2021) period. The weighted versions of eigenvector and betweenness centrality are computed.</w:t>
            </w:r>
            <w:r>
              <w:rPr>
                <w:rFonts w:ascii="Arial" w:eastAsia="Arial" w:hAnsi="Arial" w:cs="Arial"/>
                <w:sz w:val="22"/>
                <w:szCs w:val="22"/>
              </w:rPr>
              <w:t xml:space="preserve"> </w:t>
            </w:r>
          </w:p>
        </w:tc>
      </w:tr>
    </w:tbl>
    <w:p w14:paraId="00000054" w14:textId="77777777" w:rsidR="00F918AC" w:rsidRDefault="00F918AC">
      <w:pPr>
        <w:rPr>
          <w:rFonts w:ascii="Arial" w:eastAsia="Arial" w:hAnsi="Arial" w:cs="Arial"/>
          <w:sz w:val="22"/>
          <w:szCs w:val="22"/>
        </w:rPr>
      </w:pPr>
    </w:p>
    <w:p w14:paraId="00000055" w14:textId="77777777" w:rsidR="00F918AC" w:rsidRDefault="00F918AC">
      <w:pPr>
        <w:rPr>
          <w:rFonts w:ascii="Arial" w:eastAsia="Arial" w:hAnsi="Arial" w:cs="Arial"/>
          <w:sz w:val="22"/>
          <w:szCs w:val="22"/>
        </w:rPr>
      </w:pPr>
    </w:p>
    <w:p w14:paraId="00000056" w14:textId="77777777" w:rsidR="00F918AC" w:rsidRDefault="00F918AC">
      <w:pPr>
        <w:rPr>
          <w:rFonts w:ascii="Arial" w:eastAsia="Arial" w:hAnsi="Arial" w:cs="Arial"/>
          <w:sz w:val="22"/>
          <w:szCs w:val="22"/>
        </w:rPr>
      </w:pPr>
    </w:p>
    <w:p w14:paraId="00000057" w14:textId="77777777" w:rsidR="00F918AC" w:rsidRDefault="00F918AC">
      <w:pPr>
        <w:rPr>
          <w:rFonts w:ascii="Arial" w:eastAsia="Arial" w:hAnsi="Arial" w:cs="Arial"/>
          <w:sz w:val="22"/>
          <w:szCs w:val="22"/>
        </w:rPr>
      </w:pPr>
    </w:p>
    <w:p w14:paraId="00000058" w14:textId="77777777" w:rsidR="00F918AC" w:rsidRDefault="00F918AC">
      <w:pPr>
        <w:rPr>
          <w:rFonts w:ascii="Arial" w:eastAsia="Arial" w:hAnsi="Arial" w:cs="Arial"/>
          <w:sz w:val="22"/>
          <w:szCs w:val="22"/>
        </w:rPr>
      </w:pPr>
    </w:p>
    <w:p w14:paraId="00000059" w14:textId="77777777" w:rsidR="00F918AC" w:rsidRDefault="00F918AC">
      <w:pPr>
        <w:rPr>
          <w:rFonts w:ascii="Arial" w:eastAsia="Arial" w:hAnsi="Arial" w:cs="Arial"/>
          <w:sz w:val="22"/>
          <w:szCs w:val="22"/>
        </w:rPr>
      </w:pPr>
    </w:p>
    <w:p w14:paraId="0000005A" w14:textId="77777777" w:rsidR="00F918AC" w:rsidRDefault="00F918AC">
      <w:pPr>
        <w:rPr>
          <w:rFonts w:ascii="Arial" w:eastAsia="Arial" w:hAnsi="Arial" w:cs="Arial"/>
          <w:sz w:val="22"/>
          <w:szCs w:val="22"/>
        </w:rPr>
      </w:pPr>
    </w:p>
    <w:p w14:paraId="0000005B" w14:textId="77777777" w:rsidR="00F918AC" w:rsidRDefault="00F918AC">
      <w:pPr>
        <w:rPr>
          <w:rFonts w:ascii="Arial" w:eastAsia="Arial" w:hAnsi="Arial" w:cs="Arial"/>
          <w:sz w:val="22"/>
          <w:szCs w:val="22"/>
        </w:rPr>
      </w:pPr>
    </w:p>
    <w:p w14:paraId="0000005C" w14:textId="77777777" w:rsidR="00F918AC" w:rsidRDefault="00F918AC">
      <w:pPr>
        <w:rPr>
          <w:rFonts w:ascii="Arial" w:eastAsia="Arial" w:hAnsi="Arial" w:cs="Arial"/>
          <w:sz w:val="22"/>
          <w:szCs w:val="22"/>
        </w:rPr>
      </w:pPr>
    </w:p>
    <w:p w14:paraId="0000005D" w14:textId="77777777" w:rsidR="00F918AC" w:rsidRDefault="00F918AC">
      <w:pPr>
        <w:rPr>
          <w:rFonts w:ascii="Arial" w:eastAsia="Arial" w:hAnsi="Arial" w:cs="Arial"/>
          <w:sz w:val="22"/>
          <w:szCs w:val="22"/>
        </w:rPr>
      </w:pPr>
    </w:p>
    <w:p w14:paraId="0000005E" w14:textId="77777777" w:rsidR="00F918AC" w:rsidRDefault="00F918AC">
      <w:pPr>
        <w:rPr>
          <w:rFonts w:ascii="Arial" w:eastAsia="Arial" w:hAnsi="Arial" w:cs="Arial"/>
          <w:sz w:val="22"/>
          <w:szCs w:val="22"/>
        </w:rPr>
      </w:pPr>
    </w:p>
    <w:p w14:paraId="0000005F" w14:textId="77777777" w:rsidR="00F918AC" w:rsidRDefault="00F918AC">
      <w:pPr>
        <w:rPr>
          <w:rFonts w:ascii="Arial" w:eastAsia="Arial" w:hAnsi="Arial" w:cs="Arial"/>
          <w:sz w:val="22"/>
          <w:szCs w:val="22"/>
        </w:rPr>
      </w:pPr>
    </w:p>
    <w:p w14:paraId="00000060" w14:textId="77777777" w:rsidR="00F918AC" w:rsidRDefault="00F918AC">
      <w:pPr>
        <w:rPr>
          <w:rFonts w:ascii="Arial" w:eastAsia="Arial" w:hAnsi="Arial" w:cs="Arial"/>
          <w:sz w:val="22"/>
          <w:szCs w:val="22"/>
        </w:rPr>
      </w:pPr>
    </w:p>
    <w:p w14:paraId="00000061" w14:textId="77777777" w:rsidR="00F918AC" w:rsidRDefault="00F918AC">
      <w:pPr>
        <w:rPr>
          <w:rFonts w:ascii="Arial" w:eastAsia="Arial" w:hAnsi="Arial" w:cs="Arial"/>
          <w:sz w:val="22"/>
          <w:szCs w:val="22"/>
        </w:rPr>
      </w:pPr>
    </w:p>
    <w:p w14:paraId="00000062" w14:textId="77777777" w:rsidR="00F918AC" w:rsidRDefault="00F918AC">
      <w:pPr>
        <w:rPr>
          <w:rFonts w:ascii="Arial" w:eastAsia="Arial" w:hAnsi="Arial" w:cs="Arial"/>
          <w:sz w:val="22"/>
          <w:szCs w:val="22"/>
        </w:rPr>
      </w:pPr>
    </w:p>
    <w:p w14:paraId="00000063" w14:textId="77777777" w:rsidR="00F918AC" w:rsidRDefault="00F918AC">
      <w:pPr>
        <w:rPr>
          <w:rFonts w:ascii="Arial" w:eastAsia="Arial" w:hAnsi="Arial" w:cs="Arial"/>
          <w:sz w:val="22"/>
          <w:szCs w:val="22"/>
        </w:rPr>
      </w:pPr>
    </w:p>
    <w:p w14:paraId="00000064" w14:textId="77777777" w:rsidR="00F918AC" w:rsidRDefault="00F918AC">
      <w:pPr>
        <w:rPr>
          <w:rFonts w:ascii="Arial" w:eastAsia="Arial" w:hAnsi="Arial" w:cs="Arial"/>
          <w:sz w:val="22"/>
          <w:szCs w:val="22"/>
        </w:rPr>
      </w:pPr>
    </w:p>
    <w:p w14:paraId="00000065" w14:textId="77777777" w:rsidR="00F918AC" w:rsidRDefault="00F918AC">
      <w:pPr>
        <w:rPr>
          <w:rFonts w:ascii="Arial" w:eastAsia="Arial" w:hAnsi="Arial" w:cs="Arial"/>
          <w:sz w:val="22"/>
          <w:szCs w:val="22"/>
        </w:rPr>
      </w:pPr>
    </w:p>
    <w:p w14:paraId="00000066" w14:textId="77777777" w:rsidR="00F918AC" w:rsidRDefault="00F918AC">
      <w:pPr>
        <w:rPr>
          <w:rFonts w:ascii="Arial" w:eastAsia="Arial" w:hAnsi="Arial" w:cs="Arial"/>
          <w:sz w:val="22"/>
          <w:szCs w:val="22"/>
        </w:rPr>
      </w:pPr>
    </w:p>
    <w:p w14:paraId="00000067" w14:textId="77777777" w:rsidR="00F918AC" w:rsidRDefault="00F918AC">
      <w:pPr>
        <w:rPr>
          <w:rFonts w:ascii="Arial" w:eastAsia="Arial" w:hAnsi="Arial" w:cs="Arial"/>
          <w:sz w:val="22"/>
          <w:szCs w:val="22"/>
        </w:rPr>
      </w:pPr>
    </w:p>
    <w:p w14:paraId="00000068" w14:textId="77777777" w:rsidR="00F918AC" w:rsidRDefault="00F918AC">
      <w:pPr>
        <w:rPr>
          <w:rFonts w:ascii="Arial" w:eastAsia="Arial" w:hAnsi="Arial" w:cs="Arial"/>
          <w:sz w:val="22"/>
          <w:szCs w:val="22"/>
        </w:rPr>
      </w:pPr>
    </w:p>
    <w:p w14:paraId="00000069" w14:textId="77777777" w:rsidR="00F918AC" w:rsidRDefault="00F918AC">
      <w:pPr>
        <w:rPr>
          <w:rFonts w:ascii="Arial" w:eastAsia="Arial" w:hAnsi="Arial" w:cs="Arial"/>
          <w:sz w:val="22"/>
          <w:szCs w:val="22"/>
        </w:rPr>
      </w:pPr>
    </w:p>
    <w:p w14:paraId="0000006A" w14:textId="77777777" w:rsidR="00F918AC" w:rsidRDefault="00F918AC">
      <w:pPr>
        <w:rPr>
          <w:rFonts w:ascii="Arial" w:eastAsia="Arial" w:hAnsi="Arial" w:cs="Arial"/>
          <w:sz w:val="22"/>
          <w:szCs w:val="22"/>
        </w:rPr>
      </w:pPr>
    </w:p>
    <w:p w14:paraId="0000006B" w14:textId="77777777" w:rsidR="00F918AC" w:rsidRDefault="00F918AC">
      <w:pPr>
        <w:rPr>
          <w:rFonts w:ascii="Arial" w:eastAsia="Arial" w:hAnsi="Arial" w:cs="Arial"/>
          <w:sz w:val="22"/>
          <w:szCs w:val="22"/>
        </w:rPr>
      </w:pPr>
    </w:p>
    <w:p w14:paraId="0000006C" w14:textId="77777777" w:rsidR="00F918AC" w:rsidRDefault="00F918AC">
      <w:pPr>
        <w:rPr>
          <w:rFonts w:ascii="Arial" w:eastAsia="Arial" w:hAnsi="Arial" w:cs="Arial"/>
          <w:sz w:val="22"/>
          <w:szCs w:val="22"/>
        </w:rPr>
      </w:pPr>
    </w:p>
    <w:p w14:paraId="0000006D" w14:textId="77777777" w:rsidR="00F918AC" w:rsidRDefault="00F918AC">
      <w:pPr>
        <w:rPr>
          <w:rFonts w:ascii="Arial" w:eastAsia="Arial" w:hAnsi="Arial" w:cs="Arial"/>
          <w:sz w:val="22"/>
          <w:szCs w:val="22"/>
        </w:rPr>
      </w:pPr>
    </w:p>
    <w:p w14:paraId="0000006E" w14:textId="77777777" w:rsidR="00F918AC" w:rsidRDefault="00F918AC">
      <w:pPr>
        <w:rPr>
          <w:rFonts w:ascii="Arial" w:eastAsia="Arial" w:hAnsi="Arial" w:cs="Arial"/>
          <w:sz w:val="22"/>
          <w:szCs w:val="22"/>
        </w:rPr>
      </w:pPr>
    </w:p>
    <w:p w14:paraId="0000006F" w14:textId="77777777" w:rsidR="00F918AC" w:rsidRDefault="00F918AC">
      <w:pPr>
        <w:rPr>
          <w:rFonts w:ascii="Arial" w:eastAsia="Arial" w:hAnsi="Arial" w:cs="Arial"/>
          <w:sz w:val="22"/>
          <w:szCs w:val="22"/>
        </w:rPr>
      </w:pPr>
    </w:p>
    <w:p w14:paraId="00000070" w14:textId="77777777" w:rsidR="00F918AC" w:rsidRDefault="00F918AC">
      <w:pPr>
        <w:rPr>
          <w:rFonts w:ascii="Arial" w:eastAsia="Arial" w:hAnsi="Arial" w:cs="Arial"/>
          <w:sz w:val="22"/>
          <w:szCs w:val="22"/>
        </w:rPr>
      </w:pPr>
    </w:p>
    <w:p w14:paraId="00000071" w14:textId="77777777" w:rsidR="00F918AC" w:rsidRDefault="00F918AC">
      <w:pPr>
        <w:rPr>
          <w:rFonts w:ascii="Arial" w:eastAsia="Arial" w:hAnsi="Arial" w:cs="Arial"/>
          <w:sz w:val="22"/>
          <w:szCs w:val="22"/>
        </w:rPr>
      </w:pPr>
    </w:p>
    <w:p w14:paraId="00000072" w14:textId="77777777" w:rsidR="00F918AC" w:rsidRDefault="00F918AC">
      <w:pPr>
        <w:rPr>
          <w:rFonts w:ascii="Arial" w:eastAsia="Arial" w:hAnsi="Arial" w:cs="Arial"/>
          <w:sz w:val="22"/>
          <w:szCs w:val="22"/>
        </w:rPr>
      </w:pPr>
    </w:p>
    <w:p w14:paraId="00000073" w14:textId="77777777" w:rsidR="00F918AC" w:rsidRDefault="00F918AC">
      <w:pPr>
        <w:rPr>
          <w:rFonts w:ascii="Arial" w:eastAsia="Arial" w:hAnsi="Arial" w:cs="Arial"/>
          <w:sz w:val="22"/>
          <w:szCs w:val="22"/>
        </w:rPr>
      </w:pPr>
    </w:p>
    <w:p w14:paraId="00000074" w14:textId="77777777" w:rsidR="00F918AC" w:rsidRDefault="00F918AC">
      <w:pPr>
        <w:rPr>
          <w:rFonts w:ascii="Arial" w:eastAsia="Arial" w:hAnsi="Arial" w:cs="Arial"/>
          <w:sz w:val="22"/>
          <w:szCs w:val="22"/>
        </w:rPr>
      </w:pPr>
    </w:p>
    <w:p w14:paraId="00000075" w14:textId="77777777" w:rsidR="00F918AC" w:rsidRDefault="00F918AC">
      <w:pPr>
        <w:rPr>
          <w:rFonts w:ascii="Arial" w:eastAsia="Arial" w:hAnsi="Arial" w:cs="Arial"/>
          <w:sz w:val="22"/>
          <w:szCs w:val="22"/>
        </w:rPr>
      </w:pPr>
    </w:p>
    <w:p w14:paraId="00000076" w14:textId="77777777" w:rsidR="00F918AC" w:rsidRDefault="00F918AC">
      <w:pPr>
        <w:rPr>
          <w:rFonts w:ascii="Arial" w:eastAsia="Arial" w:hAnsi="Arial" w:cs="Arial"/>
          <w:sz w:val="22"/>
          <w:szCs w:val="22"/>
        </w:rPr>
      </w:pPr>
    </w:p>
    <w:p w14:paraId="00000077" w14:textId="77777777" w:rsidR="00F918AC" w:rsidRDefault="00F918AC">
      <w:pPr>
        <w:rPr>
          <w:rFonts w:ascii="Arial" w:eastAsia="Arial" w:hAnsi="Arial" w:cs="Arial"/>
          <w:sz w:val="22"/>
          <w:szCs w:val="22"/>
        </w:rPr>
      </w:pPr>
    </w:p>
    <w:p w14:paraId="00000078" w14:textId="77777777" w:rsidR="00F918AC" w:rsidRDefault="00F918AC">
      <w:pPr>
        <w:rPr>
          <w:rFonts w:ascii="Arial" w:eastAsia="Arial" w:hAnsi="Arial" w:cs="Arial"/>
          <w:sz w:val="22"/>
          <w:szCs w:val="22"/>
        </w:rPr>
      </w:pPr>
    </w:p>
    <w:p w14:paraId="00000079" w14:textId="77777777" w:rsidR="00F918AC" w:rsidRDefault="00000000">
      <w:pPr>
        <w:pStyle w:val="Heading2"/>
        <w:rPr>
          <w:rFonts w:ascii="Arial" w:eastAsia="Arial" w:hAnsi="Arial" w:cs="Arial"/>
          <w:sz w:val="22"/>
          <w:szCs w:val="22"/>
        </w:rPr>
      </w:pPr>
      <w:bookmarkStart w:id="0" w:name="_heading=h.ml3qmqu525oe" w:colFirst="0" w:colLast="0"/>
      <w:bookmarkEnd w:id="0"/>
      <w:r>
        <w:rPr>
          <w:rFonts w:ascii="Arial" w:eastAsia="Arial" w:hAnsi="Arial" w:cs="Arial"/>
          <w:b w:val="0"/>
        </w:rPr>
        <w:lastRenderedPageBreak/>
        <w:t>Supplementary Methods</w:t>
      </w:r>
    </w:p>
    <w:p w14:paraId="0000007A" w14:textId="77777777" w:rsidR="00F918AC" w:rsidRDefault="00000000">
      <w:pPr>
        <w:pStyle w:val="Heading3"/>
        <w:rPr>
          <w:rFonts w:ascii="Arial" w:eastAsia="Arial" w:hAnsi="Arial" w:cs="Arial"/>
          <w:i/>
          <w:sz w:val="22"/>
          <w:szCs w:val="22"/>
        </w:rPr>
      </w:pPr>
      <w:bookmarkStart w:id="1" w:name="_heading=h.thevqjj5j6iv" w:colFirst="0" w:colLast="0"/>
      <w:bookmarkEnd w:id="1"/>
      <w:r>
        <w:rPr>
          <w:rFonts w:ascii="Arial" w:eastAsia="Arial" w:hAnsi="Arial" w:cs="Arial"/>
          <w:b w:val="0"/>
          <w:i/>
          <w:sz w:val="22"/>
          <w:szCs w:val="22"/>
        </w:rPr>
        <w:t xml:space="preserve">Data coverage </w:t>
      </w:r>
    </w:p>
    <w:p w14:paraId="0000007B" w14:textId="35CD2FF8" w:rsidR="00F918AC" w:rsidRDefault="00000000">
      <w:pPr>
        <w:spacing w:after="160" w:line="233" w:lineRule="auto"/>
        <w:jc w:val="both"/>
        <w:rPr>
          <w:rFonts w:ascii="Arial" w:eastAsia="Arial" w:hAnsi="Arial" w:cs="Arial"/>
          <w:sz w:val="22"/>
          <w:szCs w:val="22"/>
        </w:rPr>
      </w:pPr>
      <w:r>
        <w:rPr>
          <w:rFonts w:ascii="Arial" w:eastAsia="Arial" w:hAnsi="Arial" w:cs="Arial"/>
          <w:sz w:val="22"/>
          <w:szCs w:val="22"/>
        </w:rPr>
        <w:t xml:space="preserve">Comparing the Bloomberg data with a joint report by Rainforest Action Network, </w:t>
      </w:r>
      <w:proofErr w:type="spellStart"/>
      <w:r>
        <w:rPr>
          <w:rFonts w:ascii="Arial" w:eastAsia="Arial" w:hAnsi="Arial" w:cs="Arial"/>
          <w:sz w:val="22"/>
          <w:szCs w:val="22"/>
        </w:rPr>
        <w:t>BankTrack</w:t>
      </w:r>
      <w:proofErr w:type="spellEnd"/>
      <w:r>
        <w:rPr>
          <w:rFonts w:ascii="Arial" w:eastAsia="Arial" w:hAnsi="Arial" w:cs="Arial"/>
          <w:sz w:val="22"/>
          <w:szCs w:val="22"/>
        </w:rPr>
        <w:t xml:space="preserve">, Indigenous Environmental Network, Oil Change International, Reclaim Finance, Sierra Club and </w:t>
      </w:r>
      <w:sdt>
        <w:sdtPr>
          <w:tag w:val="goog_rdk_0"/>
          <w:id w:val="-2007740958"/>
        </w:sdtPr>
        <w:sdtContent/>
      </w:sdt>
      <w:r>
        <w:rPr>
          <w:rFonts w:ascii="Arial" w:eastAsia="Arial" w:hAnsi="Arial" w:cs="Arial"/>
          <w:sz w:val="22"/>
          <w:szCs w:val="22"/>
        </w:rPr>
        <w:t>urgewald</w:t>
      </w:r>
      <w:r w:rsidR="002854C0">
        <w:rPr>
          <w:rFonts w:ascii="Arial" w:eastAsia="Arial" w:hAnsi="Arial" w:cs="Arial"/>
          <w:sz w:val="22"/>
          <w:szCs w:val="22"/>
        </w:rPr>
        <w:fldChar w:fldCharType="begin"/>
      </w:r>
      <w:r w:rsidR="002854C0">
        <w:rPr>
          <w:rFonts w:ascii="Arial" w:eastAsia="Arial" w:hAnsi="Arial" w:cs="Arial"/>
          <w:sz w:val="22"/>
          <w:szCs w:val="22"/>
        </w:rPr>
        <w:instrText xml:space="preserve"> ADDIN EN.CITE &lt;EndNote&gt;&lt;Cite&gt;&lt;Author&gt;Rainforest Action Network&lt;/Author&gt;&lt;Year&gt;2023&lt;/Year&gt;&lt;RecNum&gt;25&lt;/RecNum&gt;&lt;DisplayText&gt;&lt;style face="superscript"&gt;1&lt;/style&gt;&lt;/DisplayText&gt;&lt;record&gt;&lt;rec-number&gt;25&lt;/rec-number&gt;&lt;foreign-keys&gt;&lt;key app="EN" db-id="pxwe2zrxz0r2soe2praxx5wrxrdvdxvdazdd" timestamp="1684397096"&gt;25&lt;/key&gt;&lt;/foreign-keys&gt;&lt;ref-type name="Journal Article"&gt;17&lt;/ref-type&gt;&lt;contributors&gt;&lt;authors&gt;&lt;author&gt;Rainforest Action Network, &lt;/author&gt;&lt;author&gt;Indigenous Environmental Network,&lt;/author&gt;&lt;author&gt;Reclaim Finance,&lt;/author&gt;&lt;author&gt;Sierra Club,&lt;/author&gt;&lt;/authors&gt;&lt;/contributors&gt;&lt;titles&gt;&lt;title&gt;Banking on Climate Chaos 2023&lt;/title&gt;&lt;/titles&gt;&lt;dates&gt;&lt;year&gt;2023&lt;/year&gt;&lt;/dates&gt;&lt;urls&gt;&lt;/urls&gt;&lt;/record&gt;&lt;/Cite&gt;&lt;/EndNote&gt;</w:instrText>
      </w:r>
      <w:r w:rsidR="002854C0">
        <w:rPr>
          <w:rFonts w:ascii="Arial" w:eastAsia="Arial" w:hAnsi="Arial" w:cs="Arial"/>
          <w:sz w:val="22"/>
          <w:szCs w:val="22"/>
        </w:rPr>
        <w:fldChar w:fldCharType="separate"/>
      </w:r>
      <w:r w:rsidR="002854C0" w:rsidRPr="002854C0">
        <w:rPr>
          <w:rFonts w:ascii="Arial" w:eastAsia="Arial" w:hAnsi="Arial" w:cs="Arial"/>
          <w:noProof/>
          <w:sz w:val="22"/>
          <w:szCs w:val="22"/>
          <w:vertAlign w:val="superscript"/>
        </w:rPr>
        <w:t>1</w:t>
      </w:r>
      <w:r w:rsidR="002854C0">
        <w:rPr>
          <w:rFonts w:ascii="Arial" w:eastAsia="Arial" w:hAnsi="Arial" w:cs="Arial"/>
          <w:sz w:val="22"/>
          <w:szCs w:val="22"/>
        </w:rPr>
        <w:fldChar w:fldCharType="end"/>
      </w:r>
      <w:r>
        <w:rPr>
          <w:rFonts w:ascii="Arial" w:eastAsia="Arial" w:hAnsi="Arial" w:cs="Arial"/>
          <w:sz w:val="22"/>
          <w:szCs w:val="22"/>
        </w:rPr>
        <w:t xml:space="preserve"> affirms that it is representative of the finance provided global banking sector. The joint report cites that 742 billion USD of bank finance (debt and equity) was provided to the fossil fuel sector in 2021. A conservative minimum estimate for the equity share of total finance is </w:t>
      </w:r>
      <w:sdt>
        <w:sdtPr>
          <w:tag w:val="goog_rdk_1"/>
          <w:id w:val="-1006894928"/>
        </w:sdtPr>
        <w:sdtContent/>
      </w:sdt>
      <w:r>
        <w:rPr>
          <w:rFonts w:ascii="Arial" w:eastAsia="Arial" w:hAnsi="Arial" w:cs="Arial"/>
          <w:sz w:val="22"/>
          <w:szCs w:val="22"/>
        </w:rPr>
        <w:t>10%</w:t>
      </w:r>
      <w:r w:rsidR="002854C0">
        <w:rPr>
          <w:rFonts w:ascii="Arial" w:eastAsia="Arial" w:hAnsi="Arial" w:cs="Arial"/>
          <w:sz w:val="22"/>
          <w:szCs w:val="22"/>
        </w:rPr>
        <w:fldChar w:fldCharType="begin"/>
      </w:r>
      <w:r w:rsidR="002854C0">
        <w:rPr>
          <w:rFonts w:ascii="Arial" w:eastAsia="Arial" w:hAnsi="Arial" w:cs="Arial"/>
          <w:sz w:val="22"/>
          <w:szCs w:val="22"/>
        </w:rPr>
        <w:instrText xml:space="preserve"> ADDIN EN.CITE &lt;EndNote&gt;&lt;Cite&gt;&lt;Author&gt;Fight&lt;/Author&gt;&lt;Year&gt;2004&lt;/Year&gt;&lt;RecNum&gt;24&lt;/RecNum&gt;&lt;DisplayText&gt;&lt;style face="superscript"&gt;2&lt;/style&gt;&lt;/DisplayText&gt;&lt;record&gt;&lt;rec-number&gt;24&lt;/rec-number&gt;&lt;foreign-keys&gt;&lt;key app="EN" db-id="pxwe2zrxz0r2soe2praxx5wrxrdvdxvdazdd" timestamp="1684397062"&gt;24&lt;/key&gt;&lt;/foreign-keys&gt;&lt;ref-type name="Book"&gt;6&lt;/ref-type&gt;&lt;contributors&gt;&lt;authors&gt;&lt;author&gt;Fight, Andrew&lt;/author&gt;&lt;/authors&gt;&lt;/contributors&gt;&lt;titles&gt;&lt;title&gt;Syndicated lending&lt;/title&gt;&lt;/titles&gt;&lt;dates&gt;&lt;year&gt;2004&lt;/year&gt;&lt;/dates&gt;&lt;publisher&gt;Elsevier&lt;/publisher&gt;&lt;isbn&gt;0080481280&lt;/isbn&gt;&lt;urls&gt;&lt;/urls&gt;&lt;/record&gt;&lt;/Cite&gt;&lt;/EndNote&gt;</w:instrText>
      </w:r>
      <w:r w:rsidR="002854C0">
        <w:rPr>
          <w:rFonts w:ascii="Arial" w:eastAsia="Arial" w:hAnsi="Arial" w:cs="Arial"/>
          <w:sz w:val="22"/>
          <w:szCs w:val="22"/>
        </w:rPr>
        <w:fldChar w:fldCharType="separate"/>
      </w:r>
      <w:r w:rsidR="002854C0" w:rsidRPr="002854C0">
        <w:rPr>
          <w:rFonts w:ascii="Arial" w:eastAsia="Arial" w:hAnsi="Arial" w:cs="Arial"/>
          <w:noProof/>
          <w:sz w:val="22"/>
          <w:szCs w:val="22"/>
          <w:vertAlign w:val="superscript"/>
        </w:rPr>
        <w:t>2</w:t>
      </w:r>
      <w:r w:rsidR="002854C0">
        <w:rPr>
          <w:rFonts w:ascii="Arial" w:eastAsia="Arial" w:hAnsi="Arial" w:cs="Arial"/>
          <w:sz w:val="22"/>
          <w:szCs w:val="22"/>
        </w:rPr>
        <w:fldChar w:fldCharType="end"/>
      </w:r>
      <w:r>
        <w:rPr>
          <w:rFonts w:ascii="Arial" w:eastAsia="Arial" w:hAnsi="Arial" w:cs="Arial"/>
          <w:sz w:val="22"/>
          <w:szCs w:val="22"/>
        </w:rPr>
        <w:t>, which indicates 667 billion USD was provided as bonds and loans. This figure compares well with the Bloomberg data, which reports 592 billion USD of bonds and loans in 2021.</w:t>
      </w:r>
    </w:p>
    <w:p w14:paraId="0000007C" w14:textId="77777777" w:rsidR="00F918AC" w:rsidRDefault="00000000">
      <w:pPr>
        <w:spacing w:after="200"/>
        <w:rPr>
          <w:rFonts w:ascii="Arial" w:eastAsia="Arial" w:hAnsi="Arial" w:cs="Arial"/>
          <w:i/>
          <w:color w:val="000000"/>
          <w:sz w:val="22"/>
          <w:szCs w:val="22"/>
        </w:rPr>
      </w:pPr>
      <w:r>
        <w:rPr>
          <w:rFonts w:ascii="Arial" w:eastAsia="Arial" w:hAnsi="Arial" w:cs="Arial"/>
          <w:i/>
          <w:color w:val="000000"/>
          <w:sz w:val="22"/>
          <w:szCs w:val="22"/>
        </w:rPr>
        <w:t>Phase-out model results for the years 2010-2021</w:t>
      </w:r>
    </w:p>
    <w:p w14:paraId="0000007D" w14:textId="77777777" w:rsidR="00F918AC" w:rsidRDefault="00000000">
      <w:pPr>
        <w:spacing w:after="200"/>
        <w:jc w:val="both"/>
        <w:rPr>
          <w:rFonts w:ascii="Arial" w:eastAsia="Arial" w:hAnsi="Arial" w:cs="Arial"/>
          <w:color w:val="44546A"/>
          <w:sz w:val="26"/>
          <w:szCs w:val="26"/>
        </w:rPr>
      </w:pPr>
      <w:r>
        <w:rPr>
          <w:rFonts w:ascii="Arial" w:eastAsia="Arial" w:hAnsi="Arial" w:cs="Arial"/>
          <w:sz w:val="22"/>
          <w:szCs w:val="22"/>
        </w:rPr>
        <w:t xml:space="preserve">Figure S2 shows results for the phase-out model computed with data from 2010 to 2021. For each year, we compute the efficiency gap and tipping point using two different values of the capital limit percentage. In Fig. S2a we plot the efficiency gap for both capital limits (10% and 50% for illustrative purposes) relative to the mean efficiency gap across all 12 years. We find that the efficiency gap only varies by small amounts over time for fixed capital limit percentages. In years with greater fossil fuel lending and syndication, the efficiency gap is generally larger than in years where lending is lower. These effects are larger for higher capital limit percentages. However, overall fluctuations in the capital limit are small, with the efficiency gap always within 20% of the mean value across the time period. </w:t>
      </w:r>
    </w:p>
    <w:p w14:paraId="0000007E" w14:textId="77777777" w:rsidR="00F918AC" w:rsidRDefault="00000000">
      <w:pPr>
        <w:spacing w:after="200"/>
        <w:jc w:val="both"/>
        <w:rPr>
          <w:rFonts w:ascii="Arial" w:eastAsia="Arial" w:hAnsi="Arial" w:cs="Arial"/>
          <w:sz w:val="22"/>
          <w:szCs w:val="22"/>
        </w:rPr>
      </w:pPr>
      <w:r>
        <w:rPr>
          <w:rFonts w:ascii="Arial" w:eastAsia="Arial" w:hAnsi="Arial" w:cs="Arial"/>
          <w:sz w:val="22"/>
          <w:szCs w:val="22"/>
        </w:rPr>
        <w:t>In terms of the tipping point, we see that our result that the tipping point is delayed for larger capital limits is robust across all 12 years studied. We note that although the efficiency gap has fluctuated over time, reaching a peak in 2020, the tipping point has steadily grown over time. This is indicative of the growing level of syndication of the fossil fuel lending network in the period 2010-21.</w:t>
      </w:r>
    </w:p>
    <w:p w14:paraId="0000007F" w14:textId="77777777" w:rsidR="00F918AC" w:rsidRDefault="00000000">
      <w:pPr>
        <w:spacing w:after="200"/>
        <w:jc w:val="both"/>
        <w:rPr>
          <w:rFonts w:ascii="Arial" w:eastAsia="Arial" w:hAnsi="Arial" w:cs="Arial"/>
          <w:i/>
          <w:sz w:val="22"/>
          <w:szCs w:val="22"/>
        </w:rPr>
      </w:pPr>
      <w:r>
        <w:rPr>
          <w:rFonts w:ascii="Arial" w:eastAsia="Arial" w:hAnsi="Arial" w:cs="Arial"/>
          <w:i/>
          <w:sz w:val="22"/>
          <w:szCs w:val="22"/>
        </w:rPr>
        <w:t>Variants of the phase-out model</w:t>
      </w:r>
    </w:p>
    <w:p w14:paraId="00000080" w14:textId="77777777" w:rsidR="00F918AC" w:rsidRDefault="00000000">
      <w:pPr>
        <w:spacing w:after="200"/>
        <w:jc w:val="both"/>
        <w:rPr>
          <w:rFonts w:ascii="Arial" w:eastAsia="Arial" w:hAnsi="Arial" w:cs="Arial"/>
          <w:color w:val="000000"/>
          <w:sz w:val="22"/>
          <w:szCs w:val="22"/>
        </w:rPr>
      </w:pPr>
      <w:r>
        <w:rPr>
          <w:rFonts w:ascii="Arial" w:eastAsia="Arial" w:hAnsi="Arial" w:cs="Arial"/>
          <w:sz w:val="22"/>
          <w:szCs w:val="22"/>
        </w:rPr>
        <w:t xml:space="preserve">We now study three variants of the basic phase-out model. First, we study how changes to the procedure for finding new syndicate partners for substitution affect fossil fuel phase-out (Fig. S3). </w:t>
      </w:r>
      <w:r>
        <w:rPr>
          <w:rFonts w:ascii="Arial" w:eastAsia="Arial" w:hAnsi="Arial" w:cs="Arial"/>
          <w:color w:val="000000"/>
          <w:sz w:val="22"/>
          <w:szCs w:val="22"/>
        </w:rPr>
        <w:t>In the ‘random’ phase-out model substituted capital is replaced by a random bank, in the ‘ranked’ phase-out model capital is replaced by banks ranked according to the number of existing relationships with the existing syndicate</w:t>
      </w:r>
      <w:r>
        <w:rPr>
          <w:rFonts w:ascii="Arial" w:eastAsia="Arial" w:hAnsi="Arial" w:cs="Arial"/>
          <w:b/>
          <w:color w:val="000000"/>
          <w:sz w:val="22"/>
          <w:szCs w:val="22"/>
        </w:rPr>
        <w:t>.</w:t>
      </w:r>
      <w:r>
        <w:rPr>
          <w:rFonts w:ascii="Arial" w:eastAsia="Arial" w:hAnsi="Arial" w:cs="Arial"/>
          <w:color w:val="000000"/>
          <w:sz w:val="22"/>
          <w:szCs w:val="22"/>
        </w:rPr>
        <w:t xml:space="preserve"> </w:t>
      </w:r>
      <w:r>
        <w:rPr>
          <w:rFonts w:ascii="Arial" w:eastAsia="Arial" w:hAnsi="Arial" w:cs="Arial"/>
          <w:sz w:val="22"/>
          <w:szCs w:val="22"/>
        </w:rPr>
        <w:t>Then, we consider limits to the number of banks who can act as candidates for substitution for any given at-risk deal (Fig. S4). Finally, we test a model variant that accounts for the increased perceived risk of a deal that acquires substitute capital multiple times, by limiting the number of times a deal can substitute capital before automatically failing (Fig. S5).</w:t>
      </w:r>
    </w:p>
    <w:p w14:paraId="00000081" w14:textId="77777777" w:rsidR="00F918AC" w:rsidRDefault="00000000">
      <w:pPr>
        <w:numPr>
          <w:ilvl w:val="0"/>
          <w:numId w:val="1"/>
        </w:numPr>
        <w:pBdr>
          <w:top w:val="nil"/>
          <w:left w:val="nil"/>
          <w:bottom w:val="nil"/>
          <w:right w:val="nil"/>
          <w:between w:val="nil"/>
        </w:pBdr>
        <w:spacing w:after="200"/>
        <w:jc w:val="both"/>
        <w:rPr>
          <w:rFonts w:ascii="Arial" w:eastAsia="Arial" w:hAnsi="Arial" w:cs="Arial"/>
          <w:i/>
          <w:color w:val="000000"/>
          <w:sz w:val="22"/>
          <w:szCs w:val="22"/>
        </w:rPr>
      </w:pPr>
      <w:r>
        <w:rPr>
          <w:rFonts w:ascii="Arial" w:eastAsia="Arial" w:hAnsi="Arial" w:cs="Arial"/>
          <w:i/>
          <w:color w:val="000000"/>
          <w:sz w:val="22"/>
          <w:szCs w:val="22"/>
        </w:rPr>
        <w:t xml:space="preserve">Ranked vs. random substitution  </w:t>
      </w:r>
    </w:p>
    <w:p w14:paraId="00000082" w14:textId="77777777" w:rsidR="00F918AC" w:rsidRDefault="00000000">
      <w:pPr>
        <w:spacing w:after="200"/>
        <w:jc w:val="both"/>
        <w:rPr>
          <w:rFonts w:ascii="Arial" w:eastAsia="Arial" w:hAnsi="Arial" w:cs="Arial"/>
          <w:sz w:val="22"/>
          <w:szCs w:val="22"/>
        </w:rPr>
      </w:pPr>
      <w:r>
        <w:rPr>
          <w:rFonts w:ascii="Arial" w:eastAsia="Arial" w:hAnsi="Arial" w:cs="Arial"/>
          <w:sz w:val="22"/>
          <w:szCs w:val="22"/>
        </w:rPr>
        <w:t>In the base model, candidate syndicate partners for substitution are chosen at random from all banks who are not phased-out from the sector and who are not yet part of the syndicate. We refer to this as the ‘random’ case. We now compare this to a model where syndicate partners are chosen preferentially in order of the total number of syndicates in which the existing syndicate banks co-invest with the candidate bank. We refer to this as the ‘ranked’ case. Results are shown in Fig. S3 using two different values for the capital limit, 30% and 200% for illustrative purposes.</w:t>
      </w:r>
    </w:p>
    <w:p w14:paraId="00000083" w14:textId="77777777" w:rsidR="00F918AC" w:rsidRDefault="00000000">
      <w:pPr>
        <w:spacing w:after="200"/>
        <w:jc w:val="both"/>
        <w:rPr>
          <w:rFonts w:ascii="Arial" w:eastAsia="Arial" w:hAnsi="Arial" w:cs="Arial"/>
          <w:sz w:val="22"/>
          <w:szCs w:val="22"/>
        </w:rPr>
      </w:pPr>
      <w:r>
        <w:rPr>
          <w:rFonts w:ascii="Arial" w:eastAsia="Arial" w:hAnsi="Arial" w:cs="Arial"/>
          <w:sz w:val="22"/>
          <w:szCs w:val="22"/>
        </w:rPr>
        <w:t xml:space="preserve">In Fig. S3a, we see two key differences between the random and ranked cases: (1) In the ranked case, there is non-zero phase-out efficiency before the tipping point is reached (efficiency &gt; 0.5), with the efficiency slowly growing throughout the phase-out process. </w:t>
      </w:r>
      <w:r>
        <w:rPr>
          <w:rFonts w:ascii="Arial" w:eastAsia="Arial" w:hAnsi="Arial" w:cs="Arial"/>
          <w:sz w:val="22"/>
          <w:szCs w:val="22"/>
        </w:rPr>
        <w:lastRenderedPageBreak/>
        <w:t xml:space="preserve">However, (2) this increase in early phase-out efficiency appears to delay the onset of the tipping point. Overall, we see in Fig S2b&amp;c that there is very little difference in the efficiency gap and tipping point that arises between the two cases for fixed capital limits. </w:t>
      </w:r>
    </w:p>
    <w:p w14:paraId="00000085" w14:textId="5FE444C8" w:rsidR="00F918AC" w:rsidRPr="002854C0" w:rsidRDefault="00000000" w:rsidP="002854C0">
      <w:pPr>
        <w:spacing w:after="200"/>
        <w:jc w:val="both"/>
        <w:rPr>
          <w:rFonts w:ascii="Arial" w:eastAsia="Arial" w:hAnsi="Arial" w:cs="Arial"/>
          <w:sz w:val="22"/>
          <w:szCs w:val="22"/>
        </w:rPr>
      </w:pPr>
      <w:r>
        <w:rPr>
          <w:rFonts w:ascii="Arial" w:eastAsia="Arial" w:hAnsi="Arial" w:cs="Arial"/>
          <w:sz w:val="22"/>
          <w:szCs w:val="22"/>
        </w:rPr>
        <w:t xml:space="preserve">The lack of a sharp transition from zero to non-zero phase-out efficiency in the ranked case is the result of deals for which the syndicate members have co-investment relationships with only a small number of banks. Hence, if these candidate banks for substitution phase-out or reach their capital limits, no other banks can substitute capital. This effect is representative of deals which are regionally isolated and only involve a small number of local / regional banks who do not have relationships with the broader fossil fuel lending network. However, these effects do not have a significant impact on the overall efficiency of phase-out. </w:t>
      </w:r>
    </w:p>
    <w:p w14:paraId="00000086" w14:textId="77777777" w:rsidR="00F918AC" w:rsidRDefault="00000000">
      <w:pPr>
        <w:numPr>
          <w:ilvl w:val="0"/>
          <w:numId w:val="1"/>
        </w:numPr>
        <w:pBdr>
          <w:top w:val="nil"/>
          <w:left w:val="nil"/>
          <w:bottom w:val="nil"/>
          <w:right w:val="nil"/>
          <w:between w:val="nil"/>
        </w:pBdr>
        <w:spacing w:after="200"/>
        <w:rPr>
          <w:rFonts w:ascii="Arial" w:eastAsia="Arial" w:hAnsi="Arial" w:cs="Arial"/>
          <w:i/>
          <w:color w:val="000000"/>
          <w:sz w:val="22"/>
          <w:szCs w:val="22"/>
        </w:rPr>
      </w:pPr>
      <w:r>
        <w:rPr>
          <w:rFonts w:ascii="Arial" w:eastAsia="Arial" w:hAnsi="Arial" w:cs="Arial"/>
          <w:i/>
          <w:color w:val="000000"/>
          <w:sz w:val="22"/>
          <w:szCs w:val="22"/>
        </w:rPr>
        <w:t>Limiting the number of candidate banks for substitution</w:t>
      </w:r>
    </w:p>
    <w:p w14:paraId="00000087" w14:textId="77777777" w:rsidR="00F918AC" w:rsidRDefault="00000000">
      <w:pPr>
        <w:spacing w:after="200"/>
        <w:jc w:val="both"/>
        <w:rPr>
          <w:rFonts w:ascii="Arial" w:eastAsia="Arial" w:hAnsi="Arial" w:cs="Arial"/>
          <w:sz w:val="22"/>
          <w:szCs w:val="22"/>
        </w:rPr>
      </w:pPr>
      <w:r>
        <w:rPr>
          <w:rFonts w:ascii="Arial" w:eastAsia="Arial" w:hAnsi="Arial" w:cs="Arial"/>
          <w:sz w:val="22"/>
          <w:szCs w:val="22"/>
        </w:rPr>
        <w:t>In the base model, a deal at risk will attempt to acquire substitute capital from any of the banks which are not yet phased-out of the sector. Here, we adapt the model to limit the number of possible banks who can act as a candidate for substitution. If a deal at risk fails to acquire substitute capital from those limited candidate banks, the deal fails. Results with two capital limits (10% and 50% for illustrative purposes) are shown in Fig. S4.</w:t>
      </w:r>
    </w:p>
    <w:p w14:paraId="00000089" w14:textId="532F95A1" w:rsidR="00F918AC" w:rsidRDefault="00000000">
      <w:pPr>
        <w:spacing w:after="200"/>
        <w:jc w:val="both"/>
        <w:rPr>
          <w:rFonts w:ascii="Arial" w:eastAsia="Arial" w:hAnsi="Arial" w:cs="Arial"/>
          <w:sz w:val="22"/>
          <w:szCs w:val="22"/>
        </w:rPr>
      </w:pPr>
      <w:r>
        <w:rPr>
          <w:rFonts w:ascii="Arial" w:eastAsia="Arial" w:hAnsi="Arial" w:cs="Arial"/>
          <w:sz w:val="22"/>
          <w:szCs w:val="22"/>
        </w:rPr>
        <w:t>Figure S4a shows that imposing limits to the number of substituting partners reduces the number of banks which must phase-out of the sector to reach the tipping point. In particular, if the limit on the candidate banks is highly restrictive, this can substantially improve phase-out efficiency. However, the key feature of the model – a sharp transition from low to high phase-out efficiency – persists in this variant. The efficiency gap and tipping point both decrease with tighter limits on the number of substitute banks (Fig. S4b &amp; c). However, phase-out efficiency remains low, even with tight limits on the number of substitute banks, unless strict capital limits are also in place.</w:t>
      </w:r>
    </w:p>
    <w:p w14:paraId="0000008A" w14:textId="77777777" w:rsidR="00F918AC" w:rsidRDefault="00000000">
      <w:pPr>
        <w:numPr>
          <w:ilvl w:val="0"/>
          <w:numId w:val="1"/>
        </w:numPr>
        <w:pBdr>
          <w:top w:val="nil"/>
          <w:left w:val="nil"/>
          <w:bottom w:val="nil"/>
          <w:right w:val="nil"/>
          <w:between w:val="nil"/>
        </w:pBdr>
        <w:spacing w:after="200"/>
        <w:jc w:val="both"/>
        <w:rPr>
          <w:rFonts w:ascii="Arial" w:eastAsia="Arial" w:hAnsi="Arial" w:cs="Arial"/>
          <w:i/>
          <w:color w:val="000000"/>
          <w:sz w:val="22"/>
          <w:szCs w:val="22"/>
        </w:rPr>
      </w:pPr>
      <w:r>
        <w:rPr>
          <w:rFonts w:ascii="Arial" w:eastAsia="Arial" w:hAnsi="Arial" w:cs="Arial"/>
          <w:i/>
          <w:color w:val="000000"/>
          <w:sz w:val="22"/>
          <w:szCs w:val="22"/>
        </w:rPr>
        <w:t xml:space="preserve">Limiting the number of capital substitutions </w:t>
      </w:r>
    </w:p>
    <w:p w14:paraId="0000008B" w14:textId="77777777" w:rsidR="00F918AC" w:rsidRDefault="00000000">
      <w:pPr>
        <w:spacing w:after="200"/>
        <w:jc w:val="both"/>
        <w:rPr>
          <w:rFonts w:ascii="Arial" w:eastAsia="Arial" w:hAnsi="Arial" w:cs="Arial"/>
          <w:sz w:val="22"/>
          <w:szCs w:val="22"/>
        </w:rPr>
      </w:pPr>
      <w:r>
        <w:rPr>
          <w:rFonts w:ascii="Arial" w:eastAsia="Arial" w:hAnsi="Arial" w:cs="Arial"/>
          <w:sz w:val="22"/>
          <w:szCs w:val="22"/>
        </w:rPr>
        <w:t xml:space="preserve">In the base model, there is no limit to the number of times a single deal can substitute capital when a syndicate partner phases-out from the fossil fuel sector. In this model variant we incorporate a feature of reflecting the perceived ‘risk’ of a deal whereby a deal can only substitute capital a certain number of times before automatically failing. Results are shown in Fig.  S5 for two fixed values of the capital limit and variable limits to the number of times a single deal can substitute capital. </w:t>
      </w:r>
    </w:p>
    <w:p w14:paraId="0000008D" w14:textId="60417155" w:rsidR="00F918AC" w:rsidRDefault="00000000" w:rsidP="002854C0">
      <w:pPr>
        <w:spacing w:after="200"/>
        <w:jc w:val="both"/>
        <w:rPr>
          <w:rFonts w:ascii="Arial" w:eastAsia="Arial" w:hAnsi="Arial" w:cs="Arial"/>
          <w:sz w:val="22"/>
          <w:szCs w:val="22"/>
        </w:rPr>
      </w:pPr>
      <w:r>
        <w:rPr>
          <w:rFonts w:ascii="Arial" w:eastAsia="Arial" w:hAnsi="Arial" w:cs="Arial"/>
          <w:sz w:val="22"/>
          <w:szCs w:val="22"/>
        </w:rPr>
        <w:t xml:space="preserve">Fig. S5a shows that limiting the number of times a deal can acquire substitute capital significantly increases phase-out efficiency so that fewer banks are required to reach the tipping point. Note however, that Fig. S5b shows that limits to the number of times a deal can acquire substitute capital are only effective if the limit is very small (1 or 2 substitutions), and that this effect is secondary to restrictions on capital limits. </w:t>
      </w:r>
    </w:p>
    <w:p w14:paraId="49A5AFB5" w14:textId="77777777" w:rsidR="002854C0" w:rsidRPr="002854C0" w:rsidRDefault="002854C0" w:rsidP="002854C0">
      <w:pPr>
        <w:spacing w:after="200"/>
        <w:jc w:val="both"/>
        <w:rPr>
          <w:rFonts w:ascii="Arial" w:eastAsia="Arial" w:hAnsi="Arial" w:cs="Arial"/>
          <w:sz w:val="22"/>
          <w:szCs w:val="22"/>
        </w:rPr>
      </w:pPr>
    </w:p>
    <w:p w14:paraId="79FF1C76" w14:textId="61115A53" w:rsidR="002854C0" w:rsidRPr="002854C0" w:rsidRDefault="002854C0">
      <w:pPr>
        <w:spacing w:after="160" w:line="233" w:lineRule="auto"/>
        <w:jc w:val="both"/>
        <w:rPr>
          <w:rFonts w:ascii="Arial" w:eastAsia="Arial" w:hAnsi="Arial" w:cs="Arial"/>
          <w:b/>
          <w:bCs/>
          <w:sz w:val="22"/>
          <w:szCs w:val="22"/>
        </w:rPr>
      </w:pPr>
      <w:r w:rsidRPr="002854C0">
        <w:rPr>
          <w:rFonts w:ascii="Arial" w:eastAsia="Arial" w:hAnsi="Arial" w:cs="Arial"/>
          <w:b/>
          <w:bCs/>
          <w:sz w:val="22"/>
          <w:szCs w:val="22"/>
        </w:rPr>
        <w:t>References</w:t>
      </w:r>
    </w:p>
    <w:p w14:paraId="6BAB6472" w14:textId="77777777" w:rsidR="002854C0" w:rsidRPr="002854C0" w:rsidRDefault="002854C0" w:rsidP="002854C0">
      <w:pPr>
        <w:pStyle w:val="EndNoteBibliography"/>
        <w:ind w:left="720" w:hanging="720"/>
        <w:rPr>
          <w:noProof/>
        </w:rPr>
      </w:pPr>
      <w:r>
        <w:rPr>
          <w:rFonts w:ascii="Arial" w:eastAsia="Arial" w:hAnsi="Arial" w:cs="Arial"/>
          <w:sz w:val="22"/>
          <w:szCs w:val="22"/>
        </w:rPr>
        <w:fldChar w:fldCharType="begin"/>
      </w:r>
      <w:r>
        <w:rPr>
          <w:rFonts w:ascii="Arial" w:eastAsia="Arial" w:hAnsi="Arial" w:cs="Arial"/>
          <w:sz w:val="22"/>
          <w:szCs w:val="22"/>
        </w:rPr>
        <w:instrText xml:space="preserve"> ADDIN EN.REFLIST </w:instrText>
      </w:r>
      <w:r>
        <w:rPr>
          <w:rFonts w:ascii="Arial" w:eastAsia="Arial" w:hAnsi="Arial" w:cs="Arial"/>
          <w:sz w:val="22"/>
          <w:szCs w:val="22"/>
        </w:rPr>
        <w:fldChar w:fldCharType="separate"/>
      </w:r>
      <w:r w:rsidRPr="002854C0">
        <w:rPr>
          <w:noProof/>
        </w:rPr>
        <w:t>1.</w:t>
      </w:r>
      <w:r w:rsidRPr="002854C0">
        <w:rPr>
          <w:noProof/>
        </w:rPr>
        <w:tab/>
        <w:t>Rainforest Action Network, et al., Banking on Climate Chaos 2023</w:t>
      </w:r>
      <w:r w:rsidRPr="002854C0">
        <w:rPr>
          <w:i/>
          <w:noProof/>
        </w:rPr>
        <w:t>.</w:t>
      </w:r>
      <w:r w:rsidRPr="002854C0">
        <w:rPr>
          <w:noProof/>
        </w:rPr>
        <w:t xml:space="preserve"> 2023.</w:t>
      </w:r>
    </w:p>
    <w:p w14:paraId="1651554B" w14:textId="77777777" w:rsidR="002854C0" w:rsidRPr="002854C0" w:rsidRDefault="002854C0" w:rsidP="002854C0">
      <w:pPr>
        <w:pStyle w:val="EndNoteBibliography"/>
        <w:ind w:left="720" w:hanging="720"/>
        <w:rPr>
          <w:noProof/>
        </w:rPr>
      </w:pPr>
      <w:r w:rsidRPr="002854C0">
        <w:rPr>
          <w:noProof/>
        </w:rPr>
        <w:t>2.</w:t>
      </w:r>
      <w:r w:rsidRPr="002854C0">
        <w:rPr>
          <w:noProof/>
        </w:rPr>
        <w:tab/>
        <w:t xml:space="preserve">Fight, A., </w:t>
      </w:r>
      <w:r w:rsidRPr="002854C0">
        <w:rPr>
          <w:i/>
          <w:noProof/>
        </w:rPr>
        <w:t>Syndicated lending</w:t>
      </w:r>
      <w:r w:rsidRPr="002854C0">
        <w:rPr>
          <w:noProof/>
        </w:rPr>
        <w:t>. 2004: Elsevier.</w:t>
      </w:r>
    </w:p>
    <w:p w14:paraId="0000008E" w14:textId="29394D25" w:rsidR="00F918AC" w:rsidRDefault="002854C0">
      <w:pPr>
        <w:spacing w:after="160" w:line="233" w:lineRule="auto"/>
        <w:jc w:val="both"/>
        <w:rPr>
          <w:rFonts w:ascii="Arial" w:eastAsia="Arial" w:hAnsi="Arial" w:cs="Arial"/>
          <w:sz w:val="22"/>
          <w:szCs w:val="22"/>
        </w:rPr>
      </w:pPr>
      <w:r>
        <w:rPr>
          <w:rFonts w:ascii="Arial" w:eastAsia="Arial" w:hAnsi="Arial" w:cs="Arial"/>
          <w:sz w:val="22"/>
          <w:szCs w:val="22"/>
        </w:rPr>
        <w:fldChar w:fldCharType="end"/>
      </w:r>
    </w:p>
    <w:sectPr w:rsidR="00F918AC">
      <w:pgSz w:w="11900" w:h="16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AE6778"/>
    <w:multiLevelType w:val="multilevel"/>
    <w:tmpl w:val="4B126414"/>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8834004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umbered_superscript&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xwe2zrxz0r2soe2praxx5wrxrdvdxvdazdd&quot;&gt;banking&lt;record-ids&gt;&lt;item&gt;24&lt;/item&gt;&lt;item&gt;25&lt;/item&gt;&lt;/record-ids&gt;&lt;/item&gt;&lt;/Libraries&gt;"/>
  </w:docVars>
  <w:rsids>
    <w:rsidRoot w:val="00F918AC"/>
    <w:rsid w:val="002854C0"/>
    <w:rsid w:val="00F91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017F8"/>
  <w15:docId w15:val="{6B3951B5-08FA-3E45-92B2-A38341D4A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7F01C1"/>
    <w:pPr>
      <w:ind w:left="720"/>
      <w:contextualSpacing/>
    </w:pPr>
  </w:style>
  <w:style w:type="paragraph" w:styleId="NormalWeb">
    <w:name w:val="Normal (Web)"/>
    <w:basedOn w:val="Normal"/>
    <w:uiPriority w:val="99"/>
    <w:semiHidden/>
    <w:unhideWhenUsed/>
    <w:rsid w:val="003F1492"/>
    <w:pPr>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8A4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aption">
    <w:name w:val="caption"/>
    <w:basedOn w:val="Normal"/>
    <w:next w:val="Normal"/>
    <w:uiPriority w:val="35"/>
    <w:unhideWhenUsed/>
    <w:qFormat/>
    <w:rsid w:val="000F34AC"/>
    <w:pPr>
      <w:spacing w:after="200"/>
    </w:pPr>
    <w:rPr>
      <w:i/>
      <w:iCs/>
      <w:color w:val="44546A" w:themeColor="text2"/>
      <w:sz w:val="18"/>
      <w:szCs w:val="18"/>
    </w:rPr>
  </w:style>
  <w:style w:type="paragraph" w:styleId="CommentSubject">
    <w:name w:val="annotation subject"/>
    <w:basedOn w:val="CommentText"/>
    <w:next w:val="CommentText"/>
    <w:link w:val="CommentSubjectChar"/>
    <w:uiPriority w:val="99"/>
    <w:semiHidden/>
    <w:unhideWhenUsed/>
    <w:rsid w:val="000F34AC"/>
    <w:rPr>
      <w:b/>
      <w:bCs/>
    </w:rPr>
  </w:style>
  <w:style w:type="character" w:customStyle="1" w:styleId="CommentSubjectChar">
    <w:name w:val="Comment Subject Char"/>
    <w:basedOn w:val="CommentTextChar"/>
    <w:link w:val="CommentSubject"/>
    <w:uiPriority w:val="99"/>
    <w:semiHidden/>
    <w:rsid w:val="000F34AC"/>
    <w:rPr>
      <w:b/>
      <w:bCs/>
      <w:sz w:val="20"/>
      <w:szCs w:val="20"/>
    </w:rPr>
  </w:style>
  <w:style w:type="table" w:customStyle="1" w:styleId="a0">
    <w:basedOn w:val="TableNormal"/>
    <w:tblPr>
      <w:tblStyleRowBandSize w:val="1"/>
      <w:tblStyleColBandSize w:val="1"/>
    </w:tblPr>
  </w:style>
  <w:style w:type="paragraph" w:customStyle="1" w:styleId="EndNoteBibliographyTitle">
    <w:name w:val="EndNote Bibliography Title"/>
    <w:basedOn w:val="Normal"/>
    <w:link w:val="EndNoteBibliographyTitleChar"/>
    <w:rsid w:val="002854C0"/>
    <w:pPr>
      <w:jc w:val="center"/>
    </w:pPr>
  </w:style>
  <w:style w:type="character" w:customStyle="1" w:styleId="EndNoteBibliographyTitleChar">
    <w:name w:val="EndNote Bibliography Title Char"/>
    <w:basedOn w:val="DefaultParagraphFont"/>
    <w:link w:val="EndNoteBibliographyTitle"/>
    <w:rsid w:val="002854C0"/>
  </w:style>
  <w:style w:type="paragraph" w:customStyle="1" w:styleId="EndNoteBibliography">
    <w:name w:val="EndNote Bibliography"/>
    <w:basedOn w:val="Normal"/>
    <w:link w:val="EndNoteBibliographyChar"/>
    <w:rsid w:val="002854C0"/>
    <w:pPr>
      <w:jc w:val="both"/>
    </w:pPr>
  </w:style>
  <w:style w:type="character" w:customStyle="1" w:styleId="EndNoteBibliographyChar">
    <w:name w:val="EndNote Bibliography Char"/>
    <w:basedOn w:val="DefaultParagraphFont"/>
    <w:link w:val="EndNoteBibliography"/>
    <w:rsid w:val="002854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IqwOLVrpZMLvPsDBv/kjz3urvQ==">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1776</Words>
  <Characters>10125</Characters>
  <Application>Microsoft Office Word</Application>
  <DocSecurity>0</DocSecurity>
  <Lines>84</Lines>
  <Paragraphs>23</Paragraphs>
  <ScaleCrop>false</ScaleCrop>
  <Company/>
  <LinksUpToDate>false</LinksUpToDate>
  <CharactersWithSpaces>11878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 Rickman</dc:creator>
  <cp:lastModifiedBy>Jamie Rickman</cp:lastModifiedBy>
  <cp:revision>2</cp:revision>
  <dcterms:created xsi:type="dcterms:W3CDTF">2023-04-03T15:51:00Z</dcterms:created>
  <dcterms:modified xsi:type="dcterms:W3CDTF">2023-06-28T16:01:00Z</dcterms:modified>
</cp:coreProperties>
</file>