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eastAsia="宋体" w:cs="Times New Roman"/>
          <w:b/>
          <w:bCs/>
          <w:sz w:val="24"/>
          <w:lang w:val="en-US" w:eastAsia="zh-Hans"/>
        </w:rPr>
        <w:t>Appendix 1</w:t>
      </w:r>
      <w:r>
        <w:rPr>
          <w:rFonts w:hint="eastAsia" w:ascii="Times New Roman" w:hAnsi="Times New Roman" w:eastAsia="宋体" w:cs="Times New Roman"/>
          <w:b/>
          <w:bCs/>
          <w:sz w:val="24"/>
          <w:lang w:val="en-US"/>
        </w:rPr>
        <w:t xml:space="preserve">: </w:t>
      </w:r>
      <w:r>
        <w:rPr>
          <w:rFonts w:hint="eastAsia" w:ascii="Times New Roman" w:hAnsi="Times New Roman" w:cs="Times New Roman"/>
          <w:sz w:val="24"/>
          <w:lang w:val="en-US"/>
        </w:rPr>
        <w:t>Definition of individual-level variables.</w:t>
      </w:r>
    </w:p>
    <w:tbl>
      <w:tblPr>
        <w:tblStyle w:val="5"/>
        <w:tblpPr w:leftFromText="180" w:rightFromText="180" w:vertAnchor="text" w:horzAnchor="page" w:tblpX="1800" w:tblpY="306"/>
        <w:tblOverlap w:val="never"/>
        <w:tblW w:w="4998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9"/>
        <w:gridCol w:w="426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0" w:type="dxa"/>
            <w:gridSpan w:val="2"/>
            <w:tcBorders>
              <w:bottom w:val="single" w:color="auto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Variable Definition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eastAsia="宋体" w:cs="Times New Roman"/>
                      <w:sz w:val="24"/>
                    </w:rPr>
                    <m:t>Fin_Par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Whether the household is involved in the financial market, involved = 1, not involved = 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gender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Female=0; Male=1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9" w:hRule="atLeast"/>
        </w:trPr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age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Age is rounded to the nearest whole number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edu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Resident's education level, no schooling = 1; elementary and junior high school = 2; high school and junior college = 3; college = 4; undergraduate and graduate (including master's and doctoral) = 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marriage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Married=1; Unmarried=0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ℎealtℎ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Self-evaluation of health, healthy=1; unhealthy=0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F</m:t>
                  </m:r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i</m:t>
                  </m:r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nit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Financial literacy, financial literacy indicators are constructed to measure financial literacy from three aspects: financial information, financial knowledge, and financial ability, and are analyzed using the iterative principal factor method.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ℎou</m:t>
                  </m:r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se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Whether there is a house,Yes=1;No=0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RA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Risk attitude, accept risk = 1; reject risk = 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kern w:val="0"/>
                  <w:sz w:val="24"/>
                  <w:lang w:bidi="ar-SA"/>
                </w:rPr>
                <m:t>Ln</m:t>
              </m:r>
              <m:r>
                <m:rPr>
                  <m:sty m:val="p"/>
                </m:rPr>
                <w:rPr>
                  <w:rFonts w:hint="default" w:ascii="Cambria Math" w:hAnsi="Cambria Math" w:eastAsia="宋体" w:cs="Times New Roman"/>
                  <w:sz w:val="24"/>
                </w:rPr>
                <m:t>_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assets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Total Assets, the logarithm of the household's total assets for the year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Ln</m:t>
                  </m:r>
                  <m:r>
                    <m:rPr>
                      <m:sty m:val="p"/>
                    </m:rPr>
                    <w:rPr>
                      <w:rFonts w:hint="default" w:ascii="Cambria Math" w:hAnsi="Cambria Math" w:eastAsia="宋体" w:cs="Times New Roman"/>
                      <w:sz w:val="24"/>
                    </w:rPr>
                    <m:t>_</m:t>
                  </m:r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income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it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i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Total income, the logarithm of the household's total income for the year</w:t>
            </w:r>
          </w:p>
        </w:tc>
      </w:tr>
    </w:tbl>
    <w:p/>
    <w:p>
      <w:pPr>
        <w:rPr>
          <w:lang w:val="en-US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val="en-US" w:bidi="ar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line="480" w:lineRule="auto"/>
        <w:rPr>
          <w:rFonts w:ascii="Times New Roman" w:hAnsi="Times New Roman" w:cs="Times New Roman"/>
          <w:kern w:val="0"/>
          <w:sz w:val="24"/>
          <w:lang w:val="en-US" w:bidi="ar"/>
        </w:rPr>
      </w:pPr>
      <w:r>
        <w:rPr>
          <w:rFonts w:ascii="Times New Roman" w:hAnsi="Times New Roman" w:eastAsia="宋体" w:cs="Times New Roman"/>
          <w:b/>
          <w:bCs/>
          <w:sz w:val="24"/>
          <w:lang w:val="en-US" w:eastAsia="zh-Hans"/>
        </w:rPr>
        <w:t xml:space="preserve">Appendix </w:t>
      </w:r>
      <w:r>
        <w:rPr>
          <w:rFonts w:ascii="Times New Roman" w:hAnsi="Times New Roman" w:cs="Times New Roman"/>
          <w:b/>
          <w:bCs/>
          <w:kern w:val="0"/>
          <w:sz w:val="24"/>
          <w:lang w:eastAsia="zh-Hans" w:bidi="ar"/>
        </w:rPr>
        <w:t>2</w:t>
      </w:r>
      <w:r>
        <w:rPr>
          <w:rFonts w:hint="eastAsia" w:ascii="Times New Roman" w:hAnsi="Times New Roman" w:cs="Times New Roman"/>
          <w:b/>
          <w:bCs/>
          <w:kern w:val="0"/>
          <w:sz w:val="24"/>
          <w:lang w:val="en-US" w:bidi="ar"/>
        </w:rPr>
        <w:t>.</w:t>
      </w:r>
      <w:r>
        <w:rPr>
          <w:rFonts w:ascii="Times New Roman" w:hAnsi="Times New Roman" w:cs="Times New Roman"/>
          <w:kern w:val="0"/>
          <w:sz w:val="24"/>
          <w:lang w:eastAsia="zh-Hans" w:bidi="ar"/>
        </w:rPr>
        <w:t xml:space="preserve"> Definition of city-level variables</w:t>
      </w:r>
      <w:r>
        <w:rPr>
          <w:rFonts w:hint="eastAsia" w:ascii="Times New Roman" w:hAnsi="Times New Roman" w:cs="Times New Roman"/>
          <w:kern w:val="0"/>
          <w:sz w:val="24"/>
          <w:lang w:val="en-US" w:bidi="ar"/>
        </w:rPr>
        <w:t>.</w:t>
      </w:r>
    </w:p>
    <w:tbl>
      <w:tblPr>
        <w:tblStyle w:val="5"/>
        <w:tblW w:w="4998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9"/>
        <w:gridCol w:w="4260"/>
      </w:tblGrid>
      <w:tr>
        <w:tc>
          <w:tcPr>
            <w:tcW w:w="8520" w:type="dxa"/>
            <w:gridSpan w:val="2"/>
            <w:tcBorders>
              <w:bottom w:val="single" w:color="auto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Variable Definition</w:t>
            </w:r>
          </w:p>
        </w:tc>
      </w:tr>
      <w:tr>
        <w:trPr>
          <w:trHeight w:val="90" w:hRule="atLeast"/>
        </w:trPr>
        <w:tc>
          <w:tcPr>
            <w:tcW w:w="4259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eastAsia="宋体" w:cs="Times New Roman"/>
                      <w:sz w:val="24"/>
                    </w:rPr>
                    <m:t>FPR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jt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op w:val="single" w:color="auto" w:sz="8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Household financial market participation rates, excluding individual differences at the city level</w:t>
            </w:r>
          </w:p>
        </w:tc>
      </w:tr>
      <w:tr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Policy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jt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Pilot policy interaction term, cross product of group dummy variable and time dummy variable</w:t>
            </w:r>
          </w:p>
        </w:tc>
      </w:tr>
      <w:tr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FD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jt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Financial development, financial deposit balance / financial loan balance</w:t>
            </w:r>
          </w:p>
        </w:tc>
      </w:tr>
      <w:tr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GDP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jt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Total output - intermediate inputs</w:t>
            </w:r>
          </w:p>
        </w:tc>
      </w:tr>
      <w:tr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S</m:t>
                  </m:r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alary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jt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Income per unit, total employee wages/average number of employees</w:t>
            </w:r>
          </w:p>
        </w:tc>
      </w:tr>
      <w:tr>
        <w:tc>
          <w:tcPr>
            <w:tcW w:w="42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m:oMath>
              <m:sSub>
                <m:sSubP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  <m:t>CONSP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kern w:val="0"/>
                      <w:sz w:val="24"/>
                      <w:lang w:val="en-US" w:bidi="ar-SA"/>
                    </w:rPr>
                    <m:t>jt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lang w:bidi="ar-SA"/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eastAsia="zh-Hans" w:bidi="ar"/>
              </w:rPr>
              <w:t>Consumption level, total social retail consumption/GDP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Cambria Math">
    <w:altName w:val="Kingsoft Math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Math">
    <w:panose1 w:val="02040503050406030204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3C03B"/>
    <w:rsid w:val="FFB3C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GB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Office_5.2.0.7734_F1E327BC-269C-435d-A152-05C5408002CA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2023-07-05T20:31:00Z</dcterms:created>
  <dc:creator>我不是璐璐我是六个核桃</dc:creator>
  <cp:lastModifiedBy>我不是璐璐我是六个核桃</cp:lastModifiedBy>
  <dcterms:modified xsi:type="dcterms:W3CDTF">2023-07-05T20:35:21Z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685049A26613C697A962A56469B69125_41</vt:lpwstr>
  </property>
</Properties>
</file>