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rPr>
      </w:pPr>
      <w:r>
        <w:rPr>
          <w:rFonts w:eastAsia="Times New Roman" w:cs="Times New Roman" w:ascii="Times New Roman" w:hAnsi="Times New Roman"/>
          <w:b/>
          <w:bCs/>
          <w:sz w:val="28"/>
          <w:szCs w:val="28"/>
          <w:lang w:eastAsia="lt-LT"/>
        </w:rPr>
        <w:t>Supplementary materials</w:t>
      </w:r>
    </w:p>
    <w:p>
      <w:pPr>
        <w:pStyle w:val="Normal"/>
        <w:jc w:val="center"/>
        <w:rPr>
          <w:rFonts w:ascii="Times New Roman" w:hAnsi="Times New Roman" w:cs="Times New Roman"/>
          <w:b/>
          <w:sz w:val="24"/>
          <w:szCs w:val="24"/>
        </w:rPr>
      </w:pPr>
      <w:r>
        <w:rPr>
          <w:rFonts w:cs="Times New Roman" w:ascii="Times New Roman" w:hAnsi="Times New Roman"/>
          <w:b/>
          <w:sz w:val="24"/>
          <w:szCs w:val="24"/>
        </w:rPr>
      </w:r>
    </w:p>
    <w:p>
      <w:pPr>
        <w:pStyle w:val="Normal"/>
        <w:ind w:right="850" w:hanging="0"/>
        <w:jc w:val="both"/>
        <w:rPr>
          <w:rFonts w:ascii="Times New Roman" w:hAnsi="Times New Roman"/>
        </w:rPr>
      </w:pPr>
      <w:r>
        <w:rPr>
          <w:rFonts w:cs="Times New Roman" w:ascii="Times New Roman" w:hAnsi="Times New Roman"/>
          <w:b/>
          <w:sz w:val="24"/>
          <w:szCs w:val="24"/>
        </w:rPr>
        <w:t>Supplementary Table 1: Consensus reporting standard</w:t>
      </w:r>
      <w:bookmarkStart w:id="0" w:name="_Hlk118975918"/>
      <w:r>
        <w:rPr>
          <w:rFonts w:cs="Times New Roman" w:ascii="Times New Roman" w:hAnsi="Times New Roman"/>
          <w:b/>
          <w:sz w:val="24"/>
          <w:szCs w:val="24"/>
        </w:rPr>
        <w:t>s</w:t>
      </w:r>
      <w:bookmarkEnd w:id="0"/>
      <w:r>
        <w:rPr>
          <w:rFonts w:cs="Times New Roman" w:ascii="Times New Roman" w:hAnsi="Times New Roman"/>
          <w:b/>
          <w:sz w:val="24"/>
          <w:szCs w:val="24"/>
        </w:rPr>
        <w:t xml:space="preserve"> for single-voxel 1H-MRS study according to Lin A et al., NMR in Biomedicine 2021.</w:t>
      </w:r>
    </w:p>
    <w:tbl>
      <w:tblPr>
        <w:tblStyle w:val="Tabellenraster"/>
        <w:tblW w:w="9062"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062"/>
      </w:tblGrid>
      <w:tr>
        <w:trPr/>
        <w:tc>
          <w:tcPr>
            <w:tcW w:w="9062" w:type="dxa"/>
            <w:tcBorders>
              <w:left w:val="nil"/>
              <w:right w:val="nil"/>
            </w:tcBorders>
          </w:tcPr>
          <w:p>
            <w:pPr>
              <w:pStyle w:val="ListParagraph"/>
              <w:widowControl w:val="false"/>
              <w:numPr>
                <w:ilvl w:val="0"/>
                <w:numId w:val="1"/>
              </w:numPr>
              <w:shd w:val="clear" w:color="auto" w:fill="FFFFFF" w:themeFill="background1"/>
              <w:suppressAutoHyphens w:val="true"/>
              <w:spacing w:lineRule="auto" w:line="240" w:before="0" w:after="0"/>
              <w:ind w:left="321" w:hanging="321"/>
              <w:contextualSpacing/>
              <w:jc w:val="left"/>
              <w:rPr>
                <w:rFonts w:ascii="Times New Roman" w:hAnsi="Times New Roman"/>
                <w:highlight w:val="none"/>
                <w:shd w:fill="auto" w:val="clear"/>
              </w:rPr>
            </w:pPr>
            <w:r>
              <w:rPr>
                <w:rFonts w:eastAsia="Calibri" w:cs="Times New Roman" w:ascii="Times New Roman" w:hAnsi="Times New Roman"/>
                <w:b/>
                <w:kern w:val="0"/>
                <w:sz w:val="24"/>
                <w:szCs w:val="24"/>
                <w:shd w:fill="auto" w:val="clear"/>
                <w:lang w:eastAsia="en-US" w:bidi="ar-SA"/>
              </w:rPr>
              <w:t>Hardware</w:t>
            </w:r>
          </w:p>
          <w:p>
            <w:pPr>
              <w:pStyle w:val="ListParagraph"/>
              <w:widowControl w:val="false"/>
              <w:numPr>
                <w:ilvl w:val="0"/>
                <w:numId w:val="2"/>
              </w:numPr>
              <w:shd w:val="clear" w:color="auto" w:fill="FFFFFF" w:themeFill="background1"/>
              <w:suppressAutoHyphens w:val="true"/>
              <w:spacing w:lineRule="auto" w:line="240" w:before="0" w:after="0"/>
              <w:ind w:left="1080" w:hanging="476"/>
              <w:contextualSpacing/>
              <w:jc w:val="left"/>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Field strength: 3T</w:t>
            </w:r>
          </w:p>
          <w:p>
            <w:pPr>
              <w:pStyle w:val="ListParagraph"/>
              <w:widowControl w:val="false"/>
              <w:numPr>
                <w:ilvl w:val="0"/>
                <w:numId w:val="2"/>
              </w:numPr>
              <w:shd w:val="clear" w:color="auto" w:fill="FFFFFF" w:themeFill="background1"/>
              <w:suppressAutoHyphens w:val="true"/>
              <w:spacing w:lineRule="auto" w:line="240" w:before="0" w:after="0"/>
              <w:ind w:left="1080" w:hanging="476"/>
              <w:contextualSpacing/>
              <w:jc w:val="left"/>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Manufacturer: Siemens</w:t>
            </w:r>
          </w:p>
          <w:p>
            <w:pPr>
              <w:pStyle w:val="ListParagraph"/>
              <w:widowControl w:val="false"/>
              <w:numPr>
                <w:ilvl w:val="0"/>
                <w:numId w:val="2"/>
              </w:numPr>
              <w:shd w:val="clear" w:color="auto" w:fill="FFFFFF" w:themeFill="background1"/>
              <w:suppressAutoHyphens w:val="true"/>
              <w:spacing w:lineRule="auto" w:line="240" w:before="0" w:after="0"/>
              <w:ind w:left="1080" w:hanging="476"/>
              <w:contextualSpacing/>
              <w:jc w:val="left"/>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Model: PrismaFit</w:t>
            </w:r>
          </w:p>
          <w:p>
            <w:pPr>
              <w:pStyle w:val="ListParagraph"/>
              <w:widowControl w:val="false"/>
              <w:numPr>
                <w:ilvl w:val="0"/>
                <w:numId w:val="2"/>
              </w:numPr>
              <w:shd w:val="clear" w:color="auto" w:fill="FFFFFF" w:themeFill="background1"/>
              <w:suppressAutoHyphens w:val="true"/>
              <w:spacing w:lineRule="auto" w:line="240" w:before="0" w:after="0"/>
              <w:ind w:left="1080" w:hanging="476"/>
              <w:contextualSpacing/>
              <w:jc w:val="left"/>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 xml:space="preserve">RF coil: 20 channels </w:t>
            </w:r>
            <w:r>
              <w:rPr>
                <w:rFonts w:eastAsia="Calibri" w:cs="Times New Roman" w:ascii="Times New Roman" w:hAnsi="Times New Roman"/>
                <w:kern w:val="0"/>
                <w:sz w:val="24"/>
                <w:szCs w:val="24"/>
                <w:shd w:fill="auto" w:val="clear"/>
                <w:vertAlign w:val="superscript"/>
                <w:lang w:eastAsia="en-US" w:bidi="ar-SA"/>
              </w:rPr>
              <w:t>1</w:t>
            </w:r>
            <w:r>
              <w:rPr>
                <w:rFonts w:eastAsia="Calibri" w:cs="Times New Roman" w:ascii="Times New Roman" w:hAnsi="Times New Roman"/>
                <w:kern w:val="0"/>
                <w:sz w:val="24"/>
                <w:szCs w:val="24"/>
                <w:shd w:fill="auto" w:val="clear"/>
                <w:lang w:eastAsia="en-US" w:bidi="ar-SA"/>
              </w:rPr>
              <w:t>H- head coil</w:t>
            </w:r>
          </w:p>
          <w:p>
            <w:pPr>
              <w:pStyle w:val="ListParagraph"/>
              <w:widowControl w:val="false"/>
              <w:numPr>
                <w:ilvl w:val="0"/>
                <w:numId w:val="1"/>
              </w:numPr>
              <w:pBdr>
                <w:top w:val="single" w:sz="4" w:space="1" w:color="000000"/>
              </w:pBdr>
              <w:shd w:val="clear" w:color="auto" w:fill="FFFFFF" w:themeFill="background1"/>
              <w:suppressAutoHyphens w:val="true"/>
              <w:spacing w:lineRule="auto" w:line="240" w:before="0" w:after="0"/>
              <w:ind w:left="321" w:hanging="321"/>
              <w:contextualSpacing/>
              <w:jc w:val="both"/>
              <w:rPr>
                <w:rFonts w:ascii="Times New Roman" w:hAnsi="Times New Roman"/>
                <w:highlight w:val="none"/>
                <w:shd w:fill="auto" w:val="clear"/>
              </w:rPr>
            </w:pPr>
            <w:r>
              <w:rPr>
                <w:rFonts w:eastAsia="Calibri" w:cs="Times New Roman" w:ascii="Times New Roman" w:hAnsi="Times New Roman"/>
                <w:b/>
                <w:kern w:val="0"/>
                <w:sz w:val="24"/>
                <w:szCs w:val="24"/>
                <w:shd w:fill="auto" w:val="clear"/>
                <w:lang w:eastAsia="en-US" w:bidi="ar-SA"/>
              </w:rPr>
              <w:t xml:space="preserve"> </w:t>
            </w:r>
            <w:r>
              <w:rPr>
                <w:rFonts w:eastAsia="Calibri" w:cs="Times New Roman" w:ascii="Times New Roman" w:hAnsi="Times New Roman"/>
                <w:b/>
                <w:kern w:val="0"/>
                <w:sz w:val="24"/>
                <w:szCs w:val="24"/>
                <w:shd w:fill="auto" w:val="clear"/>
                <w:lang w:eastAsia="en-US" w:bidi="ar-SA"/>
              </w:rPr>
              <w:t>Acquisition</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 xml:space="preserve">Pulse sequence: MEGA-semiLaser with and without water suppression </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 xml:space="preserve">Volume of interest (VOI) locations: Posterior cingulate cortex </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Nominal VOI size: 25 × 25 × 25 mm</w:t>
            </w:r>
            <w:r>
              <w:rPr>
                <w:rFonts w:eastAsia="Calibri" w:cs="Times New Roman" w:ascii="Times New Roman" w:hAnsi="Times New Roman"/>
                <w:kern w:val="0"/>
                <w:sz w:val="24"/>
                <w:szCs w:val="24"/>
                <w:shd w:fill="auto" w:val="clear"/>
                <w:vertAlign w:val="superscript"/>
                <w:lang w:eastAsia="en-US" w:bidi="ar-SA"/>
              </w:rPr>
              <w:t>3</w:t>
            </w:r>
            <w:r>
              <w:rPr>
                <w:rFonts w:eastAsia="Calibri" w:cs="Times New Roman" w:ascii="Times New Roman" w:hAnsi="Times New Roman"/>
                <w:kern w:val="0"/>
                <w:sz w:val="24"/>
                <w:szCs w:val="24"/>
                <w:shd w:fill="auto" w:val="clear"/>
                <w:lang w:eastAsia="en-US" w:bidi="ar-SA"/>
              </w:rPr>
              <w:t xml:space="preserve"> </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Repetition time (T</w:t>
            </w:r>
            <w:r>
              <w:rPr>
                <w:rFonts w:eastAsia="Calibri" w:cs="Times New Roman" w:ascii="Times New Roman" w:hAnsi="Times New Roman"/>
                <w:kern w:val="0"/>
                <w:sz w:val="24"/>
                <w:szCs w:val="24"/>
                <w:shd w:fill="auto" w:val="clear"/>
                <w:vertAlign w:val="subscript"/>
                <w:lang w:eastAsia="en-US" w:bidi="ar-SA"/>
              </w:rPr>
              <w:t>R</w:t>
            </w:r>
            <w:r>
              <w:rPr>
                <w:rFonts w:eastAsia="Calibri" w:cs="Times New Roman" w:ascii="Times New Roman" w:hAnsi="Times New Roman"/>
                <w:kern w:val="0"/>
                <w:sz w:val="24"/>
                <w:szCs w:val="24"/>
                <w:shd w:fill="auto" w:val="clear"/>
                <w:lang w:eastAsia="en-US" w:bidi="ar-SA"/>
              </w:rPr>
              <w:t>) and echo time (T</w:t>
            </w:r>
            <w:r>
              <w:rPr>
                <w:rFonts w:eastAsia="Calibri" w:cs="Times New Roman" w:ascii="Times New Roman" w:hAnsi="Times New Roman"/>
                <w:kern w:val="0"/>
                <w:sz w:val="24"/>
                <w:szCs w:val="24"/>
                <w:shd w:fill="auto" w:val="clear"/>
                <w:vertAlign w:val="subscript"/>
                <w:lang w:eastAsia="en-US" w:bidi="ar-SA"/>
              </w:rPr>
              <w:t>E</w:t>
            </w:r>
            <w:r>
              <w:rPr>
                <w:rFonts w:eastAsia="Calibri" w:cs="Times New Roman" w:ascii="Times New Roman" w:hAnsi="Times New Roman"/>
                <w:kern w:val="0"/>
                <w:sz w:val="24"/>
                <w:szCs w:val="24"/>
                <w:shd w:fill="auto" w:val="clear"/>
                <w:lang w:eastAsia="en-US" w:bidi="ar-SA"/>
              </w:rPr>
              <w:t>): T</w:t>
            </w:r>
            <w:r>
              <w:rPr>
                <w:rFonts w:eastAsia="Calibri" w:cs="Times New Roman" w:ascii="Times New Roman" w:hAnsi="Times New Roman"/>
                <w:kern w:val="0"/>
                <w:sz w:val="24"/>
                <w:szCs w:val="24"/>
                <w:shd w:fill="auto" w:val="clear"/>
                <w:vertAlign w:val="subscript"/>
                <w:lang w:eastAsia="en-US" w:bidi="ar-SA"/>
              </w:rPr>
              <w:t>R</w:t>
            </w:r>
            <w:r>
              <w:rPr>
                <w:rFonts w:eastAsia="Calibri" w:cs="Times New Roman" w:ascii="Times New Roman" w:hAnsi="Times New Roman"/>
                <w:kern w:val="0"/>
                <w:sz w:val="24"/>
                <w:szCs w:val="24"/>
                <w:shd w:fill="auto" w:val="clear"/>
                <w:lang w:eastAsia="en-US" w:bidi="ar-SA"/>
              </w:rPr>
              <w:t xml:space="preserve"> = 1650 ms, T</w:t>
            </w:r>
            <w:r>
              <w:rPr>
                <w:rFonts w:eastAsia="Calibri" w:cs="Times New Roman" w:ascii="Times New Roman" w:hAnsi="Times New Roman"/>
                <w:kern w:val="0"/>
                <w:sz w:val="24"/>
                <w:szCs w:val="24"/>
                <w:shd w:fill="auto" w:val="clear"/>
                <w:vertAlign w:val="subscript"/>
                <w:lang w:eastAsia="en-US" w:bidi="ar-SA"/>
              </w:rPr>
              <w:t>E</w:t>
            </w:r>
            <w:r>
              <w:rPr>
                <w:rFonts w:eastAsia="Calibri" w:cs="Times New Roman" w:ascii="Times New Roman" w:hAnsi="Times New Roman"/>
                <w:kern w:val="0"/>
                <w:sz w:val="24"/>
                <w:szCs w:val="24"/>
                <w:shd w:fill="auto" w:val="clear"/>
                <w:lang w:eastAsia="en-US" w:bidi="ar-SA"/>
              </w:rPr>
              <w:t xml:space="preserve"> = 142 ms </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Total number of acquisitions per spectrum: 384 averages (metabolites) and 16 for water reference</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Spectral bandwidth: 1200 Hz; Number of spectral points: 1024 points</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Water suppression method: water suppression enhanced through T1 effects (WET) (bandwidth = 60 Hz)</w:t>
            </w:r>
          </w:p>
          <w:p>
            <w:pPr>
              <w:pStyle w:val="ListParagraph"/>
              <w:widowControl w:val="false"/>
              <w:numPr>
                <w:ilvl w:val="0"/>
                <w:numId w:val="3"/>
              </w:numPr>
              <w:shd w:val="clear" w:color="auto" w:fill="FFFFFF" w:themeFill="background1"/>
              <w:suppressAutoHyphens w:val="true"/>
              <w:spacing w:lineRule="auto" w:line="240" w:before="0" w:after="0"/>
              <w:ind w:left="1171" w:hanging="567"/>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Shimming method: Automated B0-field mapping followed by manual shimming of water to &lt;15 FWHM</w:t>
            </w:r>
          </w:p>
        </w:tc>
      </w:tr>
      <w:tr>
        <w:trPr/>
        <w:tc>
          <w:tcPr>
            <w:tcW w:w="9062" w:type="dxa"/>
            <w:tcBorders>
              <w:left w:val="nil"/>
              <w:right w:val="nil"/>
            </w:tcBorders>
          </w:tcPr>
          <w:p>
            <w:pPr>
              <w:pStyle w:val="ListParagraph"/>
              <w:widowControl w:val="false"/>
              <w:numPr>
                <w:ilvl w:val="0"/>
                <w:numId w:val="1"/>
              </w:numPr>
              <w:shd w:val="clear" w:color="auto" w:fill="FFFFFF" w:themeFill="background1"/>
              <w:suppressAutoHyphens w:val="true"/>
              <w:spacing w:lineRule="auto" w:line="240" w:before="0" w:after="0"/>
              <w:ind w:left="321" w:hanging="321"/>
              <w:contextualSpacing/>
              <w:jc w:val="left"/>
              <w:rPr>
                <w:rFonts w:ascii="Times New Roman" w:hAnsi="Times New Roman"/>
                <w:highlight w:val="none"/>
                <w:shd w:fill="auto" w:val="clear"/>
              </w:rPr>
            </w:pPr>
            <w:r>
              <w:rPr>
                <w:rFonts w:eastAsia="Calibri" w:cs="Times New Roman" w:ascii="Times New Roman" w:hAnsi="Times New Roman"/>
                <w:b/>
                <w:kern w:val="0"/>
                <w:sz w:val="24"/>
                <w:szCs w:val="24"/>
                <w:shd w:fill="auto" w:val="clear"/>
                <w:lang w:eastAsia="en-US" w:bidi="ar-SA"/>
              </w:rPr>
              <w:t>Analysis software and outputs</w:t>
            </w:r>
          </w:p>
          <w:p>
            <w:pPr>
              <w:pStyle w:val="ListParagraph"/>
              <w:widowControl w:val="false"/>
              <w:numPr>
                <w:ilvl w:val="0"/>
                <w:numId w:val="4"/>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Analysis software: Osprey v2.5.0</w:t>
            </w:r>
          </w:p>
          <w:p>
            <w:pPr>
              <w:pStyle w:val="ListParagraph"/>
              <w:widowControl w:val="false"/>
              <w:numPr>
                <w:ilvl w:val="0"/>
                <w:numId w:val="4"/>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Standard processing steps. Except, fitting range: 0.5 to 3.5 ppm; baseline knot spacing: 0.55 ppm</w:t>
            </w:r>
          </w:p>
          <w:p>
            <w:pPr>
              <w:pStyle w:val="ListParagraph"/>
              <w:widowControl w:val="false"/>
              <w:numPr>
                <w:ilvl w:val="0"/>
                <w:numId w:val="4"/>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Output measures: Combined absolute concentration of lactate and threonine (Lac+), in institutional units.</w:t>
            </w:r>
          </w:p>
          <w:p>
            <w:pPr>
              <w:pStyle w:val="ListParagraph"/>
              <w:widowControl w:val="false"/>
              <w:numPr>
                <w:ilvl w:val="0"/>
                <w:numId w:val="4"/>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Quantification: linear-combination (Osprey) modeling (with robust spectral registration using statistical parametric mapping) and tissue correction and quantification is performed based upon modeling parameters and tissue segmentation</w:t>
            </w:r>
          </w:p>
        </w:tc>
      </w:tr>
      <w:tr>
        <w:trPr/>
        <w:tc>
          <w:tcPr>
            <w:tcW w:w="9062" w:type="dxa"/>
            <w:tcBorders>
              <w:top w:val="nil"/>
              <w:left w:val="nil"/>
              <w:right w:val="nil"/>
            </w:tcBorders>
          </w:tcPr>
          <w:p>
            <w:pPr>
              <w:pStyle w:val="ListParagraph"/>
              <w:widowControl w:val="false"/>
              <w:numPr>
                <w:ilvl w:val="0"/>
                <w:numId w:val="1"/>
              </w:numPr>
              <w:shd w:val="clear" w:color="auto" w:fill="FFFFFF" w:themeFill="background1"/>
              <w:suppressAutoHyphens w:val="true"/>
              <w:spacing w:lineRule="auto" w:line="240" w:before="0" w:after="0"/>
              <w:ind w:left="321" w:hanging="321"/>
              <w:contextualSpacing/>
              <w:jc w:val="left"/>
              <w:rPr>
                <w:rFonts w:ascii="Times New Roman" w:hAnsi="Times New Roman"/>
                <w:highlight w:val="none"/>
                <w:shd w:fill="auto" w:val="clear"/>
              </w:rPr>
            </w:pPr>
            <w:r>
              <w:rPr>
                <w:rFonts w:eastAsia="Calibri" w:cs="Times New Roman" w:ascii="Times New Roman" w:hAnsi="Times New Roman"/>
                <w:b/>
                <w:kern w:val="0"/>
                <w:sz w:val="24"/>
                <w:szCs w:val="24"/>
                <w:shd w:fill="auto" w:val="clear"/>
                <w:lang w:eastAsia="en-US" w:bidi="ar-SA"/>
              </w:rPr>
              <w:t xml:space="preserve">Fitting model basis set </w:t>
            </w:r>
          </w:p>
          <w:p>
            <w:pPr>
              <w:pStyle w:val="ListParagraph"/>
              <w:widowControl w:val="false"/>
              <w:shd w:val="clear" w:color="auto" w:fill="FFFFFF" w:themeFill="background1"/>
              <w:suppressAutoHyphens w:val="true"/>
              <w:spacing w:lineRule="auto" w:line="240" w:before="0" w:after="0"/>
              <w:ind w:left="1171" w:hanging="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Osprey basis sets composed of: Ala, Asp, bHB, Cr, GABA, GPC, GSH, Gln, Glu, H2O, mI, Lac, NAA, NAAG, PCh, PE, sI, Tau, Thr, MM09, MM12, MM14, MM17, MM20, Lip09, Lip13, and Lip20</w:t>
            </w:r>
          </w:p>
        </w:tc>
      </w:tr>
      <w:tr>
        <w:trPr/>
        <w:tc>
          <w:tcPr>
            <w:tcW w:w="9062" w:type="dxa"/>
            <w:tcBorders>
              <w:left w:val="nil"/>
              <w:right w:val="nil"/>
            </w:tcBorders>
          </w:tcPr>
          <w:p>
            <w:pPr>
              <w:pStyle w:val="ListParagraph"/>
              <w:widowControl w:val="false"/>
              <w:numPr>
                <w:ilvl w:val="0"/>
                <w:numId w:val="5"/>
              </w:numPr>
              <w:shd w:val="clear" w:color="auto" w:fill="FFFFFF" w:themeFill="background1"/>
              <w:suppressAutoHyphens w:val="true"/>
              <w:spacing w:lineRule="auto" w:line="240" w:before="0" w:after="0"/>
              <w:contextualSpacing/>
              <w:jc w:val="left"/>
              <w:rPr>
                <w:rFonts w:ascii="Times New Roman" w:hAnsi="Times New Roman"/>
                <w:highlight w:val="none"/>
                <w:shd w:fill="auto" w:val="clear"/>
              </w:rPr>
            </w:pPr>
            <w:r>
              <w:rPr>
                <w:rFonts w:eastAsia="Calibri" w:cs="Times New Roman" w:ascii="Times New Roman" w:hAnsi="Times New Roman"/>
                <w:b/>
                <w:kern w:val="0"/>
                <w:sz w:val="24"/>
                <w:szCs w:val="24"/>
                <w:shd w:fill="auto" w:val="clear"/>
                <w:lang w:eastAsia="en-US" w:bidi="ar-SA"/>
              </w:rPr>
              <w:t>Data quality</w:t>
            </w:r>
          </w:p>
          <w:p>
            <w:pPr>
              <w:pStyle w:val="ListParagraph"/>
              <w:widowControl w:val="false"/>
              <w:numPr>
                <w:ilvl w:val="0"/>
                <w:numId w:val="5"/>
              </w:numPr>
              <w:shd w:val="clear" w:color="auto" w:fill="FFFFFF" w:themeFill="background1"/>
              <w:suppressAutoHyphens w:val="true"/>
              <w:spacing w:lineRule="auto" w:line="240" w:before="0" w:after="0"/>
              <w:contextualSpacing/>
              <w:jc w:val="both"/>
              <w:rPr/>
            </w:pPr>
            <w:r>
              <w:rPr>
                <w:rFonts w:eastAsia="Calibri" w:cs="Times New Roman" w:ascii="Times New Roman" w:hAnsi="Times New Roman"/>
                <w:kern w:val="0"/>
                <w:sz w:val="24"/>
                <w:szCs w:val="24"/>
                <w:shd w:fill="auto" w:val="clear"/>
                <w:lang w:eastAsia="en-US" w:bidi="ar-SA"/>
              </w:rPr>
              <w:t xml:space="preserve">Reported variables in Osprey: SNR, </w:t>
            </w:r>
            <w:r>
              <w:rPr>
                <w:rStyle w:val="Emphasis"/>
                <w:rFonts w:eastAsia="Calibri" w:cs="Times New Roman" w:ascii="Times New Roman" w:hAnsi="Times New Roman"/>
                <w:i w:val="false"/>
                <w:kern w:val="0"/>
                <w:sz w:val="24"/>
                <w:szCs w:val="22"/>
                <w:shd w:fill="auto" w:val="clear"/>
                <w:lang w:eastAsia="en-US" w:bidi="ar-SA"/>
              </w:rPr>
              <w:t>Full Width At Half Maximum</w:t>
            </w:r>
            <w:r>
              <w:rPr>
                <w:rFonts w:eastAsia="Calibri" w:cs="Times New Roman" w:ascii="Times New Roman" w:hAnsi="Times New Roman"/>
                <w:kern w:val="0"/>
                <w:sz w:val="24"/>
                <w:szCs w:val="24"/>
                <w:shd w:fill="auto" w:val="clear"/>
                <w:lang w:eastAsia="en-US" w:bidi="ar-SA"/>
              </w:rPr>
              <w:t xml:space="preserve"> (FHWM)</w:t>
            </w:r>
          </w:p>
          <w:p>
            <w:pPr>
              <w:pStyle w:val="ListParagraph"/>
              <w:widowControl w:val="false"/>
              <w:numPr>
                <w:ilvl w:val="0"/>
                <w:numId w:val="5"/>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Data exclusion criteria: FHWM &gt; 8 Hz, Cr signal to noise ratio (SNR) &lt; 25, frequency shift &lt; -12 Hz</w:t>
            </w:r>
          </w:p>
          <w:p>
            <w:pPr>
              <w:pStyle w:val="ListParagraph"/>
              <w:widowControl w:val="false"/>
              <w:numPr>
                <w:ilvl w:val="0"/>
                <w:numId w:val="5"/>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Measures of SNR, FWHM (in ppm), and FreqShift, as reported by Osprey for included spectra: PCC (121 spectra), SNR [60.9 ± 12.9 (36.3 – 92.9)], FWHM [5.2 ± 0.48 (4.26 – 6.64) Hz], FreqShift [-7.43 ± 1.22 (-9.98 – -4.97)]</w:t>
            </w:r>
          </w:p>
          <w:p>
            <w:pPr>
              <w:pStyle w:val="ListParagraph"/>
              <w:widowControl w:val="false"/>
              <w:numPr>
                <w:ilvl w:val="0"/>
                <w:numId w:val="5"/>
              </w:numPr>
              <w:shd w:val="clear" w:color="auto" w:fill="FFFFFF" w:themeFill="background1"/>
              <w:suppressAutoHyphens w:val="true"/>
              <w:spacing w:lineRule="auto" w:line="240" w:before="0" w:after="0"/>
              <w:contextualSpacing/>
              <w:jc w:val="both"/>
              <w:rPr>
                <w:rFonts w:ascii="Times New Roman" w:hAnsi="Times New Roman"/>
                <w:highlight w:val="none"/>
                <w:shd w:fill="auto" w:val="clear"/>
              </w:rPr>
            </w:pPr>
            <w:r>
              <w:rPr>
                <w:rFonts w:eastAsia="Calibri" w:cs="Times New Roman" w:ascii="Times New Roman" w:hAnsi="Times New Roman"/>
                <w:kern w:val="0"/>
                <w:sz w:val="24"/>
                <w:szCs w:val="24"/>
                <w:shd w:fill="auto" w:val="clear"/>
                <w:lang w:eastAsia="en-US" w:bidi="ar-SA"/>
              </w:rPr>
              <w:t>Sample spectrum: Figure 1 in supplementary</w:t>
            </w:r>
          </w:p>
        </w:tc>
      </w:tr>
    </w:tbl>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ind w:right="850" w:hanging="0"/>
        <w:jc w:val="both"/>
        <w:rPr>
          <w:b/>
        </w:rPr>
      </w:pPr>
      <w:r>
        <w:rPr>
          <w:b/>
        </w:rPr>
      </w:r>
      <w:r>
        <w:br w:type="page"/>
      </w:r>
    </w:p>
    <w:p>
      <w:pPr>
        <w:pStyle w:val="TextBody"/>
        <w:ind w:right="850" w:hanging="0"/>
        <w:jc w:val="both"/>
        <w:rPr>
          <w:rFonts w:ascii="Times New Roman" w:hAnsi="Times New Roman"/>
          <w:b w:val="false"/>
          <w:bCs w:val="false"/>
        </w:rPr>
      </w:pPr>
      <w:r>
        <w:rPr>
          <w:rFonts w:ascii="Times New Roman" w:hAnsi="Times New Roman"/>
          <w:b/>
          <w:bCs w:val="false"/>
        </w:rPr>
        <w:t>Supplementary Table 2: Group Differences in 1H-MRS Quality Measures</w:t>
      </w:r>
    </w:p>
    <w:p>
      <w:pPr>
        <w:pStyle w:val="TextBody"/>
        <w:rPr>
          <w:rFonts w:ascii="Times New Roman" w:hAnsi="Times New Roman"/>
        </w:rPr>
      </w:pPr>
      <w:r>
        <w:rPr>
          <w:rFonts w:ascii="Times New Roman" w:hAnsi="Times New Roman"/>
        </w:rPr>
        <w:t>Abbreviations: fGM = fractional grey matter, fWM = fractional white matter, fCSF = fractional cerebrospinal fluid, Cr SNR = signal-to-noise ratio of the creatine signal, Cr FWHM = full width at half maximum of the creatine signal, water FWHM = full width at half maximum of the water signal, freqShift = frequency shift, relResA = relative residuals of the off-spectrum, relResdiff = relative residuals of the diff-spectrum.</w:t>
      </w:r>
    </w:p>
    <w:p>
      <w:pPr>
        <w:pStyle w:val="Normal"/>
        <w:ind w:right="850" w:hanging="0"/>
        <w:jc w:val="both"/>
        <w:rPr>
          <w:b/>
        </w:rPr>
      </w:pPr>
      <w:r>
        <w:rPr>
          <w:b/>
        </w:rPr>
      </w:r>
    </w:p>
    <w:tbl>
      <w:tblPr>
        <w:tblW w:w="6350" w:type="dxa"/>
        <w:jc w:val="center"/>
        <w:tblInd w:w="0" w:type="dxa"/>
        <w:tblLayout w:type="fixed"/>
        <w:tblCellMar>
          <w:top w:w="0" w:type="dxa"/>
          <w:left w:w="0" w:type="dxa"/>
          <w:bottom w:w="0" w:type="dxa"/>
          <w:right w:w="0" w:type="dxa"/>
        </w:tblCellMar>
        <w:tblLook w:noVBand="1" w:noHBand="0" w:lastColumn="0" w:firstColumn="0" w:lastRow="0" w:firstRow="1"/>
      </w:tblPr>
      <w:tblGrid>
        <w:gridCol w:w="1877"/>
        <w:gridCol w:w="1651"/>
        <w:gridCol w:w="1640"/>
        <w:gridCol w:w="1181"/>
      </w:tblGrid>
      <w:tr>
        <w:trPr>
          <w:tblHeader w:val="true"/>
          <w:trHeight w:val="615" w:hRule="atLeast"/>
        </w:trPr>
        <w:tc>
          <w:tcPr>
            <w:tcW w:w="1877" w:type="dxa"/>
            <w:tcBorders>
              <w:top w:val="single" w:sz="8" w:space="0" w:color="000000"/>
              <w:bottom w:val="single" w:sz="8" w:space="0" w:color="000000"/>
            </w:tcBorders>
            <w:shd w:color="auto" w:fill="FFFFFF" w:val="clear"/>
            <w:vAlign w:val="center"/>
          </w:tcPr>
          <w:p>
            <w:pPr>
              <w:pStyle w:val="Normal"/>
              <w:widowControl w:val="false"/>
              <w:spacing w:lineRule="exact" w:line="240" w:before="40" w:after="40"/>
              <w:ind w:left="100" w:right="100" w:hanging="0"/>
              <w:jc w:val="left"/>
              <w:rPr/>
            </w:pPr>
            <w:r>
              <w:rPr>
                <w:rFonts w:eastAsia="Helvetica" w:cs="Helvetica" w:ascii="Helvetica" w:hAnsi="Helvetica"/>
                <w:b/>
                <w:i w:val="false"/>
                <w:color w:val="000000"/>
                <w:sz w:val="22"/>
                <w:szCs w:val="22"/>
                <w:u w:val="none"/>
              </w:rPr>
              <w:t>Characteristic</w:t>
            </w:r>
          </w:p>
        </w:tc>
        <w:tc>
          <w:tcPr>
            <w:tcW w:w="1651" w:type="dxa"/>
            <w:tcBorders>
              <w:top w:val="single" w:sz="8" w:space="0" w:color="000000"/>
              <w:bottom w:val="single" w:sz="8" w:space="0" w:color="000000"/>
            </w:tcBorders>
            <w:shd w:color="auto" w:fill="FFFFFF" w:val="clear"/>
            <w:vAlign w:val="center"/>
          </w:tcPr>
          <w:p>
            <w:pPr>
              <w:pStyle w:val="Normal"/>
              <w:widowControl w:val="false"/>
              <w:spacing w:lineRule="exact" w:line="240" w:before="40" w:after="40"/>
              <w:ind w:left="100" w:right="100" w:hanging="0"/>
              <w:jc w:val="center"/>
              <w:rPr/>
            </w:pPr>
            <w:r>
              <w:rPr>
                <w:rFonts w:eastAsia="Helvetica" w:cs="Helvetica" w:ascii="Helvetica" w:hAnsi="Helvetica"/>
                <w:b/>
                <w:i w:val="false"/>
                <w:color w:val="000000"/>
                <w:sz w:val="22"/>
                <w:szCs w:val="22"/>
                <w:u w:val="none"/>
              </w:rPr>
              <w:t>ASD</w:t>
            </w:r>
            <w:r>
              <w:rPr>
                <w:rFonts w:eastAsia="Helvetica" w:cs="Helvetica" w:ascii="Helvetica" w:hAnsi="Helvetica"/>
                <w:b w:val="false"/>
                <w:i w:val="false"/>
                <w:color w:val="000000"/>
                <w:sz w:val="22"/>
                <w:szCs w:val="22"/>
                <w:u w:val="none"/>
              </w:rPr>
              <w:t>, N = 64</w:t>
            </w:r>
            <w:r>
              <w:rPr>
                <w:rFonts w:eastAsia="Helvetica" w:cs="Helvetica" w:ascii="Helvetica" w:hAnsi="Helvetica"/>
                <w:b w:val="false"/>
                <w:i w:val="false"/>
                <w:color w:val="000000"/>
                <w:sz w:val="22"/>
                <w:szCs w:val="22"/>
                <w:u w:val="none"/>
                <w:vertAlign w:val="superscript"/>
              </w:rPr>
              <w:t>1</w:t>
            </w:r>
          </w:p>
        </w:tc>
        <w:tc>
          <w:tcPr>
            <w:tcW w:w="1640" w:type="dxa"/>
            <w:tcBorders>
              <w:top w:val="single" w:sz="8" w:space="0" w:color="000000"/>
              <w:bottom w:val="single" w:sz="8" w:space="0" w:color="000000"/>
            </w:tcBorders>
            <w:shd w:color="auto" w:fill="FFFFFF" w:val="clear"/>
            <w:vAlign w:val="center"/>
          </w:tcPr>
          <w:p>
            <w:pPr>
              <w:pStyle w:val="Normal"/>
              <w:widowControl w:val="false"/>
              <w:spacing w:lineRule="exact" w:line="240" w:before="40" w:after="40"/>
              <w:ind w:left="100" w:right="100" w:hanging="0"/>
              <w:jc w:val="center"/>
              <w:rPr/>
            </w:pPr>
            <w:r>
              <w:rPr>
                <w:rFonts w:eastAsia="Helvetica" w:cs="Helvetica" w:ascii="Helvetica" w:hAnsi="Helvetica"/>
                <w:b/>
                <w:i w:val="false"/>
                <w:color w:val="000000"/>
                <w:sz w:val="22"/>
                <w:szCs w:val="22"/>
                <w:u w:val="none"/>
              </w:rPr>
              <w:t>NTC</w:t>
            </w:r>
            <w:r>
              <w:rPr>
                <w:rFonts w:eastAsia="Helvetica" w:cs="Helvetica" w:ascii="Helvetica" w:hAnsi="Helvetica"/>
                <w:b w:val="false"/>
                <w:i w:val="false"/>
                <w:color w:val="000000"/>
                <w:sz w:val="22"/>
                <w:szCs w:val="22"/>
                <w:u w:val="none"/>
              </w:rPr>
              <w:t>, N = 58</w:t>
            </w:r>
            <w:r>
              <w:rPr>
                <w:rFonts w:eastAsia="Helvetica" w:cs="Helvetica" w:ascii="Helvetica" w:hAnsi="Helvetica"/>
                <w:b w:val="false"/>
                <w:i w:val="false"/>
                <w:color w:val="000000"/>
                <w:sz w:val="22"/>
                <w:szCs w:val="22"/>
                <w:u w:val="none"/>
                <w:vertAlign w:val="superscript"/>
              </w:rPr>
              <w:t>1</w:t>
            </w:r>
          </w:p>
        </w:tc>
        <w:tc>
          <w:tcPr>
            <w:tcW w:w="1181" w:type="dxa"/>
            <w:tcBorders>
              <w:top w:val="single" w:sz="8" w:space="0" w:color="000000"/>
              <w:bottom w:val="single" w:sz="8" w:space="0" w:color="000000"/>
            </w:tcBorders>
            <w:shd w:color="auto" w:fill="FFFFFF" w:val="clear"/>
            <w:vAlign w:val="center"/>
          </w:tcPr>
          <w:p>
            <w:pPr>
              <w:pStyle w:val="Normal"/>
              <w:widowControl w:val="false"/>
              <w:spacing w:lineRule="exact" w:line="240" w:before="40" w:after="40"/>
              <w:ind w:left="100" w:right="100" w:hanging="0"/>
              <w:jc w:val="center"/>
              <w:rPr/>
            </w:pPr>
            <w:r>
              <w:rPr>
                <w:rFonts w:eastAsia="Helvetica" w:cs="Helvetica" w:ascii="Helvetica" w:hAnsi="Helvetica"/>
                <w:b/>
                <w:i w:val="false"/>
                <w:color w:val="000000"/>
                <w:sz w:val="22"/>
                <w:szCs w:val="22"/>
                <w:u w:val="none"/>
              </w:rPr>
              <w:t>p-value</w:t>
            </w:r>
            <w:r>
              <w:rPr>
                <w:rFonts w:eastAsia="Helvetica" w:cs="Helvetica" w:ascii="Helvetica" w:hAnsi="Helvetica"/>
                <w:b w:val="false"/>
                <w:i w:val="false"/>
                <w:color w:val="000000"/>
                <w:sz w:val="22"/>
                <w:szCs w:val="22"/>
                <w:u w:val="none"/>
                <w:vertAlign w:val="superscript"/>
              </w:rPr>
              <w:t>2</w:t>
            </w:r>
          </w:p>
        </w:tc>
      </w:tr>
      <w:tr>
        <w:trPr>
          <w:trHeight w:val="577" w:hRule="atLeast"/>
        </w:trPr>
        <w:tc>
          <w:tcPr>
            <w:tcW w:w="1877" w:type="dxa"/>
            <w:tcBorders>
              <w:top w:val="single" w:sz="8" w:space="0" w:color="000000"/>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fGM</w:t>
            </w:r>
          </w:p>
        </w:tc>
        <w:tc>
          <w:tcPr>
            <w:tcW w:w="1651" w:type="dxa"/>
            <w:tcBorders>
              <w:top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0.48 ± 0.08</w:t>
            </w:r>
          </w:p>
        </w:tc>
        <w:tc>
          <w:tcPr>
            <w:tcW w:w="1640" w:type="dxa"/>
            <w:tcBorders>
              <w:top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0.50 ± 0.09</w:t>
            </w:r>
          </w:p>
        </w:tc>
        <w:tc>
          <w:tcPr>
            <w:tcW w:w="1181" w:type="dxa"/>
            <w:tcBorders>
              <w:top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0.4</w:t>
            </w:r>
          </w:p>
        </w:tc>
      </w:tr>
      <w:tr>
        <w:trPr>
          <w:trHeight w:val="571"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fWM</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0.41 ± 0.08</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0.41 ± 0.09</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0.9</w:t>
            </w:r>
          </w:p>
        </w:tc>
      </w:tr>
      <w:tr>
        <w:trPr>
          <w:trHeight w:val="577"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fCSF</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0.10 ± 0.03</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0.09 ± 0.03</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0.065</w:t>
            </w:r>
          </w:p>
        </w:tc>
      </w:tr>
      <w:tr>
        <w:trPr>
          <w:trHeight w:val="600"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Cr SNR</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59.9 ± 12.7</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62.1 ± 13.2</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0.3</w:t>
            </w:r>
          </w:p>
        </w:tc>
      </w:tr>
      <w:tr>
        <w:trPr>
          <w:trHeight w:val="600"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Cr FWHM</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5.3 ± 0.5</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5.1 ± 0.4</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0.2</w:t>
            </w:r>
          </w:p>
        </w:tc>
      </w:tr>
      <w:tr>
        <w:trPr>
          <w:trHeight w:val="596"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Water FWHM</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5.6 ± 1.2</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5.8 ± 0.8</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&gt;0.9</w:t>
            </w:r>
          </w:p>
        </w:tc>
      </w:tr>
      <w:tr>
        <w:trPr>
          <w:trHeight w:val="619"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-7.2 ± 1.1</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-7.7 ± 1.3</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0.075</w:t>
            </w:r>
          </w:p>
        </w:tc>
      </w:tr>
      <w:tr>
        <w:trPr>
          <w:trHeight w:val="573" w:hRule="atLeast"/>
        </w:trPr>
        <w:tc>
          <w:tcPr>
            <w:tcW w:w="1877" w:type="dxa"/>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relResA</w:t>
            </w:r>
          </w:p>
        </w:tc>
        <w:tc>
          <w:tcPr>
            <w:tcW w:w="165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3.5 ± 6.6</w:t>
            </w:r>
          </w:p>
        </w:tc>
        <w:tc>
          <w:tcPr>
            <w:tcW w:w="1640"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2.7 ± 0.6</w:t>
            </w:r>
          </w:p>
        </w:tc>
        <w:tc>
          <w:tcPr>
            <w:tcW w:w="1181" w:type="dxa"/>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0.6</w:t>
            </w:r>
          </w:p>
        </w:tc>
      </w:tr>
      <w:tr>
        <w:trPr>
          <w:trHeight w:val="575" w:hRule="atLeast"/>
        </w:trPr>
        <w:tc>
          <w:tcPr>
            <w:tcW w:w="1877" w:type="dxa"/>
            <w:tcBorders>
              <w:bottom w:val="single" w:sz="8" w:space="0" w:color="000000"/>
            </w:tcBorders>
            <w:shd w:color="auto" w:fill="FFFFFF" w:val="clea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1651" w:type="dxa"/>
            <w:tcBorders>
              <w:bottom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1.8 ± 1.4</w:t>
            </w:r>
          </w:p>
        </w:tc>
        <w:tc>
          <w:tcPr>
            <w:tcW w:w="1640" w:type="dxa"/>
            <w:tcBorders>
              <w:bottom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1.7 ± 0.5</w:t>
            </w:r>
          </w:p>
        </w:tc>
        <w:tc>
          <w:tcPr>
            <w:tcW w:w="1181" w:type="dxa"/>
            <w:tcBorders>
              <w:bottom w:val="single" w:sz="8" w:space="0" w:color="000000"/>
            </w:tcBorders>
            <w:shd w:color="auto" w:fill="FFFFFF" w:val="clear"/>
          </w:tcPr>
          <w:p>
            <w:pPr>
              <w:pStyle w:val="Normal"/>
              <w:widowControl w:val="false"/>
              <w:spacing w:lineRule="exact" w:line="240" w:before="100" w:after="100"/>
              <w:ind w:left="100" w:right="100" w:hanging="0"/>
              <w:jc w:val="center"/>
              <w:rPr/>
            </w:pPr>
            <w:r>
              <w:rPr>
                <w:rFonts w:eastAsia="Helvetica" w:cs="Helvetica" w:ascii="Helvetica" w:hAnsi="Helvetica"/>
                <w:b w:val="false"/>
                <w:i w:val="false"/>
                <w:color w:val="000000"/>
                <w:sz w:val="22"/>
                <w:szCs w:val="22"/>
                <w:u w:val="none"/>
              </w:rPr>
              <w:t>0.4</w:t>
            </w:r>
          </w:p>
        </w:tc>
      </w:tr>
      <w:tr>
        <w:trPr>
          <w:trHeight w:val="360" w:hRule="atLeast"/>
        </w:trPr>
        <w:tc>
          <w:tcPr>
            <w:tcW w:w="6349" w:type="dxa"/>
            <w:gridSpan w:val="4"/>
            <w:tcBorders>
              <w:top w:val="single" w:sz="8" w:space="0" w:color="000000"/>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vertAlign w:val="superscript"/>
              </w:rPr>
              <w:t>1</w:t>
            </w:r>
            <w:r>
              <w:rPr>
                <w:rFonts w:eastAsia="Helvetica" w:cs="Helvetica" w:ascii="Helvetica" w:hAnsi="Helvetica"/>
                <w:b w:val="false"/>
                <w:i w:val="false"/>
                <w:color w:val="000000"/>
                <w:sz w:val="22"/>
                <w:szCs w:val="22"/>
                <w:u w:val="none"/>
              </w:rPr>
              <w:t>Mean ± SD</w:t>
            </w:r>
          </w:p>
        </w:tc>
      </w:tr>
      <w:tr>
        <w:trPr>
          <w:trHeight w:val="360" w:hRule="atLeast"/>
        </w:trPr>
        <w:tc>
          <w:tcPr>
            <w:tcW w:w="6349" w:type="dxa"/>
            <w:gridSpan w:val="4"/>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vertAlign w:val="superscript"/>
              </w:rPr>
              <w:t>2</w:t>
            </w:r>
            <w:r>
              <w:rPr>
                <w:rFonts w:eastAsia="Helvetica" w:cs="Helvetica" w:ascii="Helvetica" w:hAnsi="Helvetica"/>
                <w:b w:val="false"/>
                <w:i w:val="false"/>
                <w:color w:val="000000"/>
                <w:sz w:val="22"/>
                <w:szCs w:val="22"/>
                <w:u w:val="none"/>
              </w:rPr>
              <w:t>Wilcoxon rank sum test</w:t>
            </w:r>
          </w:p>
        </w:tc>
      </w:tr>
    </w:tbl>
    <w:p>
      <w:pPr>
        <w:pStyle w:val="Normal"/>
        <w:ind w:right="850" w:hanging="0"/>
        <w:jc w:val="both"/>
        <w:rPr>
          <w:rFonts w:ascii="Times New Roman" w:hAnsi="Times New Roman"/>
        </w:rPr>
      </w:pPr>
      <w:r>
        <w:rPr>
          <w:rFonts w:ascii="Times New Roman" w:hAnsi="Times New Roman"/>
        </w:rPr>
      </w:r>
    </w:p>
    <w:p>
      <w:pPr>
        <w:pStyle w:val="Normal"/>
        <w:spacing w:before="0" w:after="160"/>
        <w:ind w:right="850" w:hanging="0"/>
        <w:jc w:val="both"/>
        <w:rPr>
          <w:rFonts w:cs="Times New Roman"/>
          <w:b/>
          <w:i/>
          <w:i/>
          <w:sz w:val="24"/>
        </w:rPr>
      </w:pPr>
      <w:r>
        <w:rPr>
          <w:rFonts w:cs="Times New Roman"/>
          <w:b/>
          <w:i/>
          <w:sz w:val="24"/>
        </w:rPr>
      </w:r>
      <w:r>
        <w:br w:type="page"/>
      </w:r>
    </w:p>
    <w:p>
      <w:pPr>
        <w:pStyle w:val="TextBody"/>
        <w:ind w:right="850" w:hanging="0"/>
        <w:jc w:val="both"/>
        <w:rPr>
          <w:i w:val="false"/>
          <w:i w:val="false"/>
          <w:iCs w:val="false"/>
        </w:rPr>
      </w:pPr>
      <w:r>
        <w:rPr>
          <w:rFonts w:cs="Times New Roman" w:ascii="Times New Roman" w:hAnsi="Times New Roman"/>
          <w:b/>
          <w:bCs w:val="false"/>
          <w:i w:val="false"/>
          <w:iCs w:val="false"/>
          <w:sz w:val="24"/>
          <w:szCs w:val="24"/>
        </w:rPr>
        <w:t>Supplementary Table 3: Analysis of the effect of the 'group' factor and other potential confounders on various Lac+ measurements, as well as tNAA and tCr.</w:t>
      </w:r>
    </w:p>
    <w:p>
      <w:pPr>
        <w:pStyle w:val="TextBody"/>
        <w:rPr>
          <w:rFonts w:ascii="Times New Roman" w:hAnsi="Times New Roman"/>
        </w:rPr>
      </w:pPr>
      <w:r>
        <w:rPr>
          <w:rFonts w:ascii="Times New Roman" w:hAnsi="Times New Roman"/>
        </w:rPr>
        <w:t>Abbreviations: DFn = between groups degrees of freedom, DFd  = within groups degrees of freedom; FVC1 and FVC2 = fractional volume components derived from the voxel’s fractional grey matter, white matter, and cerebrospinal fluid using principal component analysis, freqShift = frequency shift, relResdiff = relative residuals of the diff-spectrum, tNAA = total N-acetylaspartate, tCr = total creatine, Lac+ = lactate plus threonine, CSF = cerebrospinal fluid.</w:t>
      </w:r>
    </w:p>
    <w:tbl>
      <w:tblPr>
        <w:tblW w:w="9438" w:type="dxa"/>
        <w:jc w:val="center"/>
        <w:tblInd w:w="0" w:type="dxa"/>
        <w:tblLayout w:type="fixed"/>
        <w:tblCellMar>
          <w:top w:w="0" w:type="dxa"/>
          <w:left w:w="0" w:type="dxa"/>
          <w:bottom w:w="0" w:type="dxa"/>
          <w:right w:w="0" w:type="dxa"/>
        </w:tblCellMar>
        <w:tblLook w:noVBand="1" w:noHBand="0" w:lastColumn="0" w:firstColumn="0" w:lastRow="0" w:firstRow="1"/>
      </w:tblPr>
      <w:tblGrid>
        <w:gridCol w:w="2962"/>
        <w:gridCol w:w="1359"/>
        <w:gridCol w:w="806"/>
        <w:gridCol w:w="1079"/>
        <w:gridCol w:w="1080"/>
        <w:gridCol w:w="1077"/>
        <w:gridCol w:w="1074"/>
      </w:tblGrid>
      <w:tr>
        <w:trPr>
          <w:tblHeader w:val="true"/>
          <w:trHeight w:val="360" w:hRule="atLeast"/>
        </w:trPr>
        <w:tc>
          <w:tcPr>
            <w:tcW w:w="2962"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metabolite</w:t>
            </w:r>
          </w:p>
        </w:tc>
        <w:tc>
          <w:tcPr>
            <w:tcW w:w="1359"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Effect</w:t>
            </w:r>
          </w:p>
        </w:tc>
        <w:tc>
          <w:tcPr>
            <w:tcW w:w="806"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DFn</w:t>
            </w:r>
          </w:p>
        </w:tc>
        <w:tc>
          <w:tcPr>
            <w:tcW w:w="1079"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DFd</w:t>
            </w:r>
          </w:p>
        </w:tc>
        <w:tc>
          <w:tcPr>
            <w:tcW w:w="1080"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F</w:t>
            </w:r>
          </w:p>
        </w:tc>
        <w:tc>
          <w:tcPr>
            <w:tcW w:w="1077"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p</w:t>
            </w:r>
          </w:p>
        </w:tc>
        <w:tc>
          <w:tcPr>
            <w:tcW w:w="1074" w:type="dxa"/>
            <w:tcBorders>
              <w:top w:val="single" w:sz="12" w:space="0" w:color="666666"/>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p&lt;.05</w:t>
            </w:r>
          </w:p>
        </w:tc>
      </w:tr>
      <w:tr>
        <w:trPr>
          <w:trHeight w:val="360" w:hRule="atLeast"/>
        </w:trPr>
        <w:tc>
          <w:tcPr>
            <w:tcW w:w="2962" w:type="dxa"/>
            <w:vMerge w:val="restart"/>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Non-adjusted Lac+ metabolite amplitude</w:t>
            </w:r>
          </w:p>
        </w:tc>
        <w:tc>
          <w:tcPr>
            <w:tcW w:w="1359"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8.765</w:t>
            </w:r>
          </w:p>
        </w:tc>
        <w:tc>
          <w:tcPr>
            <w:tcW w:w="1077"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0.004</w:t>
            </w:r>
          </w:p>
        </w:tc>
        <w:tc>
          <w:tcPr>
            <w:tcW w:w="1074" w:type="dxa"/>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0.053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0.819</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4.780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0.031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2.639</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0.107</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3.272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0.073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13.599</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top w:val="single" w:sz="12" w:space="0" w:color="666666"/>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5.253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0.024</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restart"/>
            <w:tcBorders/>
            <w:shd w:color="auto" w:fill="FFFFFF" w:val="clear"/>
            <w:vAlign w:val="center"/>
          </w:tcPr>
          <w:p>
            <w:pPr>
              <w:pStyle w:val="TextBody"/>
              <w:widowControl w:val="false"/>
              <w:spacing w:before="0" w:after="140"/>
              <w:rPr>
                <w:rFonts w:ascii="Times New Roman" w:hAnsi="Times New Roman"/>
              </w:rPr>
            </w:pPr>
            <w:r>
              <w:rPr>
                <w:rFonts w:eastAsia="Helvetica" w:cs="Helvetica" w:ascii="Helvetica" w:hAnsi="Helvetica"/>
                <w:b w:val="false"/>
                <w:i w:val="false"/>
                <w:color w:val="000000"/>
                <w:sz w:val="22"/>
                <w:szCs w:val="22"/>
                <w:u w:val="none"/>
              </w:rPr>
              <w:t>water-scaled and CSF corrected Lac+ concentration</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4.559</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0.035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4.653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0.033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1.982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0.162</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1.978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0.162</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0.090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0.765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1.188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0.278</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0.490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0.485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restart"/>
            <w:tcBorders/>
            <w:shd w:color="auto" w:fill="FFFFFF" w:val="clear"/>
            <w:vAlign w:val="center"/>
          </w:tcPr>
          <w:p>
            <w:pPr>
              <w:pStyle w:val="TextBody"/>
              <w:widowControl w:val="false"/>
              <w:spacing w:before="0" w:after="140"/>
              <w:rPr>
                <w:rFonts w:ascii="Times New Roman" w:hAnsi="Times New Roman"/>
              </w:rPr>
            </w:pPr>
            <w:r>
              <w:rPr>
                <w:rFonts w:eastAsia="Helvetica" w:cs="Helvetica" w:ascii="Helvetica" w:hAnsi="Helvetica"/>
                <w:b w:val="false"/>
                <w:i w:val="false"/>
                <w:color w:val="000000"/>
                <w:sz w:val="22"/>
                <w:szCs w:val="22"/>
                <w:u w:val="none"/>
              </w:rPr>
              <w:t>Raw water-scaled Lac+ concentration</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4.312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0.040</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3.782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0.054</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0.777</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0.380</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2.068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0.153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0.071</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0.790</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1.150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0.286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0.483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0.489</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restart"/>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Lac+/tCr</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5.092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0.026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8.173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0.005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13.408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0.336</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0.563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1.818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0.180</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0.017</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0.896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2.990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0.086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restart"/>
            <w:tcBorders/>
            <w:shd w:color="auto" w:fill="FFFFFF" w:val="clear"/>
            <w:vAlign w:val="center"/>
          </w:tcPr>
          <w:p>
            <w:pPr>
              <w:pStyle w:val="TextBody"/>
              <w:widowControl w:val="false"/>
              <w:spacing w:before="0" w:after="140"/>
              <w:rPr>
                <w:rFonts w:ascii="Times New Roman" w:hAnsi="Times New Roman"/>
              </w:rPr>
            </w:pPr>
            <w:r>
              <w:rPr>
                <w:rFonts w:eastAsia="Helvetica" w:cs="Helvetica" w:ascii="Helvetica" w:hAnsi="Helvetica"/>
                <w:b w:val="false"/>
                <w:i w:val="false"/>
                <w:color w:val="000000"/>
                <w:sz w:val="22"/>
                <w:szCs w:val="22"/>
                <w:u w:val="none"/>
              </w:rPr>
              <w:t>water-scaled and CSF corrected and tissues-corrected Lac+ concentration</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4.669</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0.033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12.630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10.645</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2.052</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0.155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0.077</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0.781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1.183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0.279</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0.528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0.469</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restart"/>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tNAA tissue corrected</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1.546</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0.216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27.458</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5.406</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0.022</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1.460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0.229</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6.041</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0.015</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18.789</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2.585</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0.111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restart"/>
            <w:tcBorders/>
            <w:shd w:color="auto" w:fill="FFFFFF" w:val="clear"/>
            <w:vAlign w:val="center"/>
          </w:tcPr>
          <w:p>
            <w:pPr>
              <w:pStyle w:val="Normal"/>
              <w:widowControl w:val="false"/>
              <w:spacing w:lineRule="exact" w:line="240" w:before="100" w:after="100"/>
              <w:ind w:right="100" w:hanging="0"/>
              <w:jc w:val="left"/>
              <w:rPr/>
            </w:pPr>
            <w:r>
              <w:rPr>
                <w:rFonts w:eastAsia="Helvetica" w:cs="Helvetica" w:ascii="Helvetica" w:hAnsi="Helvetica"/>
                <w:b w:val="false"/>
                <w:i w:val="false"/>
                <w:color w:val="000000"/>
                <w:sz w:val="22"/>
                <w:szCs w:val="22"/>
                <w:u w:val="none"/>
              </w:rPr>
              <w:t>Log-transformed tCr tissue corrected</w:t>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group</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0.056</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0.813</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162.920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&lt;0.001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FVC2</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0.640</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0.426</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relResdiff1</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0.954</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0.331</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freqShift</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3.663</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0.058</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age</w:t>
            </w:r>
          </w:p>
        </w:tc>
        <w:tc>
          <w:tcPr>
            <w:tcW w:w="806"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5.235</w:t>
            </w:r>
          </w:p>
        </w:tc>
        <w:tc>
          <w:tcPr>
            <w:tcW w:w="1077"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0.024</w:t>
            </w:r>
          </w:p>
        </w:tc>
        <w:tc>
          <w:tcPr>
            <w:tcW w:w="1074" w:type="dxa"/>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r>
        <w:trPr>
          <w:trHeight w:val="360" w:hRule="atLeast"/>
        </w:trPr>
        <w:tc>
          <w:tcPr>
            <w:tcW w:w="2962" w:type="dxa"/>
            <w:vMerge w:val="continue"/>
            <w:tcBorders/>
            <w:shd w:color="auto" w:fill="FFFFFF" w:val="clear"/>
            <w:vAlign w:val="center"/>
          </w:tcPr>
          <w:p>
            <w:pPr>
              <w:pStyle w:val="Normal"/>
              <w:widowControl w:val="false"/>
              <w:spacing w:lineRule="exact" w:line="240" w:before="100" w:after="100"/>
              <w:ind w:left="100" w:right="100" w:hanging="0"/>
              <w:jc w:val="left"/>
              <w:rPr>
                <w:rFonts w:ascii="Helvetica" w:hAnsi="Helvetica" w:eastAsia="Helvetica" w:cs="Helvetica"/>
                <w:b w:val="false"/>
                <w:i w:val="false"/>
                <w:i w:val="false"/>
                <w:color w:val="000000"/>
                <w:sz w:val="22"/>
                <w:szCs w:val="22"/>
                <w:u w:val="none"/>
              </w:rPr>
            </w:pPr>
            <w:r>
              <w:rPr>
                <w:rFonts w:eastAsia="Helvetica" w:cs="Helvetica" w:ascii="Helvetica" w:hAnsi="Helvetica"/>
                <w:b w:val="false"/>
                <w:i w:val="false"/>
                <w:color w:val="000000"/>
                <w:sz w:val="22"/>
                <w:szCs w:val="22"/>
                <w:u w:val="none"/>
              </w:rPr>
            </w:r>
          </w:p>
        </w:tc>
        <w:tc>
          <w:tcPr>
            <w:tcW w:w="1359"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sex</w:t>
            </w:r>
          </w:p>
        </w:tc>
        <w:tc>
          <w:tcPr>
            <w:tcW w:w="806"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w:t>
            </w:r>
          </w:p>
        </w:tc>
        <w:tc>
          <w:tcPr>
            <w:tcW w:w="1079"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114</w:t>
            </w:r>
          </w:p>
        </w:tc>
        <w:tc>
          <w:tcPr>
            <w:tcW w:w="1080"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right"/>
              <w:rPr/>
            </w:pPr>
            <w:r>
              <w:rPr>
                <w:rFonts w:eastAsia="Helvetica" w:cs="Helvetica" w:ascii="Helvetica" w:hAnsi="Helvetica"/>
                <w:b w:val="false"/>
                <w:i w:val="false"/>
                <w:color w:val="000000"/>
                <w:sz w:val="22"/>
                <w:szCs w:val="22"/>
                <w:u w:val="none"/>
              </w:rPr>
              <w:t>4.338</w:t>
            </w:r>
          </w:p>
        </w:tc>
        <w:tc>
          <w:tcPr>
            <w:tcW w:w="1077"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0.040</w:t>
            </w:r>
          </w:p>
        </w:tc>
        <w:tc>
          <w:tcPr>
            <w:tcW w:w="1074" w:type="dxa"/>
            <w:tcBorders>
              <w:bottom w:val="single" w:sz="12" w:space="0" w:color="666666"/>
            </w:tcBorders>
            <w:shd w:color="auto" w:fill="FFFFFF" w:val="clear"/>
            <w:vAlign w:val="center"/>
          </w:tcPr>
          <w:p>
            <w:pPr>
              <w:pStyle w:val="Normal"/>
              <w:widowControl w:val="false"/>
              <w:spacing w:lineRule="exact" w:line="240" w:before="100" w:after="100"/>
              <w:ind w:left="100" w:right="100" w:hanging="0"/>
              <w:jc w:val="left"/>
              <w:rPr/>
            </w:pPr>
            <w:r>
              <w:rPr>
                <w:rFonts w:eastAsia="Helvetica" w:cs="Helvetica" w:ascii="Helvetica" w:hAnsi="Helvetica"/>
                <w:b w:val="false"/>
                <w:i w:val="false"/>
                <w:color w:val="000000"/>
                <w:sz w:val="22"/>
                <w:szCs w:val="22"/>
                <w:u w:val="none"/>
              </w:rPr>
              <w:t>*</w:t>
            </w:r>
          </w:p>
        </w:tc>
      </w:tr>
    </w:tbl>
    <w:p>
      <w:pPr>
        <w:pStyle w:val="Normal"/>
        <w:spacing w:before="0" w:after="160"/>
        <w:ind w:right="850" w:hanging="0"/>
        <w:jc w:val="both"/>
        <w:rPr>
          <w:rFonts w:ascii="Times New Roman" w:hAnsi="Times New Roman"/>
        </w:rPr>
      </w:pPr>
      <w:r>
        <w:br w:type="page"/>
      </w:r>
      <w:r>
        <w:rPr/>
        <w:drawing>
          <wp:inline distT="0" distB="0" distL="0" distR="0">
            <wp:extent cx="6120130" cy="302133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0" r="0" b="12256"/>
                    <a:stretch>
                      <a:fillRect/>
                    </a:stretch>
                  </pic:blipFill>
                  <pic:spPr bwMode="auto">
                    <a:xfrm>
                      <a:off x="0" y="0"/>
                      <a:ext cx="6120130" cy="3021330"/>
                    </a:xfrm>
                    <a:prstGeom prst="rect">
                      <a:avLst/>
                    </a:prstGeom>
                  </pic:spPr>
                </pic:pic>
              </a:graphicData>
            </a:graphic>
          </wp:inline>
        </w:drawing>
      </w:r>
    </w:p>
    <w:p>
      <w:pPr>
        <w:pStyle w:val="Normal"/>
        <w:spacing w:before="0" w:after="160"/>
        <w:ind w:right="850" w:hanging="0"/>
        <w:jc w:val="both"/>
        <w:rPr>
          <w:i w:val="false"/>
          <w:i w:val="false"/>
          <w:iCs w:val="false"/>
        </w:rPr>
      </w:pPr>
      <w:r>
        <w:rPr>
          <w:rFonts w:cs="Times New Roman" w:ascii="Times New Roman" w:hAnsi="Times New Roman"/>
          <w:b/>
          <w:i w:val="false"/>
          <w:iCs w:val="false"/>
          <w:sz w:val="24"/>
        </w:rPr>
        <w:t>Supplementary Figure 1.</w:t>
      </w:r>
      <w:r>
        <w:rPr>
          <w:rFonts w:cs="Times New Roman" w:ascii="Times New Roman" w:hAnsi="Times New Roman"/>
          <w:i w:val="false"/>
          <w:iCs w:val="false"/>
          <w:sz w:val="24"/>
        </w:rPr>
        <w:t xml:space="preserve"> </w:t>
      </w:r>
      <w:r>
        <w:rPr>
          <w:rFonts w:cs="Times New Roman" w:ascii="Times New Roman" w:hAnsi="Times New Roman"/>
          <w:i w:val="false"/>
          <w:iCs w:val="false"/>
          <w:sz w:val="24"/>
          <w:szCs w:val="24"/>
        </w:rPr>
        <w:t xml:space="preserve">Representative proton magnetic resonance spectra of the posterior cingulate cortex (PCC) processed and modeled via Osprey using </w:t>
      </w:r>
      <w:r>
        <w:rPr>
          <w:rFonts w:eastAsia="Calibri" w:cs="Times New Roman" w:ascii="Times New Roman" w:hAnsi="Times New Roman"/>
          <w:i w:val="false"/>
          <w:iCs w:val="false"/>
          <w:sz w:val="24"/>
          <w:szCs w:val="24"/>
        </w:rPr>
        <w:t>MEGA-semiLaser d</w:t>
      </w:r>
      <w:r>
        <w:rPr>
          <w:rFonts w:cs="Times New Roman" w:ascii="Times New Roman" w:hAnsi="Times New Roman"/>
          <w:i w:val="false"/>
          <w:iCs w:val="false"/>
          <w:sz w:val="24"/>
          <w:szCs w:val="24"/>
        </w:rPr>
        <w:t>ata. (A) Exemplary spectral fit of the OFF and DIFF spectra of one participant with contributions from individual metabolites delineated. (B) Individual OFF and DIFF spectra showcasing variations. (C) Aggregated mean OFF and DIFF spectra depicted in green with standard deviation represented by gray shaded areas; overlay of mean spectral fit in yellow and mean residual shown above.</w:t>
      </w:r>
    </w:p>
    <w:p>
      <w:pPr>
        <w:pStyle w:val="Normal"/>
        <w:spacing w:before="0" w:after="160"/>
        <w:ind w:right="850" w:hanging="0"/>
        <w:jc w:val="both"/>
        <w:rPr>
          <w:rFonts w:cs="Times New Roman"/>
          <w:i/>
          <w:i/>
          <w:sz w:val="24"/>
          <w:szCs w:val="24"/>
        </w:rPr>
      </w:pPr>
      <w:r>
        <w:rPr>
          <w:rFonts w:cs="Times New Roman"/>
          <w:i/>
          <w:sz w:val="24"/>
          <w:szCs w:val="24"/>
        </w:rPr>
      </w:r>
    </w:p>
    <w:p>
      <w:pPr>
        <w:pStyle w:val="Normal"/>
        <w:spacing w:before="0" w:after="160"/>
        <w:ind w:right="850" w:hanging="0"/>
        <w:jc w:val="both"/>
        <w:rPr>
          <w:rFonts w:cs="Times New Roman"/>
          <w:i/>
          <w:i/>
          <w:sz w:val="24"/>
          <w:szCs w:val="24"/>
        </w:rPr>
      </w:pPr>
      <w:r>
        <w:rPr>
          <w:rFonts w:cs="Times New Roman"/>
          <w:i/>
          <w:sz w:val="24"/>
          <w:szCs w:val="24"/>
        </w:rPr>
      </w:r>
      <w:r>
        <w:br w:type="page"/>
      </w:r>
    </w:p>
    <w:p>
      <w:pPr>
        <w:pStyle w:val="TextBody"/>
        <w:ind w:right="850" w:hanging="0"/>
        <w:jc w:val="both"/>
        <w:rPr>
          <w:i w:val="false"/>
          <w:i w:val="false"/>
          <w:iCs w:val="false"/>
        </w:rPr>
      </w:pPr>
      <w:r>
        <w:rPr>
          <w:rFonts w:cs="Times New Roman" w:ascii="Times New Roman" w:hAnsi="Times New Roman"/>
          <w:b/>
          <w:bCs w:val="false"/>
          <w:i w:val="false"/>
          <w:iCs w:val="false"/>
          <w:sz w:val="24"/>
          <w:szCs w:val="24"/>
        </w:rPr>
        <w:t>Supplementary Information 1: Fractional volume effects</w:t>
      </w:r>
    </w:p>
    <w:p>
      <w:pPr>
        <w:pStyle w:val="TextBody"/>
        <w:rPr>
          <w:rFonts w:ascii="Times New Roman" w:hAnsi="Times New Roman"/>
          <w:i w:val="false"/>
          <w:i w:val="false"/>
          <w:iCs w:val="false"/>
        </w:rPr>
      </w:pPr>
      <w:r>
        <w:rPr>
          <w:rFonts w:cs="Times New Roman" w:ascii="Times New Roman" w:hAnsi="Times New Roman"/>
          <w:b w:val="false"/>
          <w:bCs w:val="false"/>
          <w:i w:val="false"/>
          <w:iCs w:val="false"/>
          <w:sz w:val="24"/>
          <w:szCs w:val="24"/>
        </w:rPr>
        <w:t>Informed by theories such as the lactate-shuffle theory, suggesting differences in lactate concentrations across grey matter (GM), white matter (WM), and cerebrospinal fluid (CSF), we conducted an empirical investigation. We applied principal component analysis (PCA) on fractional GM, WM, and CSF volumes within a voxel, resulting in two components (FVC1 and FVC2) that accounted for all the variance (64% and 36% respectively). We then set up several ANCOVA models to examine the effect of fractional voxel volumes, with group, age, relative Residual Differences, FVC1, FVC2, sex, and frequency shift as independent variables. Five Osprey outputs were used as dependent variables. The aim was to determine which output best minimized the fractional volume effect. Our analyses indicated a significant effect of FVC2 on all outputs except raw water-scaled lactate concentration. Osprey’s tissue correction introduced fractional volume effects for FVC1. Therefore, raw water-scaled lactate concentration emerged as the most accurate measure to account for fractional volume differences and will be used  as Lac+ in subsequent analyses.</w:t>
      </w:r>
    </w:p>
    <w:p>
      <w:pPr>
        <w:pStyle w:val="TextBody"/>
        <w:rPr>
          <w:rFonts w:cs="Times New Roman"/>
          <w:b w:val="false"/>
          <w:bCs w:val="false"/>
          <w:sz w:val="24"/>
          <w:szCs w:val="24"/>
        </w:rPr>
      </w:pPr>
      <w:r>
        <w:rPr>
          <w:rFonts w:cs="Times New Roman"/>
          <w:b w:val="false"/>
          <w:bCs w:val="false"/>
          <w:sz w:val="24"/>
          <w:szCs w:val="24"/>
        </w:rPr>
      </w:r>
      <w:r>
        <w:br w:type="page"/>
      </w:r>
    </w:p>
    <w:p>
      <w:pPr>
        <w:pStyle w:val="TextBody"/>
        <w:ind w:right="850" w:hanging="0"/>
        <w:jc w:val="both"/>
        <w:rPr>
          <w:i w:val="false"/>
          <w:i w:val="false"/>
          <w:iCs w:val="false"/>
        </w:rPr>
      </w:pPr>
      <w:r>
        <w:rPr>
          <w:rFonts w:cs="Times New Roman" w:ascii="Times New Roman" w:hAnsi="Times New Roman"/>
          <w:b/>
          <w:bCs w:val="false"/>
          <w:i w:val="false"/>
          <w:iCs w:val="false"/>
          <w:sz w:val="24"/>
          <w:szCs w:val="24"/>
        </w:rPr>
        <w:t xml:space="preserve">Supplementary Information 2: Confirmatory analyses </w:t>
      </w:r>
      <w:r>
        <w:rPr>
          <w:rFonts w:cs="Times New Roman" w:ascii="Times New Roman" w:hAnsi="Times New Roman"/>
          <w:b w:val="false"/>
          <w:bCs w:val="false"/>
          <w:i w:val="false"/>
          <w:iCs w:val="false"/>
          <w:sz w:val="24"/>
          <w:szCs w:val="24"/>
        </w:rPr>
        <w:t>regarding other Lac+ estimates derived from Osprey</w:t>
      </w:r>
    </w:p>
    <w:p>
      <w:pPr>
        <w:pStyle w:val="TextBody"/>
        <w:rPr>
          <w:rFonts w:ascii="Times New Roman" w:hAnsi="Times New Roman"/>
        </w:rPr>
      </w:pPr>
      <w:r>
        <w:rPr>
          <w:rFonts w:cs="Times New Roman" w:ascii="Times New Roman" w:hAnsi="Times New Roman"/>
          <w:b w:val="false"/>
          <w:bCs w:val="false"/>
          <w:sz w:val="24"/>
          <w:szCs w:val="24"/>
        </w:rPr>
        <w:t>In supplementary analyses  (cf. Supplementary Table 3), we examined the effect of the "group" factor on the other lactate measures (unadjusted Lac+ metabolite amplitudes, water-scaled and CSF-corrected Lac+ concentrations, water-scaled plus CSF-corrected plus tissue-corrected Lac+ concentrations, and the Lac+/tCr ratio) by ANCOVA models including covariates such as FVC1, FVC2, sex, age, and relative residuals to account for potential confounders, particularly the fractional volume effect.</w:t>
      </w:r>
    </w:p>
    <w:p>
      <w:pPr>
        <w:pStyle w:val="Normal"/>
        <w:spacing w:before="0" w:after="160"/>
        <w:jc w:val="both"/>
        <w:rPr>
          <w:rFonts w:ascii="Times New Roman" w:hAnsi="Times New Roman"/>
        </w:rPr>
      </w:pPr>
      <w:r>
        <w:rPr>
          <w:rFonts w:cs="Times New Roman" w:ascii="Times New Roman" w:hAnsi="Times New Roman"/>
          <w:b w:val="false"/>
          <w:bCs w:val="false"/>
          <w:sz w:val="24"/>
          <w:szCs w:val="24"/>
        </w:rPr>
        <w:t xml:space="preserve">After controlling for confounders, all other lactate estimates (including unadjusted lactate metabolite amplitudes, water-scaled and CSF-corrected lactate concentrations, water-scaled plus CSF-corrected plus tissue-corrected lactate concentrations, and </w:t>
      </w:r>
      <w:r>
        <w:rPr>
          <w:rFonts w:cs="Times New Roman" w:ascii="Times New Roman" w:hAnsi="Times New Roman"/>
          <w:b w:val="false"/>
          <w:bCs w:val="false"/>
          <w:sz w:val="24"/>
          <w:szCs w:val="24"/>
        </w:rPr>
        <w:t>Lac+/tCr</w:t>
      </w:r>
      <w:r>
        <w:rPr>
          <w:rFonts w:cs="Times New Roman" w:ascii="Times New Roman" w:hAnsi="Times New Roman"/>
          <w:b w:val="false"/>
          <w:bCs w:val="false"/>
          <w:sz w:val="24"/>
          <w:szCs w:val="24"/>
        </w:rPr>
        <w:t xml:space="preserve"> ratio) showed a significant group effect. However, no significant group effect was found in the exploratory analyses of tNAA and log-transformed tCr.</w:t>
      </w:r>
    </w:p>
    <w:sectPr>
      <w:type w:val="nextPage"/>
      <w:pgSz w:w="11906" w:h="16838"/>
      <w:pgMar w:left="1418" w:right="0" w:gutter="0" w:header="0" w:top="1135" w:footer="0" w:bottom="144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Segoe UI">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Arial">
    <w:charset w:val="01"/>
    <w:family w:val="swiss"/>
    <w:pitch w:val="default"/>
  </w:font>
  <w:font w:name="Times New Roman">
    <w:charset w:val="01"/>
    <w:family w:val="swiss"/>
    <w:pitch w:val="default"/>
  </w:font>
  <w:font w:name="Helvetica">
    <w:altName w:val="Arial"/>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lowerLetter"/>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3">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lowerLetter"/>
      <w:lvlText w:val="%1."/>
      <w:lvlJc w:val="left"/>
      <w:pPr>
        <w:tabs>
          <w:tab w:val="num" w:pos="0"/>
        </w:tabs>
        <w:ind w:left="964" w:hanging="360"/>
      </w:pPr>
      <w:rPr/>
    </w:lvl>
    <w:lvl w:ilvl="1">
      <w:start w:val="1"/>
      <w:numFmt w:val="lowerLetter"/>
      <w:lvlText w:val="%2."/>
      <w:lvlJc w:val="left"/>
      <w:pPr>
        <w:tabs>
          <w:tab w:val="num" w:pos="0"/>
        </w:tabs>
        <w:ind w:left="1684" w:hanging="360"/>
      </w:pPr>
      <w:rPr/>
    </w:lvl>
    <w:lvl w:ilvl="2">
      <w:start w:val="1"/>
      <w:numFmt w:val="lowerRoman"/>
      <w:lvlText w:val="%3."/>
      <w:lvlJc w:val="right"/>
      <w:pPr>
        <w:tabs>
          <w:tab w:val="num" w:pos="0"/>
        </w:tabs>
        <w:ind w:left="2404" w:hanging="180"/>
      </w:pPr>
      <w:rPr/>
    </w:lvl>
    <w:lvl w:ilvl="3">
      <w:start w:val="1"/>
      <w:numFmt w:val="decimal"/>
      <w:lvlText w:val="%4."/>
      <w:lvlJc w:val="left"/>
      <w:pPr>
        <w:tabs>
          <w:tab w:val="num" w:pos="0"/>
        </w:tabs>
        <w:ind w:left="3124" w:hanging="360"/>
      </w:pPr>
      <w:rPr/>
    </w:lvl>
    <w:lvl w:ilvl="4">
      <w:start w:val="1"/>
      <w:numFmt w:val="lowerLetter"/>
      <w:lvlText w:val="%5."/>
      <w:lvlJc w:val="left"/>
      <w:pPr>
        <w:tabs>
          <w:tab w:val="num" w:pos="0"/>
        </w:tabs>
        <w:ind w:left="3844" w:hanging="360"/>
      </w:pPr>
      <w:rPr/>
    </w:lvl>
    <w:lvl w:ilvl="5">
      <w:start w:val="1"/>
      <w:numFmt w:val="lowerRoman"/>
      <w:lvlText w:val="%6."/>
      <w:lvlJc w:val="right"/>
      <w:pPr>
        <w:tabs>
          <w:tab w:val="num" w:pos="0"/>
        </w:tabs>
        <w:ind w:left="4564" w:hanging="180"/>
      </w:pPr>
      <w:rPr/>
    </w:lvl>
    <w:lvl w:ilvl="6">
      <w:start w:val="1"/>
      <w:numFmt w:val="decimal"/>
      <w:lvlText w:val="%7."/>
      <w:lvlJc w:val="left"/>
      <w:pPr>
        <w:tabs>
          <w:tab w:val="num" w:pos="0"/>
        </w:tabs>
        <w:ind w:left="5284" w:hanging="360"/>
      </w:pPr>
      <w:rPr/>
    </w:lvl>
    <w:lvl w:ilvl="7">
      <w:start w:val="1"/>
      <w:numFmt w:val="lowerLetter"/>
      <w:lvlText w:val="%8."/>
      <w:lvlJc w:val="left"/>
      <w:pPr>
        <w:tabs>
          <w:tab w:val="num" w:pos="0"/>
        </w:tabs>
        <w:ind w:left="6004" w:hanging="360"/>
      </w:pPr>
      <w:rPr/>
    </w:lvl>
    <w:lvl w:ilvl="8">
      <w:start w:val="1"/>
      <w:numFmt w:val="lowerRoman"/>
      <w:lvlText w:val="%9."/>
      <w:lvlJc w:val="right"/>
      <w:pPr>
        <w:tabs>
          <w:tab w:val="num" w:pos="0"/>
        </w:tabs>
        <w:ind w:left="6724" w:hanging="180"/>
      </w:pPr>
      <w:rPr/>
    </w:lvl>
  </w:abstractNum>
  <w:abstractNum w:abstractNumId="5">
    <w:lvl w:ilvl="0">
      <w:start w:val="1"/>
      <w:numFmt w:val="lowerLetter"/>
      <w:lvlText w:val="%1."/>
      <w:lvlJc w:val="left"/>
      <w:pPr>
        <w:tabs>
          <w:tab w:val="num" w:pos="0"/>
        </w:tabs>
        <w:ind w:left="681" w:hanging="360"/>
      </w:pPr>
      <w:rPr/>
    </w:lvl>
    <w:lvl w:ilvl="1">
      <w:start w:val="1"/>
      <w:numFmt w:val="lowerLetter"/>
      <w:lvlText w:val="%2."/>
      <w:lvlJc w:val="left"/>
      <w:pPr>
        <w:tabs>
          <w:tab w:val="num" w:pos="0"/>
        </w:tabs>
        <w:ind w:left="1401" w:hanging="360"/>
      </w:pPr>
      <w:rPr/>
    </w:lvl>
    <w:lvl w:ilvl="2">
      <w:start w:val="1"/>
      <w:numFmt w:val="lowerRoman"/>
      <w:lvlText w:val="%3."/>
      <w:lvlJc w:val="right"/>
      <w:pPr>
        <w:tabs>
          <w:tab w:val="num" w:pos="0"/>
        </w:tabs>
        <w:ind w:left="2121" w:hanging="180"/>
      </w:pPr>
      <w:rPr/>
    </w:lvl>
    <w:lvl w:ilvl="3">
      <w:start w:val="1"/>
      <w:numFmt w:val="decimal"/>
      <w:lvlText w:val="%4."/>
      <w:lvlJc w:val="left"/>
      <w:pPr>
        <w:tabs>
          <w:tab w:val="num" w:pos="0"/>
        </w:tabs>
        <w:ind w:left="2841" w:hanging="360"/>
      </w:pPr>
      <w:rPr/>
    </w:lvl>
    <w:lvl w:ilvl="4">
      <w:start w:val="1"/>
      <w:numFmt w:val="lowerLetter"/>
      <w:lvlText w:val="%5."/>
      <w:lvlJc w:val="left"/>
      <w:pPr>
        <w:tabs>
          <w:tab w:val="num" w:pos="0"/>
        </w:tabs>
        <w:ind w:left="3561" w:hanging="360"/>
      </w:pPr>
      <w:rPr/>
    </w:lvl>
    <w:lvl w:ilvl="5">
      <w:start w:val="1"/>
      <w:numFmt w:val="lowerRoman"/>
      <w:lvlText w:val="%6."/>
      <w:lvlJc w:val="right"/>
      <w:pPr>
        <w:tabs>
          <w:tab w:val="num" w:pos="0"/>
        </w:tabs>
        <w:ind w:left="4281" w:hanging="180"/>
      </w:pPr>
      <w:rPr/>
    </w:lvl>
    <w:lvl w:ilvl="6">
      <w:start w:val="1"/>
      <w:numFmt w:val="decimal"/>
      <w:lvlText w:val="%7."/>
      <w:lvlJc w:val="left"/>
      <w:pPr>
        <w:tabs>
          <w:tab w:val="num" w:pos="0"/>
        </w:tabs>
        <w:ind w:left="5001" w:hanging="360"/>
      </w:pPr>
      <w:rPr/>
    </w:lvl>
    <w:lvl w:ilvl="7">
      <w:start w:val="1"/>
      <w:numFmt w:val="lowerLetter"/>
      <w:lvlText w:val="%8."/>
      <w:lvlJc w:val="left"/>
      <w:pPr>
        <w:tabs>
          <w:tab w:val="num" w:pos="0"/>
        </w:tabs>
        <w:ind w:left="5721" w:hanging="360"/>
      </w:pPr>
      <w:rPr/>
    </w:lvl>
    <w:lvl w:ilvl="8">
      <w:start w:val="1"/>
      <w:numFmt w:val="lowerRoman"/>
      <w:lvlText w:val="%9."/>
      <w:lvlJc w:val="right"/>
      <w:pPr>
        <w:tabs>
          <w:tab w:val="num" w:pos="0"/>
        </w:tabs>
        <w:ind w:left="6441"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75"/>
  <w:defaultTabStop w:val="1296"/>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lt-L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lt-LT"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ed6bcd"/>
    <w:rPr>
      <w:sz w:val="16"/>
      <w:szCs w:val="16"/>
    </w:rPr>
  </w:style>
  <w:style w:type="character" w:styleId="KommentartextZchn" w:customStyle="1">
    <w:name w:val="Kommentartext Zchn"/>
    <w:basedOn w:val="DefaultParagraphFont"/>
    <w:link w:val="Annotationtext"/>
    <w:uiPriority w:val="99"/>
    <w:semiHidden/>
    <w:qFormat/>
    <w:rsid w:val="00ed6bcd"/>
    <w:rPr>
      <w:sz w:val="20"/>
      <w:szCs w:val="20"/>
      <w:lang w:val="en-US"/>
    </w:rPr>
  </w:style>
  <w:style w:type="character" w:styleId="KommentarthemaZchn" w:customStyle="1">
    <w:name w:val="Kommentarthema Zchn"/>
    <w:basedOn w:val="KommentartextZchn"/>
    <w:link w:val="Annotationsubject"/>
    <w:uiPriority w:val="99"/>
    <w:semiHidden/>
    <w:qFormat/>
    <w:rsid w:val="00ed6bcd"/>
    <w:rPr>
      <w:b/>
      <w:bCs/>
      <w:sz w:val="20"/>
      <w:szCs w:val="20"/>
      <w:lang w:val="en-US"/>
    </w:rPr>
  </w:style>
  <w:style w:type="character" w:styleId="SprechblasentextZchn" w:customStyle="1">
    <w:name w:val="Sprechblasentext Zchn"/>
    <w:basedOn w:val="DefaultParagraphFont"/>
    <w:link w:val="BalloonText"/>
    <w:uiPriority w:val="99"/>
    <w:semiHidden/>
    <w:qFormat/>
    <w:rsid w:val="00ad6cd8"/>
    <w:rPr>
      <w:rFonts w:ascii="Segoe UI" w:hAnsi="Segoe UI" w:cs="Segoe UI"/>
      <w:sz w:val="18"/>
      <w:szCs w:val="18"/>
      <w:lang w:val="en-US"/>
    </w:rPr>
  </w:style>
  <w:style w:type="character" w:styleId="Emphasis">
    <w:name w:val="Emphasis"/>
    <w:basedOn w:val="DefaultParagraphFont"/>
    <w:uiPriority w:val="20"/>
    <w:qFormat/>
    <w:rsid w:val="003a75ee"/>
    <w:rPr>
      <w:i/>
      <w:iCs/>
    </w:rPr>
  </w:style>
  <w:style w:type="character" w:styleId="Captions" w:customStyle="1">
    <w:name w:val="captions"/>
    <w:basedOn w:val="DefaultParagraphFont"/>
    <w:qFormat/>
    <w:rsid w:val="00d363be"/>
    <w:rPr/>
  </w:style>
  <w:style w:type="character" w:styleId="LineNumbering">
    <w:name w:val="Line Number"/>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Arial" w:hAnsi="Arial" w:cs="Arial Unicode MS"/>
    </w:rPr>
  </w:style>
  <w:style w:type="paragraph" w:styleId="Caption">
    <w:name w:val="Caption"/>
    <w:basedOn w:val="Normal"/>
    <w:qFormat/>
    <w:pPr>
      <w:suppressLineNumbers/>
      <w:spacing w:before="120" w:after="120"/>
    </w:pPr>
    <w:rPr>
      <w:rFonts w:ascii="Arial" w:hAnsi="Arial" w:cs="Arial Unicode MS"/>
      <w:i/>
      <w:iCs/>
      <w:sz w:val="24"/>
      <w:szCs w:val="24"/>
    </w:rPr>
  </w:style>
  <w:style w:type="paragraph" w:styleId="Index" w:customStyle="1">
    <w:name w:val="Index"/>
    <w:basedOn w:val="Normal"/>
    <w:qFormat/>
    <w:pPr>
      <w:suppressLineNumbers/>
    </w:pPr>
    <w:rPr>
      <w:rFonts w:ascii="Arial" w:hAnsi="Arial" w:cs="Arial Unicode MS"/>
    </w:rPr>
  </w:style>
  <w:style w:type="paragraph" w:styleId="Caption1">
    <w:name w:val="caption"/>
    <w:basedOn w:val="Normal"/>
    <w:qFormat/>
    <w:pPr>
      <w:suppressLineNumbers/>
      <w:spacing w:before="120" w:after="120"/>
    </w:pPr>
    <w:rPr>
      <w:rFonts w:ascii="Arial" w:hAnsi="Arial" w:cs="Arial Unicode MS"/>
      <w:i/>
      <w:iCs/>
      <w:sz w:val="24"/>
      <w:szCs w:val="24"/>
    </w:rPr>
  </w:style>
  <w:style w:type="paragraph" w:styleId="Annotationtext">
    <w:name w:val="annotation text"/>
    <w:basedOn w:val="Normal"/>
    <w:link w:val="KommentartextZchn"/>
    <w:uiPriority w:val="99"/>
    <w:semiHidden/>
    <w:unhideWhenUsed/>
    <w:qFormat/>
    <w:rsid w:val="00ed6bcd"/>
    <w:pPr>
      <w:spacing w:lineRule="auto" w:line="240"/>
    </w:pPr>
    <w:rPr>
      <w:sz w:val="20"/>
      <w:szCs w:val="20"/>
    </w:rPr>
  </w:style>
  <w:style w:type="paragraph" w:styleId="Annotationsubject">
    <w:name w:val="annotation subject"/>
    <w:basedOn w:val="Annotationtext"/>
    <w:next w:val="Annotationtext"/>
    <w:link w:val="KommentarthemaZchn"/>
    <w:uiPriority w:val="99"/>
    <w:semiHidden/>
    <w:unhideWhenUsed/>
    <w:qFormat/>
    <w:rsid w:val="00ed6bcd"/>
    <w:pPr/>
    <w:rPr>
      <w:b/>
      <w:bCs/>
    </w:rPr>
  </w:style>
  <w:style w:type="paragraph" w:styleId="BalloonText">
    <w:name w:val="Balloon Text"/>
    <w:basedOn w:val="Normal"/>
    <w:link w:val="SprechblasentextZchn"/>
    <w:uiPriority w:val="99"/>
    <w:semiHidden/>
    <w:unhideWhenUsed/>
    <w:qFormat/>
    <w:rsid w:val="00ad6cd8"/>
    <w:pPr>
      <w:spacing w:lineRule="auto" w:line="240" w:before="0" w:after="0"/>
    </w:pPr>
    <w:rPr>
      <w:rFonts w:ascii="Segoe UI" w:hAnsi="Segoe UI" w:cs="Segoe UI"/>
      <w:sz w:val="18"/>
      <w:szCs w:val="18"/>
    </w:rPr>
  </w:style>
  <w:style w:type="paragraph" w:styleId="NormalWeb">
    <w:name w:val="Normal (Web)"/>
    <w:basedOn w:val="Normal"/>
    <w:uiPriority w:val="99"/>
    <w:semiHidden/>
    <w:unhideWhenUsed/>
    <w:qFormat/>
    <w:rsid w:val="00dd44a4"/>
    <w:pPr>
      <w:spacing w:lineRule="auto" w:line="240" w:beforeAutospacing="1" w:afterAutospacing="1"/>
    </w:pPr>
    <w:rPr>
      <w:rFonts w:ascii="Times New Roman" w:hAnsi="Times New Roman" w:eastAsia="" w:cs="Times New Roman" w:eastAsiaTheme="minorEastAsia"/>
      <w:sz w:val="24"/>
      <w:szCs w:val="24"/>
      <w:lang w:val="nl-BE" w:eastAsia="nl-BE"/>
    </w:rPr>
  </w:style>
  <w:style w:type="paragraph" w:styleId="ListParagraph">
    <w:name w:val="List Paragraph"/>
    <w:basedOn w:val="Normal"/>
    <w:uiPriority w:val="34"/>
    <w:qFormat/>
    <w:rsid w:val="004228cb"/>
    <w:pPr>
      <w:spacing w:before="0" w:after="160"/>
      <w:ind w:left="720" w:hanging="0"/>
      <w:contextualSpacing/>
    </w:pPr>
    <w:rPr/>
  </w:style>
  <w:style w:type="paragraph" w:styleId="PreformattedText" w:customStyle="1">
    <w:name w:val="Preformatted Text"/>
    <w:basedOn w:val="Normal"/>
    <w:qFormat/>
    <w:rsid w:val="00fb3d9e"/>
    <w:pPr>
      <w:spacing w:lineRule="auto" w:line="240" w:before="0" w:after="0"/>
    </w:pPr>
    <w:rPr>
      <w:rFonts w:ascii="Arial" w:hAnsi="Arial" w:eastAsia="Liberation Serif" w:cs="FreeSans"/>
      <w:color w:val="000000"/>
      <w:kern w:val="2"/>
      <w:szCs w:val="24"/>
      <w:lang w:val="de-DE" w:eastAsia="ar-SA" w:bidi="hi-IN"/>
    </w:rPr>
  </w:style>
  <w:style w:type="paragraph" w:styleId="Revision">
    <w:name w:val="Revision"/>
    <w:uiPriority w:val="99"/>
    <w:semiHidden/>
    <w:qFormat/>
    <w:rsid w:val="00806739"/>
    <w:pPr>
      <w:widowControl/>
      <w:suppressAutoHyphens w:val="false"/>
      <w:bidi w:val="0"/>
      <w:spacing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39"/>
    <w:rsid w:val="00d0002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EinfacheTabelle5">
    <w:name w:val="Plain Table 5"/>
    <w:basedOn w:val="NormaleTabelle"/>
    <w:uiPriority w:val="45"/>
    <w:rsid w:val="00d0002f"/>
    <w:tblPr>
      <w:tblStyleRowBandSize w:val="1"/>
      <w:tblStyleColBandSize w:val="1"/>
    </w:tblPr>
    <w:tblStylePr w:type="firstRow">
      <w:rPr>
        <w:rFonts w:asciiTheme="majorHAnsi" w:hAnsiTheme="majorHAnsi" w:eastAsiaTheme="majorEastAsia" w:cstheme="majorBidi"/>
        <w:i/>
        <w:sz w:val="26"/>
      </w:rPr>
      <w:tbl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sz w:val="26"/>
      </w:rPr>
      <w:tbl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sz w:val="26"/>
      </w:rPr>
      <w:tbl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sz w:val="26"/>
      </w:rPr>
      <w:tblPr/>
      <w:tcPr>
        <w:tcBorders>
          <w:left w:val="single" w:color="000000" w:themeColor="text1" w:sz="4" w:space="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3">
    <w:name w:val="Plain Table 3"/>
    <w:basedOn w:val="NormaleTabelle"/>
    <w:uiPriority w:val="43"/>
    <w:rsid w:val="00d0002f"/>
    <w:tblPr>
      <w:tblStyleRowBandSize w:val="1"/>
      <w:tblStyleColBandSize w:val="1"/>
    </w:tblPr>
    <w:tblStylePr w:type="firstRow">
      <w:rPr>
        <w:b/>
        <w:bCs/>
        <w:caps/>
      </w:rPr>
      <w:tblPr/>
      <w:tcPr>
        <w:tcBorders>
          <w:bottom w:val="single" w:color="000000" w:themeColor="text1" w:sz="4" w:space="0"/>
        </w:tcBorders>
      </w:tcPr>
    </w:tblStylePr>
    <w:tblStylePr w:type="lastRow">
      <w:rPr>
        <w:b/>
        <w:bCs/>
        <w:caps/>
      </w:rPr>
      <w:tblPr/>
      <w:tcPr>
        <w:tcBorders>
          <w:top w:val="nil"/>
        </w:tcBorders>
      </w:tcPr>
    </w:tblStylePr>
    <w:tblStylePr w:type="firstCol">
      <w:rPr>
        <w:b/>
        <w:bCs/>
        <w:caps/>
      </w:rPr>
      <w:tblPr/>
      <w:tcPr>
        <w:tcBorders>
          <w:right w:val="single" w:color="000000" w:themeColor="text1" w:sz="4" w:space="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Application>LibreOffice/7.5.4.2$MacOSX_AARCH64 LibreOffice_project/36ccfdc35048b057fd9854c757a8b67ec53977b6</Application>
  <AppVersion>15.0000</AppVersion>
  <Pages>7</Pages>
  <Words>1265</Words>
  <Characters>6623</Characters>
  <CharactersWithSpaces>7516</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2023-06-21T07:32:00Z</dcterms:created>
  <dc:creator>Frederic Briend</dc:creator>
  <dc:description/>
  <dc:language>en-US</dc:language>
  <cp:lastModifiedBy>Simon Maier</cp:lastModifiedBy>
  <dcterms:modified xsi:type="dcterms:W3CDTF">2023-06-28T10:35:01Z</dcterms:modified>
  <cp:revision>49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id="lZYSM4v0"/&gt;&lt;style id="" hasBibliography="0" bibliographyStyleHasBeenSet="0"/&gt;&lt;prefs/&gt;&lt;/data&gt;</vt:lpwstr>
  </property>
</Properties>
</file>