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69" w:tblpY="49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18"/>
        <w:gridCol w:w="1218"/>
        <w:gridCol w:w="1218"/>
        <w:gridCol w:w="1222"/>
        <w:gridCol w:w="2236"/>
      </w:tblGrid>
      <w:tr>
        <w:tc>
          <w:tcPr>
            <w:tcW w:w="1187" w:type="dxa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</w:p>
        </w:tc>
        <w:tc>
          <w:tcPr>
            <w:tcW w:w="4876" w:type="dxa"/>
            <w:gridSpan w:val="4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zh-Hans" w:bidi="en-US"/>
              </w:rPr>
              <w:t>Facial changes</w:t>
            </w:r>
          </w:p>
        </w:tc>
        <w:tc>
          <w:tcPr>
            <w:tcW w:w="2236" w:type="dxa"/>
            <w:tcBorders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</w:p>
        </w:tc>
      </w:tr>
      <w:tr>
        <w:tc>
          <w:tcPr>
            <w:tcW w:w="1187" w:type="dxa"/>
            <w:tcBorders>
              <w:bottom w:val="single" w:color="auto" w:sz="4" w:space="0"/>
            </w:tcBorders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zh-Hans" w:bidi="en-US"/>
              </w:rPr>
              <w:t>Category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zh-Hans" w:bidi="en-US"/>
              </w:rPr>
              <w:t>Eye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zh-Hans" w:bidi="en-US"/>
              </w:rPr>
              <w:t>Nose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zh-Hans" w:bidi="en-US"/>
              </w:rPr>
              <w:t>Lip</w:t>
            </w:r>
          </w:p>
        </w:tc>
        <w:tc>
          <w:tcPr>
            <w:tcW w:w="1222" w:type="dxa"/>
            <w:tcBorders>
              <w:bottom w:val="single" w:color="auto" w:sz="4" w:space="0"/>
            </w:tcBorders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zh-Hans" w:bidi="en-US"/>
              </w:rPr>
              <w:t>Ear</w:t>
            </w:r>
          </w:p>
        </w:tc>
        <w:tc>
          <w:tcPr>
            <w:tcW w:w="2236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US" w:eastAsia="zh-Hans" w:bidi="en-US"/>
              </w:rPr>
              <w:t>Scene context</w:t>
            </w:r>
          </w:p>
        </w:tc>
      </w:tr>
      <w:tr>
        <w:tc>
          <w:tcPr>
            <w:tcW w:w="1187" w:type="dxa"/>
            <w:tcBorders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Happy</w:t>
            </w:r>
          </w:p>
        </w:tc>
        <w:tc>
          <w:tcPr>
            <w:tcW w:w="1218" w:type="dxa"/>
            <w:tcBorders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Eyes slightly closed</w:t>
            </w:r>
          </w:p>
        </w:tc>
        <w:tc>
          <w:tcPr>
            <w:tcW w:w="1218" w:type="dxa"/>
            <w:tcBorders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None</w:t>
            </w:r>
          </w:p>
        </w:tc>
        <w:tc>
          <w:tcPr>
            <w:tcW w:w="1218" w:type="dxa"/>
            <w:tcBorders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Pull up the upper lip</w:t>
            </w:r>
          </w:p>
        </w:tc>
        <w:tc>
          <w:tcPr>
            <w:tcW w:w="1222" w:type="dxa"/>
            <w:tcBorders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Pull back the ears</w:t>
            </w:r>
          </w:p>
        </w:tc>
        <w:tc>
          <w:tcPr>
            <w:tcW w:w="2236" w:type="dxa"/>
            <w:tcBorders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Generally in the eating state</w:t>
            </w:r>
          </w:p>
        </w:tc>
      </w:tr>
      <w:tr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Neutral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None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None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None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None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Normalcy</w:t>
            </w:r>
          </w:p>
        </w:tc>
      </w:tr>
      <w:tr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Fear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Eyes slightly closed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Reduced wrinkles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None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Droopy ears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Generally in a state of shock</w:t>
            </w:r>
          </w:p>
        </w:tc>
      </w:tr>
      <w:tr>
        <w:tc>
          <w:tcPr>
            <w:tcW w:w="1187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Anger</w:t>
            </w:r>
          </w:p>
        </w:tc>
        <w:tc>
          <w:tcPr>
            <w:tcW w:w="1218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Eyes wide open</w:t>
            </w:r>
          </w:p>
        </w:tc>
        <w:tc>
          <w:tcPr>
            <w:tcW w:w="1218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Deepened wrinkles</w:t>
            </w:r>
          </w:p>
        </w:tc>
        <w:tc>
          <w:tcPr>
            <w:tcW w:w="1218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Pull up the upper lip</w:t>
            </w:r>
          </w:p>
        </w:tc>
        <w:tc>
          <w:tcPr>
            <w:tcW w:w="1222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None</w:t>
            </w:r>
          </w:p>
        </w:tc>
        <w:tc>
          <w:tcPr>
            <w:tcW w:w="2236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lang w:val="en-GB" w:eastAsia="zh-Hans" w:bidi="en-US"/>
              </w:rPr>
              <w:t>Generally before initiating an act of aggression</w:t>
            </w:r>
          </w:p>
        </w:tc>
      </w:tr>
    </w:tbl>
    <w:p>
      <w:pPr>
        <w:pStyle w:val="12"/>
        <w:jc w:val="center"/>
      </w:pPr>
    </w:p>
    <w:p>
      <w:pPr>
        <w:spacing w:line="480" w:lineRule="auto"/>
        <w:jc w:val="center"/>
        <w:rPr>
          <w:rStyle w:val="6"/>
          <w:rFonts w:eastAsiaTheme="minorEastAsia"/>
        </w:rPr>
      </w:pPr>
      <w:bookmarkStart w:id="2" w:name="_GoBack"/>
      <w:bookmarkStart w:id="0" w:name="bookmark11"/>
      <w:bookmarkStart w:id="1" w:name="bookmark10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Table</w:t>
      </w:r>
      <w:bookmarkEnd w:id="2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 1.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Description of facial expression categories.</w:t>
      </w:r>
      <w:bookmarkEnd w:id="0"/>
      <w:bookmarkEnd w:id="1"/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hint="default" w:eastAsiaTheme="minorEastAsia"/>
        </w:rPr>
      </w:pPr>
    </w:p>
    <w:p>
      <w:pPr>
        <w:spacing w:line="480" w:lineRule="auto"/>
        <w:rPr>
          <w:rStyle w:val="6"/>
          <w:rFonts w:hint="default" w:eastAsiaTheme="minorEastAsia"/>
        </w:rPr>
      </w:pPr>
    </w:p>
    <w:p>
      <w:pPr>
        <w:spacing w:line="480" w:lineRule="auto"/>
        <w:rPr>
          <w:rStyle w:val="6"/>
          <w:rFonts w:hint="default" w:eastAsiaTheme="minorEastAsia"/>
        </w:rPr>
      </w:pPr>
    </w:p>
    <w:p>
      <w:pPr>
        <w:spacing w:line="480" w:lineRule="auto"/>
        <w:rPr>
          <w:rStyle w:val="6"/>
          <w:rFonts w:hint="default" w:eastAsiaTheme="minorEastAsia"/>
        </w:rPr>
      </w:pPr>
    </w:p>
    <w:tbl>
      <w:tblPr>
        <w:tblStyle w:val="2"/>
        <w:tblpPr w:leftFromText="180" w:rightFromText="180" w:vertAnchor="text" w:horzAnchor="page" w:tblpX="1869" w:tblpY="49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61"/>
        <w:gridCol w:w="1161"/>
        <w:gridCol w:w="1161"/>
        <w:gridCol w:w="1957"/>
        <w:gridCol w:w="1957"/>
      </w:tblGrid>
      <w:tr>
        <w:tc>
          <w:tcPr>
            <w:tcW w:w="90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Loss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Overlap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Centre point</w:t>
            </w: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Aspect Ratio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Advantages</w:t>
            </w:r>
          </w:p>
        </w:tc>
        <w:tc>
          <w:tcPr>
            <w:tcW w:w="195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Disadvantages</w:t>
            </w:r>
          </w:p>
        </w:tc>
      </w:tr>
      <w:tr>
        <w:tc>
          <w:tcPr>
            <w:tcW w:w="902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IOU_Loss</w:t>
            </w:r>
          </w:p>
        </w:tc>
        <w:tc>
          <w:tcPr>
            <w:tcW w:w="1161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161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×</w:t>
            </w:r>
          </w:p>
        </w:tc>
        <w:tc>
          <w:tcPr>
            <w:tcW w:w="1161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×</w:t>
            </w:r>
          </w:p>
        </w:tc>
        <w:tc>
          <w:tcPr>
            <w:tcW w:w="1957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Scale invariance; non-negativity; homogeneity; symmetry; triangular inequality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</w:p>
        </w:tc>
        <w:tc>
          <w:tcPr>
            <w:tcW w:w="1957" w:type="dxa"/>
            <w:tcBorders>
              <w:top w:val="single" w:color="auto" w:sz="4" w:space="0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If the two boxes do not intersect, it does not reflect the distance between the two boxes;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It does not accurately reflect the size of the overlap between the two boxes.</w:t>
            </w:r>
          </w:p>
        </w:tc>
      </w:tr>
      <w:tr>
        <w:tc>
          <w:tcPr>
            <w:tcW w:w="90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GIOU_Loss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×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×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Solve the problem that loss equals 0 when there is no overlap between the detection box and the real box.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GIOU degenerates to IOU when the detection frame and the real frame appear to be contained;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Slow convergence in the horizontal and vertical directions when the two frames intersect.</w:t>
            </w:r>
          </w:p>
        </w:tc>
      </w:tr>
      <w:tr>
        <w:tc>
          <w:tcPr>
            <w:tcW w:w="90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DIOU_Loss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×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Convergence can be accelerated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The regression process takes into account the aspect ratio of the Bounding box and there is room for further improvement in accuracy.</w:t>
            </w:r>
          </w:p>
        </w:tc>
      </w:tr>
      <w:tr>
        <w:tc>
          <w:tcPr>
            <w:tcW w:w="90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CIOU_Loss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The loss of detection frame scale, length and width has been increased so that the predicted frames will be more consistent with the real ones.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Aspect ratios describe relative values and are subject to some ambiguity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;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No consideration of the balance of difficult and easy samples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</w:p>
        </w:tc>
      </w:tr>
      <w:tr>
        <w:tc>
          <w:tcPr>
            <w:tcW w:w="902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EIOU_Loss</w:t>
            </w:r>
          </w:p>
        </w:tc>
        <w:tc>
          <w:tcPr>
            <w:tcW w:w="1161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161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161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957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 xml:space="preserve">The aspect ratio is replaced by a separate calculation of the difference in width and height,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whereas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 xml:space="preserve"> Focal Loss is introduced to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address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 xml:space="preserve"> the problem of unbalanced hard and easy samples.</w:t>
            </w:r>
          </w:p>
        </w:tc>
        <w:tc>
          <w:tcPr>
            <w:tcW w:w="1957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</w:tr>
    </w:tbl>
    <w:p>
      <w:pPr>
        <w:spacing w:line="480" w:lineRule="auto"/>
        <w:jc w:val="center"/>
        <w:rPr>
          <w:rStyle w:val="6"/>
          <w:rFonts w:eastAsiaTheme="minor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Table 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eastAsia="en-US" w:bidi="en-US"/>
        </w:rPr>
        <w:t>2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Comparison of loss functions.</w:t>
      </w: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tbl>
      <w:tblPr>
        <w:tblStyle w:val="2"/>
        <w:tblpPr w:leftFromText="180" w:rightFromText="180" w:vertAnchor="text" w:horzAnchor="page" w:tblpX="1869" w:tblpY="49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82"/>
        <w:gridCol w:w="1082"/>
        <w:gridCol w:w="1082"/>
        <w:gridCol w:w="1085"/>
        <w:gridCol w:w="912"/>
        <w:gridCol w:w="912"/>
        <w:gridCol w:w="912"/>
      </w:tblGrid>
      <w:tr>
        <w:tc>
          <w:tcPr>
            <w:tcW w:w="1232" w:type="dxa"/>
            <w:vMerge w:val="restart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Model</w:t>
            </w:r>
          </w:p>
        </w:tc>
        <w:tc>
          <w:tcPr>
            <w:tcW w:w="4331" w:type="dxa"/>
            <w:gridSpan w:val="4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 xml:space="preserve">Precision </w:t>
            </w:r>
          </w:p>
        </w:tc>
        <w:tc>
          <w:tcPr>
            <w:tcW w:w="912" w:type="dxa"/>
            <w:vMerge w:val="restart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mAP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912" w:type="dxa"/>
            <w:vMerge w:val="restart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Recall</w:t>
            </w:r>
          </w:p>
        </w:tc>
        <w:tc>
          <w:tcPr>
            <w:tcW w:w="912" w:type="dxa"/>
            <w:vMerge w:val="restart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F1-score</w:t>
            </w:r>
          </w:p>
        </w:tc>
      </w:tr>
      <w:tr>
        <w:tc>
          <w:tcPr>
            <w:tcW w:w="1232" w:type="dxa"/>
            <w:vMerge w:val="continue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H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appy</w:t>
            </w:r>
          </w:p>
        </w:tc>
        <w:tc>
          <w:tcPr>
            <w:tcW w:w="108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Neutral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Fear</w:t>
            </w:r>
          </w:p>
        </w:tc>
        <w:tc>
          <w:tcPr>
            <w:tcW w:w="108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Anger</w:t>
            </w:r>
          </w:p>
        </w:tc>
        <w:tc>
          <w:tcPr>
            <w:tcW w:w="91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91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91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</w:tr>
      <w:tr>
        <w:tc>
          <w:tcPr>
            <w:tcW w:w="1232" w:type="dxa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Yolov5s</w:t>
            </w:r>
          </w:p>
        </w:tc>
        <w:tc>
          <w:tcPr>
            <w:tcW w:w="1082" w:type="dxa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0.974</w:t>
            </w:r>
          </w:p>
        </w:tc>
        <w:tc>
          <w:tcPr>
            <w:tcW w:w="1082" w:type="dxa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0.691</w:t>
            </w:r>
          </w:p>
        </w:tc>
        <w:tc>
          <w:tcPr>
            <w:tcW w:w="1082" w:type="dxa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0.806</w:t>
            </w:r>
          </w:p>
        </w:tc>
        <w:tc>
          <w:tcPr>
            <w:tcW w:w="1085" w:type="dxa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0.835</w:t>
            </w:r>
          </w:p>
        </w:tc>
        <w:tc>
          <w:tcPr>
            <w:tcW w:w="912" w:type="dxa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0.827</w:t>
            </w:r>
          </w:p>
        </w:tc>
        <w:tc>
          <w:tcPr>
            <w:tcW w:w="912" w:type="dxa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0.779</w:t>
            </w:r>
          </w:p>
        </w:tc>
        <w:tc>
          <w:tcPr>
            <w:tcW w:w="912" w:type="dxa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0.77</w:t>
            </w:r>
          </w:p>
        </w:tc>
      </w:tr>
      <w:tr>
        <w:tc>
          <w:tcPr>
            <w:tcW w:w="123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Yolov5s+EIOU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0.978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0.689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0.839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0.824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0.832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0.798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0.77</w:t>
            </w:r>
          </w:p>
        </w:tc>
      </w:tr>
      <w:tr>
        <w:tc>
          <w:tcPr>
            <w:tcW w:w="123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Yolov5s+coordAtt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0.984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0.803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0.864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0.831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0.870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0.827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0.67</w:t>
            </w:r>
          </w:p>
        </w:tc>
      </w:tr>
      <w:tr>
        <w:tc>
          <w:tcPr>
            <w:tcW w:w="123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Yolov5s+coordAtt+EIOU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0.984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0.775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0.868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0.877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0.876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0.826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0.82</w:t>
            </w:r>
          </w:p>
        </w:tc>
      </w:tr>
      <w:tr>
        <w:tc>
          <w:tcPr>
            <w:tcW w:w="1232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Yolov5s+coordAtt+EIOU+CReToNeXt</w:t>
            </w:r>
          </w:p>
        </w:tc>
        <w:tc>
          <w:tcPr>
            <w:tcW w:w="1082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0.985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82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0.809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82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0.896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85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0.889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912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0.894</w:t>
            </w:r>
          </w:p>
        </w:tc>
        <w:tc>
          <w:tcPr>
            <w:tcW w:w="912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0.874</w:t>
            </w:r>
          </w:p>
        </w:tc>
        <w:tc>
          <w:tcPr>
            <w:tcW w:w="912" w:type="dxa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0.84</w:t>
            </w:r>
          </w:p>
        </w:tc>
      </w:tr>
    </w:tbl>
    <w:p>
      <w:pPr>
        <w:spacing w:line="480" w:lineRule="auto"/>
        <w:jc w:val="center"/>
        <w:rPr>
          <w:rStyle w:val="6"/>
          <w:rFonts w:eastAsiaTheme="minor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Table 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eastAsia="en-US" w:bidi="en-US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Self-validation results of the CReToNeXt-YOLOv5 model.</w:t>
      </w: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p>
      <w:pPr>
        <w:spacing w:line="480" w:lineRule="auto"/>
        <w:rPr>
          <w:rStyle w:val="6"/>
          <w:rFonts w:eastAsiaTheme="minorEastAsia"/>
        </w:rPr>
      </w:pPr>
    </w:p>
    <w:tbl>
      <w:tblPr>
        <w:tblStyle w:val="2"/>
        <w:tblpPr w:leftFromText="180" w:rightFromText="180" w:vertAnchor="text" w:horzAnchor="page" w:tblpX="1860" w:tblpY="256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40"/>
      </w:tblGrid>
      <w:tr>
        <w:trPr>
          <w:trHeight w:val="312" w:hRule="atLeast"/>
        </w:trPr>
        <w:tc>
          <w:tcPr>
            <w:tcW w:w="103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Model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K Nearest Neighbors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Naive Bayesian Model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 xml:space="preserve">Decision Tree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M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odel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Random Forest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Support Vector Machine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Hidden Markov Model</w:t>
            </w:r>
          </w:p>
        </w:tc>
        <w:tc>
          <w:tcPr>
            <w:tcW w:w="1040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CReToNeXt-YOLOv5</w:t>
            </w:r>
          </w:p>
        </w:tc>
      </w:tr>
      <w:tr>
        <w:trPr>
          <w:trHeight w:val="312" w:hRule="atLeast"/>
        </w:trPr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IOU_Loss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×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×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Scale invariance; non-negativity; homogeneity; symmetry; triangular inequality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If the two boxes do not intersect, it does not reflect the distance between the two boxes;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It does not accurately reflect the size of the overlap between the two boxes.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40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</w:tr>
      <w:tr>
        <w:trPr>
          <w:trHeight w:val="312" w:hRule="atLeast"/>
        </w:trPr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Precision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218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302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297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423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434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542</w:t>
            </w:r>
          </w:p>
        </w:tc>
        <w:tc>
          <w:tcPr>
            <w:tcW w:w="1040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0.889</w:t>
            </w:r>
          </w:p>
        </w:tc>
      </w:tr>
      <w:tr>
        <w:trPr>
          <w:trHeight w:val="312" w:hRule="atLeast"/>
        </w:trPr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DIOU_Loss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×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Convergence can be accelerated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The regression process takes into account the aspect ratio of the Bounding box and there is room for further improvement in accuracy.</w:t>
            </w:r>
          </w:p>
        </w:tc>
        <w:tc>
          <w:tcPr>
            <w:tcW w:w="1037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40" w:type="dxa"/>
            <w:vMerge w:val="continue"/>
            <w:tcBorders>
              <w:bottom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</w:tr>
      <w:tr>
        <w:trPr>
          <w:trHeight w:val="312" w:hRule="atLeast"/>
        </w:trPr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mAP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0.291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306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362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458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0.463</w:t>
            </w:r>
          </w:p>
        </w:tc>
        <w:tc>
          <w:tcPr>
            <w:tcW w:w="1037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598</w:t>
            </w:r>
          </w:p>
        </w:tc>
        <w:tc>
          <w:tcPr>
            <w:tcW w:w="1040" w:type="dxa"/>
            <w:vMerge w:val="restart"/>
            <w:tcBorders>
              <w:top w:val="nil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0.894</w:t>
            </w:r>
          </w:p>
        </w:tc>
      </w:tr>
      <w:tr>
        <w:trPr>
          <w:trHeight w:val="312" w:hRule="atLeast"/>
        </w:trPr>
        <w:tc>
          <w:tcPr>
            <w:tcW w:w="1037" w:type="dxa"/>
            <w:vMerge w:val="continue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EIOU_Loss</w:t>
            </w:r>
          </w:p>
        </w:tc>
        <w:tc>
          <w:tcPr>
            <w:tcW w:w="1037" w:type="dxa"/>
            <w:vMerge w:val="continue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037" w:type="dxa"/>
            <w:vMerge w:val="continue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037" w:type="dxa"/>
            <w:vMerge w:val="continue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  <w:t>√</w:t>
            </w:r>
          </w:p>
        </w:tc>
        <w:tc>
          <w:tcPr>
            <w:tcW w:w="1037" w:type="dxa"/>
            <w:vMerge w:val="continue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 xml:space="preserve">The aspect ratio is replaced by a separate calculation of the difference in width and height,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whereas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 xml:space="preserve"> Focal Loss is introduced to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address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 xml:space="preserve"> the problem of unbalanced hard and easy samples.</w:t>
            </w:r>
          </w:p>
        </w:tc>
        <w:tc>
          <w:tcPr>
            <w:tcW w:w="1037" w:type="dxa"/>
            <w:vMerge w:val="continue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37" w:type="dxa"/>
            <w:vMerge w:val="continue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  <w:tc>
          <w:tcPr>
            <w:tcW w:w="1040" w:type="dxa"/>
            <w:vMerge w:val="continue"/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</w:p>
        </w:tc>
      </w:tr>
      <w:tr>
        <w:trPr>
          <w:trHeight w:val="312" w:hRule="atLeast"/>
        </w:trPr>
        <w:tc>
          <w:tcPr>
            <w:tcW w:w="1037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Recall</w:t>
            </w:r>
          </w:p>
        </w:tc>
        <w:tc>
          <w:tcPr>
            <w:tcW w:w="1037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220</w:t>
            </w:r>
          </w:p>
        </w:tc>
        <w:tc>
          <w:tcPr>
            <w:tcW w:w="1037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349</w:t>
            </w:r>
          </w:p>
        </w:tc>
        <w:tc>
          <w:tcPr>
            <w:tcW w:w="1037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fr-FR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314</w:t>
            </w:r>
          </w:p>
        </w:tc>
        <w:tc>
          <w:tcPr>
            <w:tcW w:w="1037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426</w:t>
            </w:r>
          </w:p>
        </w:tc>
        <w:tc>
          <w:tcPr>
            <w:tcW w:w="1037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434</w:t>
            </w:r>
          </w:p>
        </w:tc>
        <w:tc>
          <w:tcPr>
            <w:tcW w:w="1037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</w:t>
            </w:r>
            <w:r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556</w:t>
            </w:r>
          </w:p>
        </w:tc>
        <w:tc>
          <w:tcPr>
            <w:tcW w:w="10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GB" w:eastAsia="zh-Hans" w:bidi="en-US"/>
              </w:rPr>
              <w:t>0.874</w:t>
            </w:r>
          </w:p>
        </w:tc>
      </w:tr>
    </w:tbl>
    <w:p>
      <w:pPr>
        <w:spacing w:line="480" w:lineRule="auto"/>
        <w:jc w:val="center"/>
        <w:rPr>
          <w:rStyle w:val="6"/>
          <w:rFonts w:eastAsiaTheme="minorEastAsia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Table </w:t>
      </w:r>
      <w:r>
        <w:rPr>
          <w:rFonts w:hint="default"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eastAsia="en-US" w:bidi="en-US"/>
        </w:rPr>
        <w:t>4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Comparison results of pig face expression database.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14EF"/>
    <w:rsid w:val="77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NM References"/>
    <w:basedOn w:val="5"/>
    <w:qFormat/>
    <w:uiPriority w:val="0"/>
    <w:pPr>
      <w:ind w:left="567" w:hanging="567"/>
    </w:pPr>
    <w:rPr>
      <w:sz w:val="22"/>
    </w:rPr>
  </w:style>
  <w:style w:type="paragraph" w:customStyle="1" w:styleId="5">
    <w:name w:val="ANM main text"/>
    <w:qFormat/>
    <w:uiPriority w:val="99"/>
    <w:pPr>
      <w:spacing w:line="480" w:lineRule="auto"/>
    </w:pPr>
    <w:rPr>
      <w:rFonts w:ascii="Arial" w:hAnsi="Arial" w:eastAsia="Times New Roman" w:cs="Times New Roman"/>
      <w:sz w:val="24"/>
      <w:szCs w:val="24"/>
      <w:lang w:val="en-GB" w:eastAsia="fr-FR" w:bidi="ar-SA"/>
    </w:rPr>
  </w:style>
  <w:style w:type="character" w:customStyle="1" w:styleId="6">
    <w:name w:val="ANM heading 1 Car"/>
    <w:link w:val="7"/>
    <w:locked/>
    <w:uiPriority w:val="99"/>
    <w:rPr>
      <w:rFonts w:ascii="Arial" w:hAnsi="Arial" w:eastAsia="Times New Roman" w:cs="Times New Roman"/>
      <w:b/>
      <w:sz w:val="24"/>
      <w:szCs w:val="24"/>
      <w:lang w:val="en-GB" w:eastAsia="fr-FR" w:bidi="ar-SA"/>
    </w:rPr>
  </w:style>
  <w:style w:type="paragraph" w:customStyle="1" w:styleId="7">
    <w:name w:val="ANM heading 1"/>
    <w:next w:val="5"/>
    <w:link w:val="6"/>
    <w:qFormat/>
    <w:uiPriority w:val="99"/>
    <w:pPr>
      <w:spacing w:before="100" w:beforeAutospacing="1" w:after="100" w:afterAutospacing="1" w:line="480" w:lineRule="auto"/>
    </w:pPr>
    <w:rPr>
      <w:rFonts w:ascii="Arial" w:hAnsi="Arial" w:eastAsia="Times New Roman" w:cs="Times New Roman"/>
      <w:b/>
      <w:sz w:val="24"/>
      <w:szCs w:val="24"/>
      <w:lang w:val="en-GB" w:eastAsia="fr-FR" w:bidi="ar-SA"/>
    </w:rPr>
  </w:style>
  <w:style w:type="paragraph" w:customStyle="1" w:styleId="8">
    <w:name w:val="ANM Tab row heading"/>
    <w:uiPriority w:val="0"/>
    <w:pPr>
      <w:spacing w:line="360" w:lineRule="auto"/>
    </w:pPr>
    <w:rPr>
      <w:rFonts w:ascii="Arial" w:hAnsi="Arial" w:eastAsia="Times New Roman" w:cs="Times New Roman"/>
      <w:sz w:val="22"/>
      <w:szCs w:val="22"/>
      <w:lang w:val="en-GB" w:eastAsia="fr-FR" w:bidi="ar-SA"/>
    </w:rPr>
  </w:style>
  <w:style w:type="paragraph" w:customStyle="1" w:styleId="9">
    <w:name w:val="ANM Tab Spanner"/>
    <w:next w:val="10"/>
    <w:uiPriority w:val="0"/>
    <w:pPr>
      <w:pBdr>
        <w:bottom w:val="single" w:color="auto" w:sz="4" w:space="1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eastAsia="Times New Roman" w:cs="Times New Roman"/>
      <w:sz w:val="22"/>
      <w:szCs w:val="24"/>
      <w:lang w:val="en-GB" w:eastAsia="fr-FR" w:bidi="ar-SA"/>
    </w:rPr>
  </w:style>
  <w:style w:type="paragraph" w:customStyle="1" w:styleId="10">
    <w:name w:val="ANM Tab column heading"/>
    <w:uiPriority w:val="0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eastAsia="Times New Roman" w:cs="Times New Roman"/>
      <w:sz w:val="22"/>
      <w:szCs w:val="22"/>
      <w:lang w:val="en-GB" w:eastAsia="fr-FR" w:bidi="ar-SA"/>
    </w:rPr>
  </w:style>
  <w:style w:type="paragraph" w:customStyle="1" w:styleId="11">
    <w:name w:val="ANM Tab stub heading"/>
    <w:next w:val="5"/>
    <w:uiPriority w:val="0"/>
    <w:pPr>
      <w:spacing w:line="360" w:lineRule="auto"/>
    </w:pPr>
    <w:rPr>
      <w:rFonts w:ascii="Arial" w:hAnsi="Arial" w:eastAsia="Times New Roman" w:cs="Times New Roman"/>
      <w:sz w:val="22"/>
      <w:szCs w:val="22"/>
      <w:lang w:val="en-GB" w:eastAsia="fr-FR" w:bidi="ar-SA"/>
    </w:rPr>
  </w:style>
  <w:style w:type="paragraph" w:customStyle="1" w:styleId="12">
    <w:name w:val="EndNote Bibliography"/>
    <w:qFormat/>
    <w:uiPriority w:val="0"/>
    <w:pPr>
      <w:jc w:val="both"/>
    </w:pPr>
    <w:rPr>
      <w:rFonts w:ascii="Calibri" w:hAnsi="Calibri" w:eastAsia="宋体" w:cs="Calibri"/>
      <w:color w:val="000000"/>
      <w:lang w:val="en-US" w:eastAsia="zh-CN" w:bidi="ar-SA"/>
    </w:rPr>
  </w:style>
  <w:style w:type="paragraph" w:customStyle="1" w:styleId="13">
    <w:name w:val="Other|1"/>
    <w:basedOn w:val="1"/>
    <w:uiPriority w:val="0"/>
    <w:pPr>
      <w:widowControl w:val="0"/>
      <w:shd w:val="clear" w:color="auto" w:fill="auto"/>
      <w:spacing w:after="260" w:line="264" w:lineRule="auto"/>
    </w:pPr>
    <w:rPr>
      <w:sz w:val="19"/>
      <w:szCs w:val="19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2023-06-28T09:35:00Z</dcterms:created>
  <dc:creator>刻蜗褂聪值</dc:creator>
  <cp:lastModifiedBy>刻蜗褂聪值</cp:lastModifiedBy>
  <dcterms:modified xsi:type="dcterms:W3CDTF">2023-06-28T09:39:55Z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F8B4F2D8D75F7BD44B8E9B640E3AAA4A_41</vt:lpwstr>
  </property>
</Properties>
</file>